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BlinkMacSystemFont;apple-system;Segoe UI;Roboto;Oxygen;Ubuntu;Cantarell;Fira Sans;Droid Sans;Helvetica Neue;sans-serif" w:hAnsi="BlinkMacSystemFont;apple-system;Segoe UI;Roboto;Oxygen;Ubuntu;Cantarell;Fira Sans;Droid Sans;Helvetica Neue;sans-serif"/>
          <w:b w:val="false"/>
          <w:i w:val="false"/>
          <w:caps w:val="false"/>
          <w:smallCaps w:val="false"/>
          <w:strike w:val="false"/>
          <w:dstrike w:val="false"/>
          <w:color w:val="5B616B"/>
          <w:spacing w:val="0"/>
          <w:sz w:val="32"/>
          <w:szCs w:val="32"/>
          <w:u w:val="none"/>
          <w:effect w:val="none"/>
          <w:shd w:fill="auto" w:val="clear"/>
        </w:rPr>
        <w:t>KIRAN PUNIA,</w:t>
      </w:r>
      <w:hyperlink r:id="rId2">
        <w:r>
          <w:rPr>
            <w:rStyle w:val="InternetLink"/>
            <w:rFonts w:ascii="BlinkMacSystemFont;apple-system;Segoe UI;Roboto;Oxygen;Ubuntu;Cantarell;Fira Sans;Droid Sans;Helvetica Neue;sans-serif" w:hAnsi="BlinkMacSystemFont;apple-system;Segoe UI;Roboto;Oxygen;Ubuntu;Cantarell;Fira Sans;Droid Sans;Helvetica Neue;sans-serif"/>
            <w:b w:val="false"/>
            <w:i w:val="false"/>
            <w:caps w:val="false"/>
            <w:smallCaps w:val="false"/>
            <w:strike w:val="false"/>
            <w:dstrike w:val="false"/>
            <w:color w:val="0071BC"/>
            <w:spacing w:val="0"/>
            <w:sz w:val="32"/>
            <w:szCs w:val="32"/>
            <w:u w:val="none"/>
            <w:effect w:val="none"/>
            <w:shd w:fill="auto" w:val="clear"/>
          </w:rPr>
          <w:t>William Scott</w:t>
        </w:r>
      </w:hyperlink>
      <w:r>
        <w:rPr>
          <w:rFonts w:ascii="BlinkMacSystemFont;apple-system;Segoe UI;Roboto;Oxygen;Ubuntu;Cantarell;Fira Sans;Droid Sans;Helvetica Neue;sans-serif" w:hAnsi="BlinkMacSystemFont;apple-system;Segoe UI;Roboto;Oxygen;Ubuntu;Cantarell;Fira Sans;Droid Sans;Helvetica Neue;sans-serif"/>
          <w:b w:val="false"/>
          <w:i w:val="false"/>
          <w:caps w:val="false"/>
          <w:smallCaps w:val="false"/>
          <w:strike w:val="false"/>
          <w:dstrike w:val="false"/>
          <w:color w:val="5B616B"/>
          <w:spacing w:val="0"/>
          <w:sz w:val="32"/>
          <w:szCs w:val="32"/>
          <w:u w:val="none"/>
          <w:effect w:val="none"/>
          <w:shd w:fill="auto" w:val="clear"/>
        </w:rPr>
        <w:t>,</w:t>
      </w:r>
      <w:hyperlink r:id="rId3">
        <w:r>
          <w:rPr>
            <w:rStyle w:val="InternetLink"/>
            <w:rFonts w:ascii="BlinkMacSystemFont;apple-system;Segoe UI;Roboto;Oxygen;Ubuntu;Cantarell;Fira Sans;Droid Sans;Helvetica Neue;sans-serif" w:hAnsi="BlinkMacSystemFont;apple-system;Segoe UI;Roboto;Oxygen;Ubuntu;Cantarell;Fira Sans;Droid Sans;Helvetica Neue;sans-serif"/>
            <w:b w:val="false"/>
            <w:i w:val="false"/>
            <w:caps w:val="false"/>
            <w:smallCaps w:val="false"/>
            <w:strike w:val="false"/>
            <w:dstrike w:val="false"/>
            <w:color w:val="0071BC"/>
            <w:spacing w:val="0"/>
            <w:sz w:val="32"/>
            <w:szCs w:val="32"/>
            <w:u w:val="none"/>
            <w:effect w:val="none"/>
            <w:shd w:fill="auto" w:val="clear"/>
          </w:rPr>
          <w:t>Kriti IRIS M BALODIS,anuja</w:t>
        </w:r>
      </w:hyperlink>
      <w:r>
        <w:rPr>
          <w:rFonts w:ascii="BlinkMacSystemFont;apple-system;Segoe UI;Roboto;Oxygen;Ubuntu;Cantarell;Fira Sans;Droid Sans;Helvetica Neue;sans-serif" w:hAnsi="BlinkMacSystemFont;apple-system;Segoe UI;Roboto;Oxygen;Ubuntu;Cantarell;Fira Sans;Droid Sans;Helvetica Neue;sans-serif"/>
          <w:b w:val="false"/>
          <w:i w:val="false"/>
          <w:caps w:val="false"/>
          <w:smallCaps w:val="false"/>
          <w:strike w:val="false"/>
          <w:dstrike w:val="false"/>
          <w:color w:val="5B616B"/>
          <w:spacing w:val="0"/>
          <w:sz w:val="32"/>
          <w:szCs w:val="32"/>
          <w:u w:val="none"/>
          <w:effect w:val="none"/>
          <w:shd w:fill="auto" w:val="clear"/>
        </w:rPr>
        <w:t>,</w:t>
      </w:r>
      <w:hyperlink r:id="rId4">
        <w:r>
          <w:rPr>
            <w:rStyle w:val="InternetLink"/>
            <w:rFonts w:ascii="BlinkMacSystemFont;apple-system;Segoe UI;Roboto;Oxygen;Ubuntu;Cantarell;Fira Sans;Droid Sans;Helvetica Neue;sans-serif" w:hAnsi="BlinkMacSystemFont;apple-system;Segoe UI;Roboto;Oxygen;Ubuntu;Cantarell;Fira Sans;Droid Sans;Helvetica Neue;sans-serif"/>
            <w:b w:val="false"/>
            <w:i w:val="false"/>
            <w:caps w:val="false"/>
            <w:smallCaps w:val="false"/>
            <w:strike w:val="false"/>
            <w:dstrike w:val="false"/>
            <w:color w:val="0071BC"/>
            <w:spacing w:val="0"/>
            <w:sz w:val="32"/>
            <w:szCs w:val="32"/>
            <w:u w:val="none"/>
            <w:effect w:val="none"/>
            <w:shd w:fill="auto" w:val="clear"/>
          </w:rPr>
          <w:t>Monica Sabbineni</w:t>
        </w:r>
      </w:hyperlink>
      <w:r>
        <w:rPr>
          <w:rFonts w:ascii="BlinkMacSystemFont;apple-system;Segoe UI;Roboto;Oxygen;Ubuntu;Cantarell;Fira Sans;Droid Sans;Helvetica Neue;sans-serif" w:hAnsi="BlinkMacSystemFont;apple-system;Segoe UI;Roboto;Oxygen;Ubuntu;Cantarell;Fira Sans;Droid Sans;Helvetica Neue;sans-serif"/>
          <w:b w:val="false"/>
          <w:i w:val="false"/>
          <w:caps w:val="false"/>
          <w:smallCaps w:val="false"/>
          <w:strike w:val="false"/>
          <w:dstrike w:val="false"/>
          <w:color w:val="5B616B"/>
          <w:spacing w:val="0"/>
          <w:sz w:val="32"/>
          <w:szCs w:val="32"/>
          <w:u w:val="none"/>
          <w:effect w:val="none"/>
          <w:shd w:fill="auto" w:val="clear"/>
        </w:rPr>
        <w:t>,</w:t>
      </w:r>
      <w:hyperlink r:id="rId5">
        <w:r>
          <w:rPr>
            <w:rStyle w:val="InternetLink"/>
            <w:rFonts w:ascii="BlinkMacSystemFont;apple-system;Segoe UI;Roboto;Oxygen;Ubuntu;Cantarell;Fira Sans;Droid Sans;Helvetica Neue;sans-serif" w:hAnsi="BlinkMacSystemFont;apple-system;Segoe UI;Roboto;Oxygen;Ubuntu;Cantarell;Fira Sans;Droid Sans;Helvetica Neue;sans-serif"/>
            <w:b w:val="false"/>
            <w:i w:val="false"/>
            <w:caps w:val="false"/>
            <w:smallCaps w:val="false"/>
            <w:strike w:val="false"/>
            <w:dstrike w:val="false"/>
            <w:color w:val="0071BC"/>
            <w:spacing w:val="0"/>
            <w:sz w:val="32"/>
            <w:szCs w:val="32"/>
            <w:u w:val="none"/>
            <w:effect w:val="none"/>
            <w:shd w:fill="auto" w:val="clear"/>
          </w:rPr>
          <w:t xml:space="preserve">Kaitryn </w:t>
        </w:r>
        <w:r>
          <w:rPr>
            <w:rStyle w:val="InternetLink"/>
            <w:rFonts w:ascii="BlinkMacSystemFont;apple-system;Segoe UI;Roboto;Oxygen;Ubuntu;Cantarell;Fira Sans;Droid Sans;Helvetica Neue;sans-serif" w:hAnsi="BlinkMacSystemFont;apple-system;Segoe UI;Roboto;Oxygen;Ubuntu;Cantarell;Fira Sans;Droid Sans;Helvetica Neue;sans-serif"/>
            <w:b w:val="false"/>
            <w:i w:val="false"/>
            <w:iCs w:val="false"/>
            <w:caps w:val="false"/>
            <w:smallCaps w:val="false"/>
            <w:strike w:val="false"/>
            <w:dstrike w:val="false"/>
            <w:color w:val="0071BC"/>
            <w:spacing w:val="0"/>
            <w:sz w:val="32"/>
            <w:szCs w:val="32"/>
            <w:u w:val="none"/>
            <w:effect w:val="none"/>
            <w:shd w:fill="auto" w:val="clear"/>
          </w:rPr>
          <w:t>Campbell</w:t>
        </w:r>
      </w:hyperlink>
      <w:r>
        <w:rPr>
          <w:rFonts w:ascii="BlinkMacSystemFont;apple-system;Segoe UI;Roboto;Oxygen;Ubuntu;Cantarell;Fira Sans;Droid Sans;Helvetica Neue;sans-serif" w:hAnsi="BlinkMacSystemFont;apple-system;Segoe UI;Roboto;Oxygen;Ubuntu;Cantarell;Fira Sans;Droid Sans;Helvetica Neue;sans-serif"/>
          <w:b w:val="false"/>
          <w:i w:val="false"/>
          <w:iCs w:val="false"/>
          <w:caps w:val="false"/>
          <w:smallCaps w:val="false"/>
          <w:strike w:val="false"/>
          <w:dstrike w:val="false"/>
          <w:color w:val="0071BC"/>
          <w:spacing w:val="0"/>
          <w:sz w:val="32"/>
          <w:szCs w:val="32"/>
          <w:u w:val="none"/>
          <w:effect w:val="none"/>
          <w:shd w:fill="auto" w:val="clear"/>
        </w:rPr>
        <w:t xml:space="preserve"> </w:t>
      </w:r>
      <w:r>
        <w:rPr>
          <w:rFonts w:ascii="BlinkMacSystemFont;apple-system;Segoe UI;Roboto;Oxygen;Ubuntu;Cantarell;Fira Sans;Droid Sans;Helvetica Neue;sans-serif" w:hAnsi="BlinkMacSystemFont;apple-system;Segoe UI;Roboto;Oxygen;Ubuntu;Cantarell;Fira Sans;Droid Sans;Helvetica Neue;sans-serif"/>
          <w:b w:val="false"/>
          <w:i w:val="false"/>
          <w:iCs w:val="false"/>
          <w:caps w:val="false"/>
          <w:smallCaps w:val="false"/>
          <w:strike w:val="false"/>
          <w:dstrike w:val="false"/>
          <w:color w:val="5B616B"/>
          <w:spacing w:val="0"/>
          <w:sz w:val="32"/>
          <w:szCs w:val="32"/>
          <w:u w:val="none"/>
          <w:effect w:val="none"/>
          <w:shd w:fill="auto" w:val="clear"/>
        </w:rPr>
        <w:t>,</w:t>
      </w:r>
      <w:hyperlink r:id="rId6">
        <w:r>
          <w:rPr>
            <w:rStyle w:val="InternetLink"/>
            <w:rFonts w:ascii="BlinkMacSystemFont;apple-system;Segoe UI;Roboto;Oxygen;Ubuntu;Cantarell;Fira Sans;Droid Sans;Helvetica Neue;sans-serif" w:hAnsi="BlinkMacSystemFont;apple-system;Segoe UI;Roboto;Oxygen;Ubuntu;Cantarell;Fira Sans;Droid Sans;Helvetica Neue;sans-serif"/>
            <w:b w:val="false"/>
            <w:i w:val="false"/>
            <w:iCs w:val="false"/>
            <w:caps w:val="false"/>
            <w:smallCaps w:val="false"/>
            <w:strike w:val="false"/>
            <w:dstrike w:val="false"/>
            <w:color w:val="0071BC"/>
            <w:spacing w:val="0"/>
            <w:sz w:val="32"/>
            <w:szCs w:val="32"/>
            <w:u w:val="none"/>
            <w:effect w:val="none"/>
            <w:shd w:fill="auto" w:val="clear"/>
          </w:rPr>
          <w:t>James MacKillop</w:t>
        </w:r>
      </w:hyperlink>
      <w:r>
        <w:rPr>
          <w:rFonts w:ascii="BlinkMacSystemFont;apple-system;Segoe UI;Roboto;Oxygen;Ubuntu;Cantarell;Fira Sans;Droid Sans;Helvetica Neue;sans-serif" w:hAnsi="BlinkMacSystemFont;apple-system;Segoe UI;Roboto;Oxygen;Ubuntu;Cantarell;Fira Sans;Droid Sans;Helvetica Neue;sans-serif"/>
          <w:b w:val="false"/>
          <w:i w:val="false"/>
          <w:iCs w:val="false"/>
          <w:caps w:val="false"/>
          <w:smallCaps w:val="false"/>
          <w:strike w:val="false"/>
          <w:dstrike w:val="false"/>
          <w:color w:val="0071BC"/>
          <w:spacing w:val="0"/>
          <w:sz w:val="32"/>
          <w:szCs w:val="32"/>
          <w:u w:val="none"/>
          <w:effect w:val="none"/>
          <w:shd w:fill="auto" w:val="clear"/>
        </w:rPr>
        <w:t>:</w:t>
      </w:r>
      <w:r>
        <w:rPr>
          <w:rFonts w:ascii="BlinkMacSystemFont;apple-system;Segoe UI;Roboto;Oxygen;Ubuntu;Cantarell;Fira Sans;Droid Sans;Helvetica Neue;sans-serif" w:hAnsi="BlinkMacSystemFont;apple-system;Segoe UI;Roboto;Oxygen;Ubuntu;Cantarell;Fira Sans;Droid Sans;Helvetica Neue;sans-serif"/>
          <w:b w:val="false"/>
          <w:i w:val="false"/>
          <w:iCs w:val="false"/>
          <w:caps w:val="false"/>
          <w:smallCaps w:val="false"/>
          <w:strike w:val="false"/>
          <w:dstrike w:val="false"/>
          <w:color w:val="0071BC"/>
          <w:spacing w:val="0"/>
          <w:sz w:val="32"/>
          <w:szCs w:val="32"/>
          <w:u w:val="none"/>
          <w:effect w:val="none"/>
          <w:shd w:fill="auto" w:val="clear"/>
        </w:rPr>
        <w:t>SAEM GRACE: Anti-craving medications for alcohol use disorder treatment in the emergency department: A systematic review of direct evidence</w:t>
      </w:r>
    </w:p>
    <w:p>
      <w:pPr>
        <w:pStyle w:val="Normal"/>
        <w:rPr/>
      </w:pPr>
      <w:r>
        <w:rPr/>
        <w:t xml:space="preserve"> </w:t>
      </w:r>
      <w:r>
        <w:rPr/>
        <w:t>Anti-craving Medications for Alcohol Use Disorder Treatment in the Emergency Department</w:t>
      </w:r>
    </w:p>
    <w:p>
      <w:pPr>
        <w:pStyle w:val="Heading4"/>
        <w:rPr/>
      </w:pPr>
      <w:r>
        <w:rPr/>
        <w:t>Background and Context</w:t>
      </w:r>
    </w:p>
    <w:p>
      <w:pPr>
        <w:pStyle w:val="TextBody"/>
        <w:rPr/>
      </w:pPr>
      <w:r>
        <w:rPr/>
        <w:t>Alcohol Use Disorder (AUD) is a widespread condition that often leads individuals to seek care in the emergency department (ED), where it is common to observe alcohol-related emergencies such as intoxication, withdrawal, or related injuries. These patients may exhibit symptoms of AUD, making the ED an important venue for intervention. With this context in mind, pharmacological treatments that aim to reduce alcohol craving have garnered attention as potential interventions in the ED. These medications, which include naltrexone, acamprosate, gabapentin, and disulfiram, target the neural mechanisms underlying alcohol dependence and have been investigated for their efficacy in reducing alcohol consumption and relapse. The study "Anti-craving medications for alcohol use disorder treatment in the emergency department: A systematic review of direct evidence" by Punia et al. (2025) focuses on examining the efficacy of such medications in the ED setting.</w:t>
      </w:r>
    </w:p>
    <w:p>
      <w:pPr>
        <w:pStyle w:val="Heading4"/>
        <w:rPr/>
      </w:pPr>
      <w:r>
        <w:rPr/>
        <w:t>Objective of the Review</w:t>
      </w:r>
    </w:p>
    <w:p>
      <w:pPr>
        <w:pStyle w:val="TextBody"/>
        <w:rPr/>
      </w:pPr>
      <w:r>
        <w:rPr/>
        <w:t>The primary aim of the systematic review by Punia et al. was to evaluate the direct evidence regarding the use of anti-craving medications in the ED for treating individuals with AUD. Given the limited number of studies directly addressing this intervention in the ED setting, the authors sought to assess whether pharmacotherapy could effectively reduce alcohol consumption, prevent relapse, and minimize repeat ED visits among AUD patients.</w:t>
      </w:r>
    </w:p>
    <w:p>
      <w:pPr>
        <w:pStyle w:val="Heading4"/>
        <w:rPr/>
      </w:pPr>
      <w:r>
        <w:rPr/>
        <w:t>Methodology of the Review</w:t>
      </w:r>
    </w:p>
    <w:p>
      <w:pPr>
        <w:pStyle w:val="TextBody"/>
        <w:rPr/>
      </w:pPr>
      <w:r>
        <w:rPr/>
        <w:t>The authors conducted a comprehensive search of the literature to identify studies that met the following criteria:</w:t>
      </w:r>
    </w:p>
    <w:p>
      <w:pPr>
        <w:pStyle w:val="TextBody"/>
        <w:numPr>
          <w:ilvl w:val="0"/>
          <w:numId w:val="1"/>
        </w:numPr>
        <w:tabs>
          <w:tab w:val="clear" w:pos="720"/>
          <w:tab w:val="left" w:pos="0" w:leader="none"/>
        </w:tabs>
        <w:spacing w:before="0" w:after="0"/>
        <w:ind w:left="709" w:hanging="283"/>
        <w:rPr/>
      </w:pPr>
      <w:r>
        <w:rPr>
          <w:rStyle w:val="StrongEmphasis"/>
        </w:rPr>
        <w:t>Population</w:t>
      </w:r>
      <w:r>
        <w:rPr/>
        <w:t xml:space="preserve">: Adults (≥18 years old) presenting to the ED with AUD (including suspected AUD). </w:t>
      </w:r>
    </w:p>
    <w:p>
      <w:pPr>
        <w:pStyle w:val="TextBody"/>
        <w:numPr>
          <w:ilvl w:val="0"/>
          <w:numId w:val="1"/>
        </w:numPr>
        <w:tabs>
          <w:tab w:val="clear" w:pos="720"/>
          <w:tab w:val="left" w:pos="0" w:leader="none"/>
        </w:tabs>
        <w:spacing w:before="0" w:after="0"/>
        <w:ind w:left="709" w:hanging="283"/>
        <w:rPr/>
      </w:pPr>
      <w:r>
        <w:rPr>
          <w:rStyle w:val="StrongEmphasis"/>
        </w:rPr>
        <w:t>Intervention</w:t>
      </w:r>
      <w:r>
        <w:rPr/>
        <w:t xml:space="preserve">: Medications specifically targeting alcohol cravings, such as naltrexone, acamprosate, gabapentin. </w:t>
      </w:r>
    </w:p>
    <w:p>
      <w:pPr>
        <w:pStyle w:val="TextBody"/>
        <w:numPr>
          <w:ilvl w:val="0"/>
          <w:numId w:val="1"/>
        </w:numPr>
        <w:tabs>
          <w:tab w:val="clear" w:pos="720"/>
          <w:tab w:val="left" w:pos="0" w:leader="none"/>
        </w:tabs>
        <w:spacing w:before="0" w:after="0"/>
        <w:ind w:left="709" w:hanging="283"/>
        <w:rPr/>
      </w:pPr>
      <w:r>
        <w:rPr>
          <w:rStyle w:val="StrongEmphasis"/>
        </w:rPr>
        <w:t>Control</w:t>
      </w:r>
      <w:r>
        <w:rPr/>
        <w:t xml:space="preserve">: Comparisons with no treatment or placebo. </w:t>
      </w:r>
    </w:p>
    <w:p>
      <w:pPr>
        <w:pStyle w:val="TextBody"/>
        <w:numPr>
          <w:ilvl w:val="0"/>
          <w:numId w:val="1"/>
        </w:numPr>
        <w:tabs>
          <w:tab w:val="clear" w:pos="720"/>
          <w:tab w:val="left" w:pos="0" w:leader="none"/>
        </w:tabs>
        <w:ind w:left="709" w:hanging="283"/>
        <w:rPr/>
      </w:pPr>
      <w:r>
        <w:rPr>
          <w:rStyle w:val="StrongEmphasis"/>
        </w:rPr>
        <w:t>Outcomes</w:t>
      </w:r>
      <w:r>
        <w:rPr/>
        <w:t xml:space="preserve">: Key outcomes included reductions in heavy drinking days, overall alcohol consumption, repeat ED visits, engagement in addiction services, and relapse. </w:t>
      </w:r>
    </w:p>
    <w:p>
      <w:pPr>
        <w:pStyle w:val="TextBody"/>
        <w:rPr/>
      </w:pPr>
      <w:r>
        <w:rPr/>
        <w:t>After screening 143 potentially relevant articles, the authors included six studies: three clinical trials and three case studies. These studies evaluated medications such as oral and extended-release naltrexone, disulfiram, and acamprosate.</w:t>
      </w:r>
    </w:p>
    <w:p>
      <w:pPr>
        <w:pStyle w:val="Heading4"/>
        <w:rPr/>
      </w:pPr>
      <w:r>
        <w:rPr/>
        <w:t>Results and Analysis of the Medications</w:t>
      </w:r>
    </w:p>
    <w:p>
      <w:pPr>
        <w:pStyle w:val="TextBody"/>
        <w:numPr>
          <w:ilvl w:val="0"/>
          <w:numId w:val="2"/>
        </w:numPr>
        <w:tabs>
          <w:tab w:val="clear" w:pos="720"/>
          <w:tab w:val="left" w:pos="0" w:leader="none"/>
        </w:tabs>
        <w:ind w:left="709" w:hanging="283"/>
        <w:rPr/>
      </w:pPr>
      <w:r>
        <w:rPr>
          <w:rStyle w:val="StrongEmphasis"/>
        </w:rPr>
        <w:t>Naltrexone</w:t>
      </w:r>
      <w:r>
        <w:rPr/>
        <w:t>:</w:t>
      </w:r>
    </w:p>
    <w:p>
      <w:pPr>
        <w:pStyle w:val="TextBody"/>
        <w:numPr>
          <w:ilvl w:val="1"/>
          <w:numId w:val="2"/>
        </w:numPr>
        <w:tabs>
          <w:tab w:val="clear" w:pos="720"/>
          <w:tab w:val="left" w:pos="0" w:leader="none"/>
        </w:tabs>
        <w:spacing w:before="0" w:after="0"/>
        <w:ind w:left="1418" w:hanging="283"/>
        <w:rPr/>
      </w:pPr>
      <w:r>
        <w:rPr>
          <w:rStyle w:val="StrongEmphasis"/>
        </w:rPr>
        <w:t>Oral naltrexone</w:t>
      </w:r>
      <w:r>
        <w:rPr/>
        <w:t xml:space="preserve"> was found to reduce alcohol consumption in individuals with AUD, aligning with previous research that has identified naltrexone as an effective pharmacological agent for this purpose. </w:t>
      </w:r>
    </w:p>
    <w:p>
      <w:pPr>
        <w:pStyle w:val="TextBody"/>
        <w:numPr>
          <w:ilvl w:val="1"/>
          <w:numId w:val="2"/>
        </w:numPr>
        <w:tabs>
          <w:tab w:val="clear" w:pos="720"/>
          <w:tab w:val="left" w:pos="0" w:leader="none"/>
        </w:tabs>
        <w:spacing w:before="0" w:after="0"/>
        <w:ind w:left="1418" w:hanging="283"/>
        <w:rPr/>
      </w:pPr>
      <w:r>
        <w:rPr>
          <w:rStyle w:val="StrongEmphasis"/>
        </w:rPr>
        <w:t>Extended-release naltrexone</w:t>
      </w:r>
      <w:r>
        <w:rPr/>
        <w:t xml:space="preserve"> (administered as monthly injections) showed particularly promising results, demonstrating reductions in alcohol consumption and improvements in quality of life for patients with AUD. This finding highlights the potential advantages of extended-release formulations in maintaining adherence and reducing the frequency of administration. </w:t>
      </w:r>
    </w:p>
    <w:p>
      <w:pPr>
        <w:pStyle w:val="TextBody"/>
        <w:numPr>
          <w:ilvl w:val="0"/>
          <w:numId w:val="2"/>
        </w:numPr>
        <w:tabs>
          <w:tab w:val="clear" w:pos="720"/>
          <w:tab w:val="left" w:pos="0" w:leader="none"/>
        </w:tabs>
        <w:ind w:left="709" w:hanging="283"/>
        <w:rPr/>
      </w:pPr>
      <w:r>
        <w:rPr>
          <w:rStyle w:val="StrongEmphasis"/>
        </w:rPr>
        <w:t>Disulfiram</w:t>
      </w:r>
      <w:r>
        <w:rPr/>
        <w:t>:</w:t>
      </w:r>
    </w:p>
    <w:p>
      <w:pPr>
        <w:pStyle w:val="TextBody"/>
        <w:numPr>
          <w:ilvl w:val="1"/>
          <w:numId w:val="2"/>
        </w:numPr>
        <w:tabs>
          <w:tab w:val="clear" w:pos="720"/>
          <w:tab w:val="left" w:pos="0" w:leader="none"/>
        </w:tabs>
        <w:spacing w:before="0" w:after="0"/>
        <w:ind w:left="1418" w:hanging="283"/>
        <w:rPr/>
      </w:pPr>
      <w:r>
        <w:rPr/>
        <w:t xml:space="preserve">Disulfiram, which works by causing adverse reactions when alcohol is consumed, did not demonstrate significant improvements in drinking behaviors when compared to no medication. This finding aligns with previous studies suggesting that while disulfiram can be effective in certain settings, it may not be as universally beneficial or preferred in an acute care environment such as the ED. </w:t>
      </w:r>
    </w:p>
    <w:p>
      <w:pPr>
        <w:pStyle w:val="TextBody"/>
        <w:numPr>
          <w:ilvl w:val="0"/>
          <w:numId w:val="2"/>
        </w:numPr>
        <w:tabs>
          <w:tab w:val="clear" w:pos="720"/>
          <w:tab w:val="left" w:pos="0" w:leader="none"/>
        </w:tabs>
        <w:ind w:left="709" w:hanging="283"/>
        <w:rPr/>
      </w:pPr>
      <w:r>
        <w:rPr>
          <w:rStyle w:val="StrongEmphasis"/>
        </w:rPr>
        <w:t>Acamprosate and Gabapentin</w:t>
      </w:r>
      <w:r>
        <w:rPr/>
        <w:t>:</w:t>
      </w:r>
    </w:p>
    <w:p>
      <w:pPr>
        <w:pStyle w:val="TextBody"/>
        <w:numPr>
          <w:ilvl w:val="1"/>
          <w:numId w:val="2"/>
        </w:numPr>
        <w:tabs>
          <w:tab w:val="clear" w:pos="720"/>
          <w:tab w:val="left" w:pos="0" w:leader="none"/>
        </w:tabs>
        <w:ind w:left="1418" w:hanging="283"/>
        <w:rPr/>
      </w:pPr>
      <w:r>
        <w:rPr/>
        <w:t xml:space="preserve">Although these medications are often included in AUD treatment regimens, they were not prominently featured in the included studies of this review. However, in the broader literature, acamprosate has been shown to help maintain abstinence, particularly in outpatient settings, and gabapentin has been explored for its role in managing alcohol withdrawal and cravings. </w:t>
      </w:r>
    </w:p>
    <w:p>
      <w:pPr>
        <w:pStyle w:val="Heading4"/>
        <w:rPr/>
      </w:pPr>
      <w:r>
        <w:rPr/>
        <w:t>Limitations of the Review</w:t>
      </w:r>
    </w:p>
    <w:p>
      <w:pPr>
        <w:pStyle w:val="TextBody"/>
        <w:rPr/>
      </w:pPr>
      <w:r>
        <w:rPr/>
        <w:t>The review highlights several limitations in the existing literature:</w:t>
      </w:r>
    </w:p>
    <w:p>
      <w:pPr>
        <w:pStyle w:val="TextBody"/>
        <w:numPr>
          <w:ilvl w:val="0"/>
          <w:numId w:val="3"/>
        </w:numPr>
        <w:tabs>
          <w:tab w:val="clear" w:pos="720"/>
          <w:tab w:val="left" w:pos="0" w:leader="none"/>
        </w:tabs>
        <w:spacing w:before="0" w:after="0"/>
        <w:ind w:left="709" w:hanging="283"/>
        <w:rPr/>
      </w:pPr>
      <w:r>
        <w:rPr>
          <w:rStyle w:val="StrongEmphasis"/>
        </w:rPr>
        <w:t>Limited Evidence</w:t>
      </w:r>
      <w:r>
        <w:rPr/>
        <w:t xml:space="preserve">: Only six studies met the inclusion criteria, indicating a significant gap in research specifically focused on anti-craving medications for AUD in the ED setting. </w:t>
      </w:r>
    </w:p>
    <w:p>
      <w:pPr>
        <w:pStyle w:val="TextBody"/>
        <w:numPr>
          <w:ilvl w:val="0"/>
          <w:numId w:val="3"/>
        </w:numPr>
        <w:tabs>
          <w:tab w:val="clear" w:pos="720"/>
          <w:tab w:val="left" w:pos="0" w:leader="none"/>
        </w:tabs>
        <w:spacing w:before="0" w:after="0"/>
        <w:ind w:left="709" w:hanging="283"/>
        <w:rPr/>
      </w:pPr>
      <w:r>
        <w:rPr>
          <w:rStyle w:val="StrongEmphasis"/>
        </w:rPr>
        <w:t>Study Design</w:t>
      </w:r>
      <w:r>
        <w:rPr/>
        <w:t xml:space="preserve">: The included studies were mostly clinical trials and case studies, which may not offer the same level of generalizability or rigor as large-scale randomized controlled trials (RCTs). </w:t>
      </w:r>
    </w:p>
    <w:p>
      <w:pPr>
        <w:pStyle w:val="TextBody"/>
        <w:numPr>
          <w:ilvl w:val="0"/>
          <w:numId w:val="3"/>
        </w:numPr>
        <w:tabs>
          <w:tab w:val="clear" w:pos="720"/>
          <w:tab w:val="left" w:pos="0" w:leader="none"/>
        </w:tabs>
        <w:ind w:left="709" w:hanging="283"/>
        <w:rPr/>
      </w:pPr>
      <w:r>
        <w:rPr>
          <w:rStyle w:val="StrongEmphasis"/>
        </w:rPr>
        <w:t>Variability in Medications</w:t>
      </w:r>
      <w:r>
        <w:rPr/>
        <w:t xml:space="preserve">: While naltrexone showed positive outcomes, there was variability in the effectiveness of other medications, such as disulfiram, suggesting that more tailored approaches are needed based on patient needs. </w:t>
      </w:r>
    </w:p>
    <w:p>
      <w:pPr>
        <w:pStyle w:val="Heading4"/>
        <w:rPr/>
      </w:pPr>
      <w:r>
        <w:rPr/>
        <w:t>Conclusions</w:t>
      </w:r>
    </w:p>
    <w:p>
      <w:pPr>
        <w:pStyle w:val="TextBody"/>
        <w:rPr/>
      </w:pPr>
      <w:r>
        <w:rPr/>
        <w:t>Punia et al. conclude that the limited evidence available supports the use of naltrexone, particularly the extended-release formulation, as a potential pharmacological treatment in the ED for individuals with AUD. This supports previous findings in the field that emphasize naltrexone's role in reducing alcohol consumption and improving quality of life. However, the authors stress the need for additional high-quality randomized controlled trials to provide more robust evidence on the efficacy of anti-craving medications in this critical care setting.</w:t>
      </w:r>
    </w:p>
    <w:p>
      <w:pPr>
        <w:pStyle w:val="Heading4"/>
        <w:rPr/>
      </w:pPr>
      <w:r>
        <w:rPr/>
        <w:t>Implications for Future Research</w:t>
      </w:r>
    </w:p>
    <w:p>
      <w:pPr>
        <w:pStyle w:val="TextBody"/>
        <w:rPr/>
      </w:pPr>
      <w:r>
        <w:rPr/>
        <w:t>The review emphasizes that further studies are necessary to confirm the best pharmacological treatments for AUD in the ED. Given the limited evidence on other medications like acamprosate and gabapentin, future research should also explore the comparative effectiveness of these agents, especially in populations with acute alcohol-related concerns. Moreover, research into the initiation of these treatments in the ED and the integration of pharmacotherapy into a broader care plan for AUD could offer valuable insights into optimizing outcomes for patients with AUD in emergency settings.</w:t>
      </w:r>
    </w:p>
    <w:p>
      <w:pPr>
        <w:pStyle w:val="Heading3"/>
        <w:rPr/>
      </w:pPr>
      <w:r>
        <w:rPr/>
        <w:t>Conclusion</w:t>
      </w:r>
    </w:p>
    <w:p>
      <w:pPr>
        <w:pStyle w:val="TextBody"/>
        <w:rPr/>
      </w:pPr>
      <w:r>
        <w:rPr/>
        <w:t>This systematic review by Punia et al. provides an important contribution to the growing body of literature on the use of pharmacotherapy for AUD in the ED. While the available evidence is supportive of naltrexone, particularly its extended-release formulation, there is a clear need for more comprehensive and high-quality studies to strengthen the understanding of anti-craving medications' role in acute care environments.</w:t>
      </w:r>
      <w:r>
        <w:rPr/>
        <w:t>at PUBMED IN 2023.</w:t>
      </w:r>
    </w:p>
    <w:p>
      <w:pPr>
        <w:pStyle w:val="Normal"/>
        <w:spacing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BlinkMacSystemFont">
    <w:altName w:val="apple-system"/>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qFormat/>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qFormat/>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qFormat/>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qFormat/>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qFormat/>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qFormat/>
    <w:rPr>
      <w:i/>
      <w:iCs/>
      <w:color w:val="404040" w:themeColor="text1" w:themeTint="bf"/>
    </w:rPr>
  </w:style>
  <w:style w:type="character" w:styleId="IntenseQuoteChar" w:customStyle="1">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Bullets">
    <w:name w:val="Bullets"/>
    <w:qFormat/>
    <w:rPr>
      <w:rFonts w:ascii="OpenSymbol" w:hAnsi="OpenSymbol" w:eastAsia="OpenSymbol" w:cs="OpenSymbol"/>
    </w:rPr>
  </w:style>
  <w:style w:type="character" w:styleId="StrongEmphasis">
    <w:name w:val="Strong"/>
    <w:qFormat/>
    <w:rPr>
      <w:b/>
      <w:bCs/>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ubmed.ncbi.nlm.nih.gov/?term=Scott+W&amp;cauthor_id=37735346" TargetMode="External"/><Relationship Id="rId3" Type="http://schemas.openxmlformats.org/officeDocument/2006/relationships/hyperlink" Target="https://pubmed.ncbi.nlm.nih.gov/?term=Manuja+K&amp;cauthor_id=37735346" TargetMode="External"/><Relationship Id="rId4" Type="http://schemas.openxmlformats.org/officeDocument/2006/relationships/hyperlink" Target="https://pubmed.ncbi.nlm.nih.gov/?term=Sabbineni+M&amp;cauthor_id=37735346" TargetMode="External"/><Relationship Id="rId5" Type="http://schemas.openxmlformats.org/officeDocument/2006/relationships/hyperlink" Target="https://pubmed.ncbi.nlm.nih.gov/?term=Campbell+K&amp;cauthor_id=37735346" TargetMode="External"/><Relationship Id="rId6" Type="http://schemas.openxmlformats.org/officeDocument/2006/relationships/hyperlink" Target="https://pubmed.ncbi.nlm.nih.gov/?term=MacKillop+J&amp;cauthor_id=37735346"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LibreOffice/7.5.9.2$Windows_X86_64 LibreOffice_project/cdeefe45c17511d326101eed8008ac4092f278a9</Application>
  <AppVersion>15.0000</AppVersion>
  <Pages>3</Pages>
  <Words>895</Words>
  <Characters>5483</Characters>
  <CharactersWithSpaces>6344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2025-01-24T09:58:57Z</dcterms:created>
  <dc:creator>Ramakotireddy Alavala</dc:creator>
  <dc:description/>
  <dc:language>en-US</dc:language>
  <cp:lastModifiedBy/>
  <dcterms:modified xsi:type="dcterms:W3CDTF">2025-02-04T11:58:14Z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