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Roboto Light" w:cs="Roboto Light" w:eastAsia="Roboto Light" w:hAnsi="Roboto Light"/>
          <w:sz w:val="24"/>
          <w:szCs w:val="24"/>
        </w:rPr>
      </w:pPr>
      <w:bookmarkStart w:colFirst="0" w:colLast="0" w:name="_9rcdjw24www" w:id="0"/>
      <w:bookmarkEnd w:id="0"/>
      <w:r w:rsidDel="00000000" w:rsidR="00000000" w:rsidRPr="00000000">
        <w:rPr>
          <w:rtl w:val="0"/>
        </w:rPr>
        <w:t xml:space="preserve">Bringing ML to the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b w:val="1"/>
          <w:color w:val="cc0000"/>
        </w:rPr>
      </w:pPr>
      <w:bookmarkStart w:colFirst="0" w:colLast="0" w:name="_4ddizmxxwcpi" w:id="1"/>
      <w:bookmarkEnd w:id="1"/>
      <w:r w:rsidDel="00000000" w:rsidR="00000000" w:rsidRPr="00000000">
        <w:rPr>
          <w:rtl w:val="0"/>
        </w:rPr>
        <w:t xml:space="preserve">Week 3: Assessment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Novice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Apprentice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Mastery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and modify tensors in TensorFlow.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the basics of pandas.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linear regression code with one of TensorFlow's high-level APIs.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 with learning rate.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data to train an image classification model.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training through parameters such as training data and number of steps.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Evaluate the accuracy of a model based on test results.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a simple classifier with a reasonable baseline accuracy.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the predictions to make sure our model is reasonable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Propose improvements to increase the accuracy.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0.0" w:type="pct"/>
      <w:tblLayout w:type="fixed"/>
      <w:tblLook w:val="0600"/>
    </w:tblPr>
    <w:tblGrid>
      <w:gridCol w:w="5025"/>
      <w:gridCol w:w="5775"/>
      <w:tblGridChange w:id="0">
        <w:tblGrid>
          <w:gridCol w:w="5025"/>
          <w:gridCol w:w="577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jc w:val="righ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Bringing ML to the Classroom | Assessment Criteria | Page </w:t>
          </w:r>
          <w:r w:rsidDel="00000000" w:rsidR="00000000" w:rsidRPr="00000000">
            <w:rPr>
              <w:color w:val="99999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rFonts w:ascii="Roboto Medium" w:cs="Roboto Medium" w:eastAsia="Roboto Medium" w:hAnsi="Roboto Medium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