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SMEChain Financial Projections &amp; Operational Model (2026)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document outlines the monthly revenue, operational expenses, and profit model for SMEChain based on a 50/50 hybrid team (NJ &amp; India) and a value-based transaction pricing model.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Revenue Model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Projections based on $50,000,000 monthly transaction volume through the ledger.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Revenue Stream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Details / Rate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Monthly Total (USD)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B2B Transaction Fees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0.7% of $50M Volume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$350,000.00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SaaS Subscriptions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$150/mo x 200 active SMEs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$30,000.00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Factoring Marketplace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0.25% fee on $5M funded volume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$12,500.00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Risk Analytics Reports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$100 per report x 50 reports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$5,000.00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GROSS REVENUE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$397,500.00</w:t>
            </w:r>
          </w:p>
        </w:tc>
      </w:tr>
    </w:tbl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Operational Expenses (The "Hybrid" Team)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Team Structure: 5 in Edison, NJ / 5 in India (Pune/Mangalore).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Category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Itemized Details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Monthly Cost (USD)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 Payroll (NJ)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Staff (Founder, Sales, Legal, PM, CS)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$46,500.00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 Payroll Taxes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FICA, Medicare, NJ SUI/DI (Approx. 10%)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$4,800.00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India Payroll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Staff (3 Blockchain, 1 Data, 1 QA)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$12,500.00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Employer of Record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Deel/Remote fees ($500 per India head)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$2,500.00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Cloud Infrastructure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AWS High-Availability + RPC Nodes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$4,000.00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Simplicity Tech Stack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Fireblocks/Web3Auth (MPC Wallets)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$2,500.00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Compliance APIs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KYC/AML + Sanctions Screening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$1,800.00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Legal &amp; Insurance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MSB License + Cyber Liability Insurance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$7,700.00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Rent &amp; Utilities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Edison Hub ($2.8k) + India Hub ($600)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$3,400.00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Marketing &amp; Travel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Anchor Buyer Acquisition &amp; B2B Travel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$15,000.00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FIXED BURN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$100,700.00</w:t>
            </w:r>
          </w:p>
        </w:tc>
      </w:tr>
    </w:tbl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Variable Blockchain Costs (The "Invisible" Layer)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Item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Logic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Monthly Cost (USD)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Gas Sponsorship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$0.05 per TX x 10,000 tx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$500.00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Bundler Service Fees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Account Abstraction overhead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$250.00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VARIABLE COSTS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$750.00</w:t>
            </w:r>
          </w:p>
        </w:tc>
      </w:tr>
    </w:tbl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Profit &amp; Loss Summary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Monthly Gross Revenue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$397,500.00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Monthly Total Expenses (Fixed + Variable)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  <w:rtl w:val="0"/>
              </w:rPr>
              <w:t xml:space="preserve">($101,450.00)</w:t>
            </w:r>
          </w:p>
        </w:tc>
      </w:tr>
      <w:tr>
        <w:trPr>
          <w:cantSplit w:val="0"/>
          <w:tblHeader w:val="0"/>
        </w:trPr>
        <w:tc>
          <w:tcPr>
            <w:shd w:fill="e6f3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50"/>
                <w:szCs w:val="5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50"/>
                <w:szCs w:val="50"/>
                <w:shd w:fill="auto" w:val="clear"/>
                <w:rtl w:val="0"/>
              </w:rPr>
              <w:t xml:space="preserve">NET MONTHLY PROFIT</w:t>
            </w:r>
          </w:p>
        </w:tc>
        <w:tc>
          <w:tcPr>
            <w:shd w:fill="e6f3f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1"/>
                <w:bCs w:val="1"/>
                <w:sz w:val="50"/>
                <w:szCs w:val="5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50"/>
                <w:szCs w:val="50"/>
                <w:shd w:fill="auto" w:val="clear"/>
                <w:rtl w:val="0"/>
              </w:rPr>
              <w:t xml:space="preserve">$296,050.00</w:t>
            </w:r>
          </w:p>
        </w:tc>
      </w:tr>
      <w:tr>
        <w:trPr>
          <w:cantSplit w:val="0"/>
          <w:tblHeader w:val="0"/>
        </w:trPr>
        <w:tc>
          <w:tcPr>
            <w:shd w:fill="d1e7dd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z w:val="50"/>
                <w:szCs w:val="5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50"/>
                <w:szCs w:val="50"/>
                <w:shd w:fill="auto" w:val="clear"/>
                <w:rtl w:val="0"/>
              </w:rPr>
              <w:t xml:space="preserve">ESTIMATED ANNUAL PROFIT</w:t>
            </w:r>
          </w:p>
        </w:tc>
        <w:tc>
          <w:tcPr>
            <w:shd w:fill="d1e7dd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1"/>
                <w:bCs w:val="1"/>
                <w:sz w:val="50"/>
                <w:szCs w:val="5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50"/>
                <w:szCs w:val="50"/>
                <w:shd w:fill="auto" w:val="clear"/>
                <w:rtl w:val="0"/>
              </w:rPr>
              <w:t xml:space="preserve">$3,552,600.00</w:t>
            </w:r>
          </w:p>
        </w:tc>
      </w:tr>
    </w:tbl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This model assumes a 0.7% transaction fee which positions SMEChain as a premium, secure alternative to traditional 1.0%-3.0% legacy payment processors.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