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Blueprint for SMEChain: A B2B Settlement Ledger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SMEChain is a Java-based distributed ledger system designed specifically for supply chain finance and small-to-medium enterprise (SME) invoice settlement. By combining decentralized blockchain technology with centralized compliance and identity layers, it creates a secure environment for business liquidity and cross-border payments.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Blockchain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system is built on a proof-of-work (PoW) consensus mechanism that ensures data immutability and network security without a central clearinghouse.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Technical Components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Transaction Structure:</w:t>
      </w:r>
      <w:r w:rsidDel="00000000" w:rsidR="00000000" w:rsidRPr="00000000">
        <w:rPr>
          <w:rtl w:val="0"/>
        </w:rPr>
        <w:t xml:space="preserve"> Transactions include a payload (invoice ID, amount, due date), a digital signature for authenticity, and a unique SHA-256 hash 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Block Structure:</w:t>
      </w:r>
      <w:r w:rsidDel="00000000" w:rsidR="00000000" w:rsidRPr="00000000">
        <w:rPr>
          <w:rtl w:val="0"/>
        </w:rPr>
        <w:t xml:space="preserve"> Blocks contain a header with a difficulty level, a Merkle root for transaction integrity, a nonce for mining, and a reference to the previous block hash to form the "chain."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Mining and Consensus:</w:t>
      </w:r>
      <w:r w:rsidDel="00000000" w:rsidR="00000000" w:rsidRPr="00000000">
        <w:rPr>
          <w:rtl w:val="0"/>
        </w:rPr>
        <w:t xml:space="preserve"> The system uses a Proof-of-Work miner that solves mathematical puzzles to validate blocks and prevent malicious tampering.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P2P Gossip Protocol:</w:t>
      </w:r>
      <w:r w:rsidDel="00000000" w:rsidR="00000000" w:rsidRPr="00000000">
        <w:rPr>
          <w:rtl w:val="0"/>
        </w:rPr>
        <w:t xml:space="preserve"> Nodes communicate over a peer-to-peer network, sharing transactions and blocks to ensure every participant has a synchronized copy of the ledger.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Invoice Lifecycle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ledger functions as a state machine that tracks an invoice through its entire commercial life: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ISSUE_INVOICE:</w:t>
      </w:r>
      <w:r w:rsidDel="00000000" w:rsidR="00000000" w:rsidRPr="00000000">
        <w:rPr>
          <w:rtl w:val="0"/>
        </w:rPr>
        <w:t xml:space="preserve"> The initial creation of the invoice on the ledger.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ACCEPT_INVOICE:</w:t>
      </w:r>
      <w:r w:rsidDel="00000000" w:rsidR="00000000" w:rsidRPr="00000000">
        <w:rPr>
          <w:rtl w:val="0"/>
        </w:rPr>
        <w:t xml:space="preserve"> The buyer acknowledges the debt.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CONFIRM_DELIVERY:</w:t>
      </w:r>
      <w:r w:rsidDel="00000000" w:rsidR="00000000" w:rsidRPr="00000000">
        <w:rPr>
          <w:rtl w:val="0"/>
        </w:rPr>
        <w:t xml:space="preserve"> Verification that goods or services have been fulfilled.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PAY_INVOICE:</w:t>
      </w:r>
      <w:r w:rsidDel="00000000" w:rsidR="00000000" w:rsidRPr="00000000">
        <w:rPr>
          <w:rtl w:val="0"/>
        </w:rPr>
        <w:t xml:space="preserve"> Final settlement of the transaction.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Dispute Management:</w:t>
      </w:r>
      <w:r w:rsidDel="00000000" w:rsidR="00000000" w:rsidRPr="00000000">
        <w:rPr>
          <w:rtl w:val="0"/>
        </w:rPr>
        <w:t xml:space="preserve"> Includes states for OPEN_DISPUTE and RESOLVE_DISPUTE.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Hybrid Enterprise Features (V2)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While the base layer is decentralized, SMEChain utilizes a hybrid model to satisfy regulatory and business requirements: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(KYC):</w:t>
      </w:r>
      <w:r w:rsidDel="00000000" w:rsidR="00000000" w:rsidRPr="00000000">
        <w:rPr>
          <w:rtl w:val="0"/>
        </w:rPr>
        <w:t xml:space="preserve"> Integrated Know Your Customer providers verify the legal status of businesses before they can join the network.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 Engine:</w:t>
      </w:r>
      <w:r w:rsidDel="00000000" w:rsidR="00000000" w:rsidRPr="00000000">
        <w:rPr>
          <w:rtl w:val="0"/>
        </w:rPr>
        <w:t xml:space="preserve"> Automated rules monitor transaction values and trigger additional verification for high-risk activities.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Fiat Integration:</w:t>
      </w:r>
      <w:r w:rsidDel="00000000" w:rsidR="00000000" w:rsidRPr="00000000">
        <w:rPr>
          <w:rtl w:val="0"/>
        </w:rPr>
        <w:t xml:space="preserve"> On-ramps and off-ramps bridge the gap between traditional bank accounts and on-chain stablecoins for near-instant settlement.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Market Value and Business Model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SMEChain solves the "Trust Gap" and information asymmetry that often prevents SMEs from securing traditional bank financing.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Market Potential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Liquidity:</w:t>
      </w:r>
      <w:r w:rsidDel="00000000" w:rsidR="00000000" w:rsidRPr="00000000">
        <w:rPr>
          <w:rtl w:val="0"/>
        </w:rPr>
        <w:t xml:space="preserve"> Enables invoice factoring, allowing businesses to get paid immediately by selling their "performance proof" to lenders.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Credit Assessment:</w:t>
      </w:r>
      <w:r w:rsidDel="00000000" w:rsidR="00000000" w:rsidRPr="00000000">
        <w:rPr>
          <w:rtl w:val="0"/>
        </w:rPr>
        <w:t xml:space="preserve"> A Python-based analytics engine parses ledger history to generate immutable risk reports, helping SMEs build a verifiable credit reputation.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 Reduction:</w:t>
      </w:r>
      <w:r w:rsidDel="00000000" w:rsidR="00000000" w:rsidRPr="00000000">
        <w:rPr>
          <w:rtl w:val="0"/>
        </w:rPr>
        <w:t xml:space="preserve"> Bypasses traditional wire transfer fees and 3-5 day bank settlement delays through stablecoin bridges.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Monetization Strategies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Transaction fees on invoice settlements and fiat-to-stablecoin conversions.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Origination fees for connecting SMEs with institutional lenders in a factoring marketplace.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Subscription-based premium analytics and risk reports for lenders and corporate buyers.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Strategic Roadmap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(V1):</w:t>
      </w:r>
      <w:r w:rsidDel="00000000" w:rsidR="00000000" w:rsidRPr="00000000">
        <w:rPr>
          <w:rtl w:val="0"/>
        </w:rPr>
        <w:t xml:space="preserve"> Focus on core ledger security, preventing double-invoicing, and pilot programs with trusted supplier-buyer pairs.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(V2):</w:t>
      </w:r>
      <w:r w:rsidDel="00000000" w:rsidR="00000000" w:rsidRPr="00000000">
        <w:rPr>
          <w:rtl w:val="0"/>
        </w:rPr>
        <w:t xml:space="preserve"> Activation of the full compliance engine, KYC enforcement, and stablecoin liquidity bridges for cross-border trade.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