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vwp59yf32t2" w:id="0"/>
      <w:bookmarkEnd w:id="0"/>
      <w:r w:rsidDel="00000000" w:rsidR="00000000" w:rsidRPr="00000000">
        <w:rPr>
          <w:rtl w:val="0"/>
        </w:rPr>
        <w:t xml:space="preserve">The Journey of an Invoice: A Guide to the SMEChain Ledger</w:t>
      </w:r>
    </w:p>
    <w:p w:rsidR="00000000" w:rsidDel="00000000" w:rsidP="00000000" w:rsidRDefault="00000000" w:rsidRPr="00000000" w14:paraId="00000002">
      <w:pPr>
        <w:pStyle w:val="Heading4"/>
        <w:rPr/>
      </w:pPr>
      <w:bookmarkStart w:colFirst="0" w:colLast="0" w:name="_k2fydf8l992z" w:id="1"/>
      <w:bookmarkEnd w:id="1"/>
      <w:r w:rsidDel="00000000" w:rsidR="00000000" w:rsidRPr="00000000">
        <w:rPr>
          <w:rtl w:val="0"/>
        </w:rPr>
        <w:t xml:space="preserve">1. The Foundation: Understanding SMEChain</w:t>
      </w:r>
    </w:p>
    <w:p w:rsidR="00000000" w:rsidDel="00000000" w:rsidP="00000000" w:rsidRDefault="00000000" w:rsidRPr="00000000" w14:paraId="00000003">
      <w:pPr>
        <w:rPr/>
      </w:pPr>
      <w:r w:rsidDel="00000000" w:rsidR="00000000" w:rsidRPr="00000000">
        <w:rPr>
          <w:rtl w:val="0"/>
        </w:rPr>
        <w:t xml:space="preserve">SMEChain is a Java-based distributed ledger architecture engineered specifically for B2B settlements and supply chain finance. Its primary objective is to modernize the infrastructure through which small-to-medium enterprises (SMEs) interact with global markets. By replacing the manual, high-friction verification processes of traditional banking with a decentralized record, SMEChain facilitates a transition from multi-day settlement delays to near-instant liquidity.A central priority for the SMEChain ecosystem is the elimination of the "Trust Gap," a systemic hurdle that historically limits SME growth.</w:t>
      </w:r>
      <w:r w:rsidDel="00000000" w:rsidR="00000000" w:rsidRPr="00000000">
        <w:rPr>
          <w:b w:val="1"/>
          <w:bCs w:val="1"/>
          <w:rtl w:val="0"/>
        </w:rPr>
        <w:t xml:space="preserve">Key Concept: The Trust Gap</w:t>
      </w:r>
      <w:r w:rsidDel="00000000" w:rsidR="00000000" w:rsidRPr="00000000">
        <w:rPr>
          <w:rtl w:val="0"/>
        </w:rPr>
        <w:t xml:space="preserve">  The "Trust Gap" is the information asymmetry between SMEs and financial institutions. Because banks often lack real-time visibility into an SME's invoicing history or delivery performance, they categorize these businesses as high-risk. This lack of transparency leads to funding denials or prohibitive interest rates, effectively stalling the SME’s ability to scale.Beyond bridging this gap, the ledger is designed to prevent "double-invoicing"—a common fraud where the same invoice is sold to multiple lenders—by ensuring each transaction is unique and immutable from the moment of inception. Digital trust is not a sentiment; it is a technical requirement achieved through four specific pillars.</w:t>
      </w:r>
    </w:p>
    <w:p w:rsidR="00000000" w:rsidDel="00000000" w:rsidP="00000000" w:rsidRDefault="00000000" w:rsidRPr="00000000" w14:paraId="00000004">
      <w:pPr>
        <w:pStyle w:val="Heading4"/>
        <w:rPr/>
      </w:pPr>
      <w:bookmarkStart w:colFirst="0" w:colLast="0" w:name="_jua4jzrdij9h" w:id="2"/>
      <w:bookmarkEnd w:id="2"/>
      <w:r w:rsidDel="00000000" w:rsidR="00000000" w:rsidRPr="00000000">
        <w:rPr>
          <w:rtl w:val="0"/>
        </w:rPr>
        <w:t xml:space="preserve">2. The Engine: Technical Pillars of the Ledger</w:t>
      </w:r>
    </w:p>
    <w:p w:rsidR="00000000" w:rsidDel="00000000" w:rsidP="00000000" w:rsidRDefault="00000000" w:rsidRPr="00000000" w14:paraId="00000005">
      <w:pPr>
        <w:rPr/>
      </w:pPr>
      <w:r w:rsidDel="00000000" w:rsidR="00000000" w:rsidRPr="00000000">
        <w:rPr>
          <w:rtl w:val="0"/>
        </w:rPr>
        <w:t xml:space="preserve">The integrity of the SMEChain ecosystem is maintained by a specialized technical stack. These four components ensure that every invoice is authentic, traceable, and resistant to tampering.| Component Name | Function | Learner Insight (The "So What?") || ------ | ------ | ------ || </w:t>
      </w:r>
      <w:r w:rsidDel="00000000" w:rsidR="00000000" w:rsidRPr="00000000">
        <w:rPr>
          <w:b w:val="1"/>
          <w:bCs w:val="1"/>
          <w:rtl w:val="0"/>
        </w:rPr>
        <w:t xml:space="preserve">Transaction Structure</w:t>
      </w:r>
      <w:r w:rsidDel="00000000" w:rsidR="00000000" w:rsidRPr="00000000">
        <w:rPr>
          <w:rtl w:val="0"/>
        </w:rPr>
        <w:t xml:space="preserve"> | Encapsulates the payload (Invoice ID, amount, date), digital signatures, and unique SHA-256 hashes. | This ensures the authenticity of the invoice; any unauthorized change to the payload would invalidate the digital signature and break the hash. || </w:t>
      </w:r>
      <w:r w:rsidDel="00000000" w:rsidR="00000000" w:rsidRPr="00000000">
        <w:rPr>
          <w:b w:val="1"/>
          <w:bCs w:val="1"/>
          <w:rtl w:val="0"/>
        </w:rPr>
        <w:t xml:space="preserve">Block Structure</w:t>
      </w:r>
      <w:r w:rsidDel="00000000" w:rsidR="00000000" w:rsidRPr="00000000">
        <w:rPr>
          <w:rtl w:val="0"/>
        </w:rPr>
        <w:t xml:space="preserve"> | Groups transactions into blocks containing a Merkle root, difficulty levels, nonces, and a pointer to the previous block hash. | The "chain" logic ensures that changing a single transaction would require recalculating every subsequent block, making historical fraud computationally impossible. || </w:t>
      </w:r>
      <w:r w:rsidDel="00000000" w:rsidR="00000000" w:rsidRPr="00000000">
        <w:rPr>
          <w:b w:val="1"/>
          <w:bCs w:val="1"/>
          <w:rtl w:val="0"/>
        </w:rPr>
        <w:t xml:space="preserve">Mining &amp; Consensus</w:t>
      </w:r>
      <w:r w:rsidDel="00000000" w:rsidR="00000000" w:rsidRPr="00000000">
        <w:rPr>
          <w:rtl w:val="0"/>
        </w:rPr>
        <w:t xml:space="preserve"> | Employs a Proof-of-Work (PoW) miner to solve mathematical puzzles that validate new blocks. | This decentralizes security, ensuring that no single actor can manipulate the ledger without possessing the majority of the network's computational power. || </w:t>
      </w:r>
      <w:r w:rsidDel="00000000" w:rsidR="00000000" w:rsidRPr="00000000">
        <w:rPr>
          <w:b w:val="1"/>
          <w:bCs w:val="1"/>
          <w:rtl w:val="0"/>
        </w:rPr>
        <w:t xml:space="preserve">P2P Gossip Protocol</w:t>
      </w:r>
      <w:r w:rsidDel="00000000" w:rsidR="00000000" w:rsidRPr="00000000">
        <w:rPr>
          <w:rtl w:val="0"/>
        </w:rPr>
        <w:t xml:space="preserve"> | Orchestrates the communication between nodes, sharing new transactions and blocks across the network. | By maintaining a synchronized, global copy of the ledger, the system removes the need for a central clearinghouse or bank to verify the state of a payment. |</w:t>
      </w:r>
    </w:p>
    <w:p w:rsidR="00000000" w:rsidDel="00000000" w:rsidP="00000000" w:rsidRDefault="00000000" w:rsidRPr="00000000" w14:paraId="00000006">
      <w:pPr>
        <w:rPr/>
      </w:pPr>
      <w:r w:rsidDel="00000000" w:rsidR="00000000" w:rsidRPr="00000000">
        <w:rPr>
          <w:rtl w:val="0"/>
        </w:rPr>
        <w:t xml:space="preserve">These technical pillars provide the secure stage upon which the invoice lifecycle performs its digital journey.</w:t>
      </w:r>
    </w:p>
    <w:p w:rsidR="00000000" w:rsidDel="00000000" w:rsidP="00000000" w:rsidRDefault="00000000" w:rsidRPr="00000000" w14:paraId="00000007">
      <w:pPr>
        <w:pStyle w:val="Heading4"/>
        <w:rPr/>
      </w:pPr>
      <w:bookmarkStart w:colFirst="0" w:colLast="0" w:name="_9lvxlzc5imty" w:id="3"/>
      <w:bookmarkEnd w:id="3"/>
      <w:r w:rsidDel="00000000" w:rsidR="00000000" w:rsidRPr="00000000">
        <w:rPr>
          <w:rtl w:val="0"/>
        </w:rPr>
        <w:t xml:space="preserve">3. The State Machine: A Step-by-Step Journey to Settlement</w:t>
      </w:r>
    </w:p>
    <w:p w:rsidR="00000000" w:rsidDel="00000000" w:rsidP="00000000" w:rsidRDefault="00000000" w:rsidRPr="00000000" w14:paraId="00000008">
      <w:pPr>
        <w:rPr/>
      </w:pPr>
      <w:r w:rsidDel="00000000" w:rsidR="00000000" w:rsidRPr="00000000">
        <w:rPr>
          <w:rtl w:val="0"/>
        </w:rPr>
        <w:t xml:space="preserve">In the SMEChain environment, an invoice is managed as a state machine. This structure tracks the commercial evolution of an invoice, ensuring that state transitions occur only when specific business requirements are met.</w:t>
      </w:r>
    </w:p>
    <w:p w:rsidR="00000000" w:rsidDel="00000000" w:rsidP="00000000" w:rsidRDefault="00000000" w:rsidRPr="00000000" w14:paraId="00000009">
      <w:pPr>
        <w:numPr>
          <w:ilvl w:val="0"/>
          <w:numId w:val="1"/>
        </w:numPr>
        <w:ind w:left="720" w:hanging="360"/>
        <w:rPr>
          <w:b w:val="1"/>
          <w:bCs w:val="1"/>
          <w:u w:val="none"/>
        </w:rPr>
      </w:pPr>
      <w:r w:rsidDel="00000000" w:rsidR="00000000" w:rsidRPr="00000000">
        <w:rPr>
          <w:b w:val="1"/>
          <w:bCs w:val="1"/>
          <w:rtl w:val="0"/>
        </w:rPr>
        <w:t xml:space="preserve">ISSUE_INVOICE (The Creation Phase)</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Commercial Trigger:</w:t>
      </w:r>
      <w:r w:rsidDel="00000000" w:rsidR="00000000" w:rsidRPr="00000000">
        <w:rPr>
          <w:rtl w:val="0"/>
        </w:rPr>
        <w:t xml:space="preserve">  The seller generates the invoice on the ledger to create the initial "Proof of Performance." This establishes a verified record of the intent to bill for goods or services rendered.</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ACCEPT_INVOICE (The Acknowledgement of Debt)</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Commercial Trigger:</w:t>
      </w:r>
      <w:r w:rsidDel="00000000" w:rsidR="00000000" w:rsidRPr="00000000">
        <w:rPr>
          <w:rtl w:val="0"/>
        </w:rPr>
        <w:t xml:space="preserve">  The buyer digitally signs the invoice on the ledger. This action transforms the invoice from a mere request for payment into a  </w:t>
      </w:r>
      <w:r w:rsidDel="00000000" w:rsidR="00000000" w:rsidRPr="00000000">
        <w:rPr>
          <w:b w:val="1"/>
          <w:bCs w:val="1"/>
          <w:rtl w:val="0"/>
        </w:rPr>
        <w:t xml:space="preserve">negotiable instrument</w:t>
      </w:r>
      <w:r w:rsidDel="00000000" w:rsidR="00000000" w:rsidRPr="00000000">
        <w:rPr>
          <w:rtl w:val="0"/>
        </w:rPr>
        <w:t xml:space="preserve"> . By acknowledging the debt, the buyer provides the legal certainty required for the seller to sell the invoice for factoring and immediate liquidity.</w:t>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CONFIRM_DELIVERY (The Verification of Fulfillment)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Commercial Trigger:</w:t>
      </w:r>
      <w:r w:rsidDel="00000000" w:rsidR="00000000" w:rsidRPr="00000000">
        <w:rPr>
          <w:rtl w:val="0"/>
        </w:rPr>
        <w:t xml:space="preserve">  The buyer confirms the receipt of goods or services. This state acts as the ultimate "Performance Proof" for lenders, unlocking the buyer’s contractual obligation to pay and mitigating the risk of payment-before-delivery disputes.</w:t>
      </w:r>
    </w:p>
    <w:p w:rsidR="00000000" w:rsidDel="00000000" w:rsidP="00000000" w:rsidRDefault="00000000" w:rsidRPr="00000000" w14:paraId="0000000F">
      <w:pPr>
        <w:numPr>
          <w:ilvl w:val="0"/>
          <w:numId w:val="1"/>
        </w:numPr>
        <w:ind w:left="720" w:hanging="360"/>
        <w:rPr>
          <w:b w:val="1"/>
          <w:bCs w:val="1"/>
        </w:rPr>
      </w:pPr>
      <w:r w:rsidDel="00000000" w:rsidR="00000000" w:rsidRPr="00000000">
        <w:rPr>
          <w:b w:val="1"/>
          <w:bCs w:val="1"/>
          <w:rtl w:val="0"/>
        </w:rPr>
        <w:t xml:space="preserve">PAY_INVOICE (The Final Settlement Trigger)</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Commercial Trigger:</w:t>
      </w:r>
      <w:r w:rsidDel="00000000" w:rsidR="00000000" w:rsidRPr="00000000">
        <w:rPr>
          <w:rtl w:val="0"/>
        </w:rPr>
        <w:t xml:space="preserve">  The actual execution of payment. Reaching this state clears the debt from the ledger and provides an immutable record of financial fulfillment for audit and credit-building purposes.To account for operational friction and exceptions in the supply chain, the system includes a dedicated layer to handle deviations from the standard flow.</w:t>
      </w:r>
    </w:p>
    <w:p w:rsidR="00000000" w:rsidDel="00000000" w:rsidP="00000000" w:rsidRDefault="00000000" w:rsidRPr="00000000" w14:paraId="00000011">
      <w:pPr>
        <w:pStyle w:val="Heading4"/>
        <w:rPr/>
      </w:pPr>
      <w:bookmarkStart w:colFirst="0" w:colLast="0" w:name="_gbcsowffkfw8" w:id="4"/>
      <w:bookmarkEnd w:id="4"/>
      <w:r w:rsidDel="00000000" w:rsidR="00000000" w:rsidRPr="00000000">
        <w:rPr>
          <w:rtl w:val="0"/>
        </w:rPr>
        <w:t xml:space="preserve">4. Exception Handling: The Dispute Management Layer</w:t>
      </w:r>
    </w:p>
    <w:p w:rsidR="00000000" w:rsidDel="00000000" w:rsidP="00000000" w:rsidRDefault="00000000" w:rsidRPr="00000000" w14:paraId="00000012">
      <w:pPr>
        <w:rPr/>
      </w:pPr>
      <w:r w:rsidDel="00000000" w:rsidR="00000000" w:rsidRPr="00000000">
        <w:rPr>
          <w:rtl w:val="0"/>
        </w:rPr>
        <w:t xml:space="preserve">SMEChain provides a transparent mechanism for managing billing or delivery errors without compromising the integrity of the ledger.</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OPEN_DISPUTE</w:t>
      </w:r>
      <w:r w:rsidDel="00000000" w:rsidR="00000000" w:rsidRPr="00000000">
        <w:rPr>
          <w:rtl w:val="0"/>
        </w:rPr>
        <w:t xml:space="preserve"> : This state is triggered when a mismatch occurs between the invoice and the delivered items. Critically, this action  </w:t>
      </w:r>
      <w:r w:rsidDel="00000000" w:rsidR="00000000" w:rsidRPr="00000000">
        <w:rPr>
          <w:b w:val="1"/>
          <w:bCs w:val="1"/>
          <w:rtl w:val="0"/>
        </w:rPr>
        <w:t xml:space="preserve">halts the state transition process</w:t>
      </w:r>
      <w:r w:rsidDel="00000000" w:rsidR="00000000" w:rsidRPr="00000000">
        <w:rPr>
          <w:rtl w:val="0"/>
        </w:rPr>
        <w:t xml:space="preserve"> , preventing an accidental PAY_INVOICE trigger while the discrepancy is being investigated.</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RESOLVE_DISPUTE</w:t>
      </w:r>
      <w:r w:rsidDel="00000000" w:rsidR="00000000" w:rsidRPr="00000000">
        <w:rPr>
          <w:rtl w:val="0"/>
        </w:rPr>
        <w:t xml:space="preserve"> : Once the parties reach a consensus—such as a credit adjustment or re-delivery—the dispute is cleared. Only after this resolution can the invoice resume its path toward settlement.While the state machine manages commercial flow, the hybrid layer ensures the ecosystem meets the rigorous standards of global finance.</w:t>
      </w:r>
    </w:p>
    <w:p w:rsidR="00000000" w:rsidDel="00000000" w:rsidP="00000000" w:rsidRDefault="00000000" w:rsidRPr="00000000" w14:paraId="00000015">
      <w:pPr>
        <w:pStyle w:val="Heading4"/>
        <w:rPr/>
      </w:pPr>
      <w:bookmarkStart w:colFirst="0" w:colLast="0" w:name="_wmpltknf5pe2" w:id="5"/>
      <w:bookmarkEnd w:id="5"/>
      <w:r w:rsidDel="00000000" w:rsidR="00000000" w:rsidRPr="00000000">
        <w:rPr>
          <w:rtl w:val="0"/>
        </w:rPr>
        <w:t xml:space="preserve">5. The Hybrid Layer: Identity and Compliance</w:t>
      </w:r>
    </w:p>
    <w:p w:rsidR="00000000" w:rsidDel="00000000" w:rsidP="00000000" w:rsidRDefault="00000000" w:rsidRPr="00000000" w14:paraId="00000016">
      <w:pPr>
        <w:rPr/>
      </w:pPr>
      <w:r w:rsidDel="00000000" w:rsidR="00000000" w:rsidRPr="00000000">
        <w:rPr>
          <w:rtl w:val="0"/>
        </w:rPr>
        <w:t xml:space="preserve">To transition from a technical framework to a regulated financial tool, SMEChain incorporates enterprise features that balance decentralization with legal accountability.</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Identity (KYC):</w:t>
      </w:r>
      <w:r w:rsidDel="00000000" w:rsidR="00000000" w:rsidRPr="00000000">
        <w:rPr>
          <w:rtl w:val="0"/>
        </w:rPr>
        <w:t xml:space="preserve">  Mandatory Know Your Customer (KYC) verification for all participants. This solves the anonymity problem inherent in public blockchains, which is a significant barrier for regulated B2B finance.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Compliance Engine:</w:t>
      </w:r>
      <w:r w:rsidDel="00000000" w:rsidR="00000000" w:rsidRPr="00000000">
        <w:rPr>
          <w:rtl w:val="0"/>
        </w:rPr>
        <w:t xml:space="preserve">  An automated oversight system that monitors transaction behavior to ensure alignment with Anti-Money Laundering (AML) laws. It triggers manual verification for high-risk or anomalous activity.</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Fiat Integration:</w:t>
      </w:r>
      <w:r w:rsidDel="00000000" w:rsidR="00000000" w:rsidRPr="00000000">
        <w:rPr>
          <w:rtl w:val="0"/>
        </w:rPr>
        <w:t xml:space="preserve">  Secure on-ramps and off-ramps that allow businesses to bridge the gap between traditional bank accounts and stablecoins. This enables the speed of blockchain settlement while maintaining the utility of traditional currency.The integration of these layers ensures the system delivers measurable market value to its users.</w:t>
      </w:r>
    </w:p>
    <w:p w:rsidR="00000000" w:rsidDel="00000000" w:rsidP="00000000" w:rsidRDefault="00000000" w:rsidRPr="00000000" w14:paraId="0000001A">
      <w:pPr>
        <w:pStyle w:val="Heading4"/>
        <w:rPr/>
      </w:pPr>
      <w:bookmarkStart w:colFirst="0" w:colLast="0" w:name="_nws5brakejkd" w:id="6"/>
      <w:bookmarkEnd w:id="6"/>
      <w:r w:rsidDel="00000000" w:rsidR="00000000" w:rsidRPr="00000000">
        <w:rPr>
          <w:rtl w:val="0"/>
        </w:rPr>
        <w:t xml:space="preserve">6. Synthesis: The Real-World Impact for SMEs</w:t>
      </w:r>
    </w:p>
    <w:p w:rsidR="00000000" w:rsidDel="00000000" w:rsidP="00000000" w:rsidRDefault="00000000" w:rsidRPr="00000000" w14:paraId="0000001B">
      <w:pPr>
        <w:rPr/>
      </w:pPr>
      <w:r w:rsidDel="00000000" w:rsidR="00000000" w:rsidRPr="00000000">
        <w:rPr>
          <w:rtl w:val="0"/>
        </w:rPr>
        <w:t xml:space="preserve">By converting invoice data into an immutable, verifiable history, SMEChain provides SMEs with competitive advantages that the traditional banking model cannot replicate.| Value Driver | Traditional Banking Process | SMEChain Process || ------ | ------ | ------ || </w:t>
      </w:r>
      <w:r w:rsidDel="00000000" w:rsidR="00000000" w:rsidRPr="00000000">
        <w:rPr>
          <w:b w:val="1"/>
          <w:bCs w:val="1"/>
          <w:rtl w:val="0"/>
        </w:rPr>
        <w:t xml:space="preserve">Liquidity</w:t>
      </w:r>
      <w:r w:rsidDel="00000000" w:rsidR="00000000" w:rsidRPr="00000000">
        <w:rPr>
          <w:rtl w:val="0"/>
        </w:rPr>
        <w:t xml:space="preserve"> | SMEs wait 30–90 days for payment or face complex, manual loan applications. | </w:t>
      </w:r>
      <w:r w:rsidDel="00000000" w:rsidR="00000000" w:rsidRPr="00000000">
        <w:rPr>
          <w:b w:val="1"/>
          <w:bCs w:val="1"/>
          <w:rtl w:val="0"/>
        </w:rPr>
        <w:t xml:space="preserve">Factoring:</w:t>
      </w:r>
      <w:r w:rsidDel="00000000" w:rsidR="00000000" w:rsidRPr="00000000">
        <w:rPr>
          <w:rtl w:val="0"/>
        </w:rPr>
        <w:t xml:space="preserve">  Invoices in the ACCEPT_INVOICE state are sold to lenders for immediate cash, backed by the buyer's acknowledgement. || </w:t>
      </w:r>
      <w:r w:rsidDel="00000000" w:rsidR="00000000" w:rsidRPr="00000000">
        <w:rPr>
          <w:b w:val="1"/>
          <w:bCs w:val="1"/>
          <w:rtl w:val="0"/>
        </w:rPr>
        <w:t xml:space="preserve">Credit Assessment</w:t>
      </w:r>
      <w:r w:rsidDel="00000000" w:rsidR="00000000" w:rsidRPr="00000000">
        <w:rPr>
          <w:rtl w:val="0"/>
        </w:rPr>
        <w:t xml:space="preserve"> | Creditworthiness is based on subjective reviews and opaque paper records. | </w:t>
      </w:r>
      <w:r w:rsidDel="00000000" w:rsidR="00000000" w:rsidRPr="00000000">
        <w:rPr>
          <w:b w:val="1"/>
          <w:bCs w:val="1"/>
          <w:rtl w:val="0"/>
        </w:rPr>
        <w:t xml:space="preserve">Risk Reports:</w:t>
      </w:r>
      <w:r w:rsidDel="00000000" w:rsidR="00000000" w:rsidRPr="00000000">
        <w:rPr>
          <w:rtl w:val="0"/>
        </w:rPr>
        <w:t xml:space="preserve">  A Python-based analytics engine generates immutable reports using ledger history to build a verifiable credit reputation. || </w:t>
      </w:r>
      <w:r w:rsidDel="00000000" w:rsidR="00000000" w:rsidRPr="00000000">
        <w:rPr>
          <w:b w:val="1"/>
          <w:bCs w:val="1"/>
          <w:rtl w:val="0"/>
        </w:rPr>
        <w:t xml:space="preserve">Cost Reduction</w:t>
      </w:r>
      <w:r w:rsidDel="00000000" w:rsidR="00000000" w:rsidRPr="00000000">
        <w:rPr>
          <w:rtl w:val="0"/>
        </w:rPr>
        <w:t xml:space="preserve"> | Wire transfers incur high fees and 3-5 day settlement delays. | </w:t>
      </w:r>
      <w:r w:rsidDel="00000000" w:rsidR="00000000" w:rsidRPr="00000000">
        <w:rPr>
          <w:b w:val="1"/>
          <w:bCs w:val="1"/>
          <w:rtl w:val="0"/>
        </w:rPr>
        <w:t xml:space="preserve">Stablecoin Bridges:</w:t>
      </w:r>
      <w:r w:rsidDel="00000000" w:rsidR="00000000" w:rsidRPr="00000000">
        <w:rPr>
          <w:rtl w:val="0"/>
        </w:rPr>
        <w:t xml:space="preserve">  Reaching the PAY_INVOICE state triggers near-instant settlement, bypassing traditional bank fees and delays. |</w:t>
      </w:r>
    </w:p>
    <w:p w:rsidR="00000000" w:rsidDel="00000000" w:rsidP="00000000" w:rsidRDefault="00000000" w:rsidRPr="00000000" w14:paraId="0000001C">
      <w:pPr>
        <w:rPr/>
      </w:pPr>
      <w:r w:rsidDel="00000000" w:rsidR="00000000" w:rsidRPr="00000000">
        <w:rPr>
          <w:b w:val="1"/>
          <w:bCs w:val="1"/>
          <w:rtl w:val="0"/>
        </w:rPr>
        <w:t xml:space="preserve">Conclusion</w:t>
      </w:r>
      <w:r w:rsidDel="00000000" w:rsidR="00000000" w:rsidRPr="00000000">
        <w:rPr>
          <w:rtl w:val="0"/>
        </w:rPr>
        <w:t xml:space="preserve">  The SMEChain roadmap is structured to move the industry from uncertainty to verified data.  </w:t>
      </w:r>
      <w:r w:rsidDel="00000000" w:rsidR="00000000" w:rsidRPr="00000000">
        <w:rPr>
          <w:b w:val="1"/>
          <w:bCs w:val="1"/>
          <w:rtl w:val="0"/>
        </w:rPr>
        <w:t xml:space="preserve">Phase 1</w:t>
      </w:r>
      <w:r w:rsidDel="00000000" w:rsidR="00000000" w:rsidRPr="00000000">
        <w:rPr>
          <w:rtl w:val="0"/>
        </w:rPr>
        <w:t xml:space="preserve">  focuses on establishing the core integrity of the ledger and preventing double-invoicing through secure supplier-buyer pilots.  </w:t>
      </w:r>
      <w:r w:rsidDel="00000000" w:rsidR="00000000" w:rsidRPr="00000000">
        <w:rPr>
          <w:b w:val="1"/>
          <w:bCs w:val="1"/>
          <w:rtl w:val="0"/>
        </w:rPr>
        <w:t xml:space="preserve">Phase 2</w:t>
      </w:r>
      <w:r w:rsidDel="00000000" w:rsidR="00000000" w:rsidRPr="00000000">
        <w:rPr>
          <w:rtl w:val="0"/>
        </w:rPr>
        <w:t xml:space="preserve">  expands this into a full-scale ecosystem with cross-border interoperability, fiat liquidity bridges, and full compliance enforcement. Through this evolution, SMEChain transforms the humble invoice into a powerful engine for global trade liquidity.</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