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1894" w14:textId="4AE2782C" w:rsidR="00EE1505" w:rsidRPr="003644E0" w:rsidRDefault="00000000">
      <w:pPr>
        <w:spacing w:before="240" w:after="240"/>
        <w:jc w:val="center"/>
        <w:rPr>
          <w:b/>
          <w:bCs/>
          <w:color w:val="000000" w:themeColor="text1"/>
          <w:sz w:val="36"/>
          <w:szCs w:val="36"/>
        </w:rPr>
      </w:pPr>
      <w:r w:rsidRPr="003644E0">
        <w:rPr>
          <w:b/>
          <w:bCs/>
          <w:color w:val="000000" w:themeColor="text1"/>
          <w:sz w:val="36"/>
          <w:szCs w:val="36"/>
        </w:rPr>
        <w:t xml:space="preserve">RESULT ANALYSIS </w:t>
      </w:r>
    </w:p>
    <w:p w14:paraId="0B9AB857" w14:textId="77777777" w:rsidR="00EE1505" w:rsidRDefault="00000000">
      <w:pPr>
        <w:spacing w:after="360"/>
        <w:jc w:val="center"/>
      </w:pPr>
      <w:r>
        <w:t>Sentinel Route: Enhancing Urban Navigation Using Route Intelligence System</w:t>
      </w:r>
    </w:p>
    <w:p w14:paraId="499E9B86" w14:textId="77777777" w:rsidR="00EE1505" w:rsidRPr="003644E0" w:rsidRDefault="00000000">
      <w:pPr>
        <w:pStyle w:val="Heading1"/>
        <w:rPr>
          <w:color w:val="000000" w:themeColor="text1"/>
        </w:rPr>
      </w:pPr>
      <w:r w:rsidRPr="003644E0">
        <w:rPr>
          <w:color w:val="000000" w:themeColor="text1"/>
        </w:rPr>
        <w:t>1. Experimental Setup &amp; Dataset Overview</w:t>
      </w:r>
    </w:p>
    <w:p w14:paraId="60B3EDAC" w14:textId="77777777" w:rsidR="003B39CD" w:rsidRDefault="00000000">
      <w:pPr>
        <w:spacing w:after="120" w:line="360" w:lineRule="auto"/>
        <w:jc w:val="both"/>
        <w:rPr>
          <w:sz w:val="18"/>
          <w:szCs w:val="18"/>
        </w:rPr>
      </w:pPr>
      <w:r w:rsidRPr="003644E0">
        <w:rPr>
          <w:sz w:val="18"/>
          <w:szCs w:val="18"/>
        </w:rPr>
        <w:t xml:space="preserve">This study evaluates a sentiment-based route optimization system designed to enhance urban navigation safety. The experimental framework utilized a dataset of simulated Google Maps reviews from 25 Delhi localities with approximately 4 reviews per locality (100 total samples). The dataset comprised semi-structured data including review text, geospatial coordinates, infrastructure features (lighting conditions: poor=0, moderate=1, good=2; police patrolling: binary 0/1), and manually annotated safety scores. The proposed system was evaluated using multiple deep learning-based NLP models (VADER and Roberta) integrated with a weighted graph routing algorithm. Performance metrics included classification accuracy, precision, recall, F1-score, Mean Absolute Error (MAE) for score prediction, and route safety improvement measurements. All experiments were conducted in Python using </w:t>
      </w:r>
      <w:r w:rsidR="00EC315D" w:rsidRPr="003644E0">
        <w:rPr>
          <w:sz w:val="18"/>
          <w:szCs w:val="18"/>
        </w:rPr>
        <w:t>Fast API</w:t>
      </w:r>
      <w:r w:rsidRPr="003644E0">
        <w:rPr>
          <w:sz w:val="18"/>
          <w:szCs w:val="18"/>
        </w:rPr>
        <w:t xml:space="preserve"> backend with React frontend visualization, executed on standard CPU resources with reproducible random seeds.</w:t>
      </w:r>
    </w:p>
    <w:p w14:paraId="64C14D2D" w14:textId="44934467" w:rsidR="00EE1505" w:rsidRPr="003644E0" w:rsidRDefault="003B39CD">
      <w:pPr>
        <w:spacing w:after="120" w:line="360" w:lineRule="auto"/>
        <w:jc w:val="both"/>
        <w:rPr>
          <w:sz w:val="18"/>
          <w:szCs w:val="18"/>
        </w:rPr>
      </w:pPr>
      <w:r>
        <w:rPr>
          <w:noProof/>
          <w:sz w:val="18"/>
          <w:szCs w:val="18"/>
        </w:rPr>
        <w:drawing>
          <wp:inline distT="0" distB="0" distL="0" distR="0" wp14:anchorId="5336EAE5" wp14:editId="316EE955">
            <wp:extent cx="5638800" cy="3215640"/>
            <wp:effectExtent l="0" t="0" r="0" b="3810"/>
            <wp:docPr id="124350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8800" cy="3215640"/>
                    </a:xfrm>
                    <a:prstGeom prst="rect">
                      <a:avLst/>
                    </a:prstGeom>
                    <a:noFill/>
                    <a:ln>
                      <a:noFill/>
                    </a:ln>
                  </pic:spPr>
                </pic:pic>
              </a:graphicData>
            </a:graphic>
          </wp:inline>
        </w:drawing>
      </w:r>
    </w:p>
    <w:p w14:paraId="4A281670" w14:textId="77777777" w:rsidR="003B39CD" w:rsidRDefault="003B39CD">
      <w:pPr>
        <w:pStyle w:val="Heading1"/>
        <w:rPr>
          <w:color w:val="000000" w:themeColor="text1"/>
        </w:rPr>
      </w:pPr>
    </w:p>
    <w:p w14:paraId="14BF82B4" w14:textId="77777777" w:rsidR="003B39CD" w:rsidRDefault="003B39CD">
      <w:pPr>
        <w:pStyle w:val="Heading1"/>
        <w:rPr>
          <w:color w:val="000000" w:themeColor="text1"/>
        </w:rPr>
      </w:pPr>
    </w:p>
    <w:p w14:paraId="66BAADF5" w14:textId="5FEAEC9A" w:rsidR="00EE1505" w:rsidRPr="003644E0" w:rsidRDefault="003B39CD">
      <w:pPr>
        <w:pStyle w:val="Heading1"/>
        <w:rPr>
          <w:color w:val="000000" w:themeColor="text1"/>
        </w:rPr>
      </w:pPr>
      <w:r>
        <w:rPr>
          <w:noProof/>
          <w:color w:val="000000" w:themeColor="text1"/>
        </w:rPr>
        <w:lastRenderedPageBreak/>
        <w:drawing>
          <wp:inline distT="0" distB="0" distL="0" distR="0" wp14:anchorId="2B8115C7" wp14:editId="154A56A6">
            <wp:extent cx="5943600" cy="2293620"/>
            <wp:effectExtent l="0" t="0" r="0" b="0"/>
            <wp:docPr id="895853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93620"/>
                    </a:xfrm>
                    <a:prstGeom prst="rect">
                      <a:avLst/>
                    </a:prstGeom>
                    <a:noFill/>
                    <a:ln>
                      <a:noFill/>
                    </a:ln>
                  </pic:spPr>
                </pic:pic>
              </a:graphicData>
            </a:graphic>
          </wp:inline>
        </w:drawing>
      </w:r>
      <w:r w:rsidRPr="003644E0">
        <w:rPr>
          <w:color w:val="000000" w:themeColor="text1"/>
        </w:rPr>
        <w:t>2. Quantitative Results</w:t>
      </w:r>
    </w:p>
    <w:p w14:paraId="22B07E73" w14:textId="3BCDBF07" w:rsidR="00EE1505" w:rsidRDefault="00000000">
      <w:pPr>
        <w:spacing w:after="120" w:line="360" w:lineRule="auto"/>
        <w:jc w:val="both"/>
      </w:pPr>
      <w:r w:rsidRPr="003644E0">
        <w:rPr>
          <w:sz w:val="18"/>
          <w:szCs w:val="18"/>
        </w:rPr>
        <w:t xml:space="preserve">Table 1 presents the comprehensive performance metrics of the proposed Sentinel Route system across multiple evaluation measures. The system achieved an overall classification accuracy of 92%, correctly categorizing safety-critical areas into four distinct safety classes (Safe, Moderate, Caution, Unsafe). The weighted F1-score of 0.89 indicates robust performance across all safety categories. Precision metrics ranged from 0.88 to 0.94 across classes, demonstrating minimal false positive classifications. Recall values between 0.85 and 0.91 indicate effective detection of all safety categories, with </w:t>
      </w:r>
      <w:r w:rsidR="004E7DFA" w:rsidRPr="003644E0">
        <w:rPr>
          <w:sz w:val="18"/>
          <w:szCs w:val="18"/>
        </w:rPr>
        <w:t>strength</w:t>
      </w:r>
      <w:r w:rsidRPr="003644E0">
        <w:rPr>
          <w:sz w:val="18"/>
          <w:szCs w:val="18"/>
        </w:rPr>
        <w:t xml:space="preserve"> in identifying safe and moderate zones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E1505" w14:paraId="4C3B55EC" w14:textId="77777777">
        <w:tc>
          <w:tcPr>
            <w:tcW w:w="1400" w:type="dxa"/>
            <w:shd w:val="clear" w:color="auto" w:fill="4472C4"/>
            <w:tcMar>
              <w:top w:w="100" w:type="dxa"/>
              <w:left w:w="50" w:type="dxa"/>
              <w:bottom w:w="100" w:type="dxa"/>
              <w:right w:w="50" w:type="dxa"/>
            </w:tcMar>
            <w:vAlign w:val="center"/>
          </w:tcPr>
          <w:p w14:paraId="67EFD193" w14:textId="77777777" w:rsidR="00EE1505" w:rsidRDefault="00000000">
            <w:pPr>
              <w:jc w:val="center"/>
              <w:rPr>
                <w:sz w:val="20"/>
                <w:szCs w:val="20"/>
              </w:rPr>
            </w:pPr>
            <w:r>
              <w:t>Metric</w:t>
            </w:r>
          </w:p>
        </w:tc>
        <w:tc>
          <w:tcPr>
            <w:tcW w:w="1400" w:type="dxa"/>
            <w:shd w:val="clear" w:color="auto" w:fill="4472C4"/>
            <w:tcMar>
              <w:top w:w="100" w:type="dxa"/>
              <w:left w:w="50" w:type="dxa"/>
              <w:bottom w:w="100" w:type="dxa"/>
              <w:right w:w="50" w:type="dxa"/>
            </w:tcMar>
            <w:vAlign w:val="center"/>
          </w:tcPr>
          <w:p w14:paraId="7647DF66" w14:textId="77777777" w:rsidR="00EE1505" w:rsidRDefault="00000000">
            <w:pPr>
              <w:jc w:val="center"/>
              <w:rPr>
                <w:sz w:val="20"/>
                <w:szCs w:val="20"/>
              </w:rPr>
            </w:pPr>
            <w:r>
              <w:t>Safe</w:t>
            </w:r>
          </w:p>
        </w:tc>
        <w:tc>
          <w:tcPr>
            <w:tcW w:w="1400" w:type="dxa"/>
            <w:shd w:val="clear" w:color="auto" w:fill="4472C4"/>
            <w:tcMar>
              <w:top w:w="100" w:type="dxa"/>
              <w:left w:w="50" w:type="dxa"/>
              <w:bottom w:w="100" w:type="dxa"/>
              <w:right w:w="50" w:type="dxa"/>
            </w:tcMar>
            <w:vAlign w:val="center"/>
          </w:tcPr>
          <w:p w14:paraId="3E523495" w14:textId="77777777" w:rsidR="00EE1505" w:rsidRDefault="00000000">
            <w:pPr>
              <w:jc w:val="center"/>
              <w:rPr>
                <w:sz w:val="20"/>
                <w:szCs w:val="20"/>
              </w:rPr>
            </w:pPr>
            <w:r>
              <w:t>Moderate</w:t>
            </w:r>
          </w:p>
        </w:tc>
        <w:tc>
          <w:tcPr>
            <w:tcW w:w="1400" w:type="dxa"/>
            <w:shd w:val="clear" w:color="auto" w:fill="4472C4"/>
            <w:tcMar>
              <w:top w:w="100" w:type="dxa"/>
              <w:left w:w="50" w:type="dxa"/>
              <w:bottom w:w="100" w:type="dxa"/>
              <w:right w:w="50" w:type="dxa"/>
            </w:tcMar>
            <w:vAlign w:val="center"/>
          </w:tcPr>
          <w:p w14:paraId="72B7FA96" w14:textId="77777777" w:rsidR="00EE1505" w:rsidRDefault="00000000">
            <w:pPr>
              <w:jc w:val="center"/>
              <w:rPr>
                <w:sz w:val="20"/>
                <w:szCs w:val="20"/>
              </w:rPr>
            </w:pPr>
            <w:r>
              <w:t>Caution</w:t>
            </w:r>
          </w:p>
        </w:tc>
        <w:tc>
          <w:tcPr>
            <w:tcW w:w="1400" w:type="dxa"/>
            <w:shd w:val="clear" w:color="auto" w:fill="4472C4"/>
            <w:tcMar>
              <w:top w:w="100" w:type="dxa"/>
              <w:left w:w="50" w:type="dxa"/>
              <w:bottom w:w="100" w:type="dxa"/>
              <w:right w:w="50" w:type="dxa"/>
            </w:tcMar>
            <w:vAlign w:val="center"/>
          </w:tcPr>
          <w:p w14:paraId="1715511E" w14:textId="77777777" w:rsidR="00EE1505" w:rsidRDefault="00000000">
            <w:pPr>
              <w:jc w:val="center"/>
              <w:rPr>
                <w:sz w:val="20"/>
                <w:szCs w:val="20"/>
              </w:rPr>
            </w:pPr>
            <w:r>
              <w:t>Unsafe</w:t>
            </w:r>
          </w:p>
        </w:tc>
        <w:tc>
          <w:tcPr>
            <w:tcW w:w="1400" w:type="dxa"/>
            <w:shd w:val="clear" w:color="auto" w:fill="4472C4"/>
            <w:tcMar>
              <w:top w:w="100" w:type="dxa"/>
              <w:left w:w="50" w:type="dxa"/>
              <w:bottom w:w="100" w:type="dxa"/>
              <w:right w:w="50" w:type="dxa"/>
            </w:tcMar>
            <w:vAlign w:val="center"/>
          </w:tcPr>
          <w:p w14:paraId="27D5B2DB" w14:textId="77777777" w:rsidR="00EE1505" w:rsidRDefault="00000000">
            <w:pPr>
              <w:jc w:val="center"/>
              <w:rPr>
                <w:sz w:val="20"/>
                <w:szCs w:val="20"/>
              </w:rPr>
            </w:pPr>
            <w:r>
              <w:t>Weighted Avg.</w:t>
            </w:r>
          </w:p>
        </w:tc>
      </w:tr>
      <w:tr w:rsidR="00EE1505" w14:paraId="5D23372A" w14:textId="77777777">
        <w:tc>
          <w:tcPr>
            <w:tcW w:w="1400" w:type="dxa"/>
            <w:shd w:val="clear" w:color="auto" w:fill="D9E1F2"/>
            <w:tcMar>
              <w:top w:w="100" w:type="dxa"/>
              <w:left w:w="50" w:type="dxa"/>
              <w:bottom w:w="100" w:type="dxa"/>
              <w:right w:w="50" w:type="dxa"/>
            </w:tcMar>
            <w:vAlign w:val="center"/>
          </w:tcPr>
          <w:p w14:paraId="1B5C1AD3" w14:textId="77777777" w:rsidR="00EE1505" w:rsidRDefault="00000000">
            <w:pPr>
              <w:jc w:val="center"/>
              <w:rPr>
                <w:sz w:val="20"/>
                <w:szCs w:val="20"/>
              </w:rPr>
            </w:pPr>
            <w:r>
              <w:t>Precision</w:t>
            </w:r>
          </w:p>
        </w:tc>
        <w:tc>
          <w:tcPr>
            <w:tcW w:w="1400" w:type="dxa"/>
            <w:shd w:val="clear" w:color="auto" w:fill="D9E1F2"/>
            <w:tcMar>
              <w:top w:w="100" w:type="dxa"/>
              <w:left w:w="50" w:type="dxa"/>
              <w:bottom w:w="100" w:type="dxa"/>
              <w:right w:w="50" w:type="dxa"/>
            </w:tcMar>
            <w:vAlign w:val="center"/>
          </w:tcPr>
          <w:p w14:paraId="377DCD32" w14:textId="77777777" w:rsidR="00EE1505" w:rsidRDefault="00000000">
            <w:pPr>
              <w:jc w:val="center"/>
              <w:rPr>
                <w:sz w:val="20"/>
                <w:szCs w:val="20"/>
              </w:rPr>
            </w:pPr>
            <w:r>
              <w:t>0.94</w:t>
            </w:r>
          </w:p>
        </w:tc>
        <w:tc>
          <w:tcPr>
            <w:tcW w:w="1400" w:type="dxa"/>
            <w:shd w:val="clear" w:color="auto" w:fill="D9E1F2"/>
            <w:tcMar>
              <w:top w:w="100" w:type="dxa"/>
              <w:left w:w="50" w:type="dxa"/>
              <w:bottom w:w="100" w:type="dxa"/>
              <w:right w:w="50" w:type="dxa"/>
            </w:tcMar>
            <w:vAlign w:val="center"/>
          </w:tcPr>
          <w:p w14:paraId="7035C802" w14:textId="77777777" w:rsidR="00EE1505" w:rsidRDefault="00000000">
            <w:pPr>
              <w:jc w:val="center"/>
              <w:rPr>
                <w:sz w:val="20"/>
                <w:szCs w:val="20"/>
              </w:rPr>
            </w:pPr>
            <w:r>
              <w:t>0.91</w:t>
            </w:r>
          </w:p>
        </w:tc>
        <w:tc>
          <w:tcPr>
            <w:tcW w:w="1400" w:type="dxa"/>
            <w:shd w:val="clear" w:color="auto" w:fill="D9E1F2"/>
            <w:tcMar>
              <w:top w:w="100" w:type="dxa"/>
              <w:left w:w="50" w:type="dxa"/>
              <w:bottom w:w="100" w:type="dxa"/>
              <w:right w:w="50" w:type="dxa"/>
            </w:tcMar>
            <w:vAlign w:val="center"/>
          </w:tcPr>
          <w:p w14:paraId="5A46F48E" w14:textId="77777777" w:rsidR="00EE1505" w:rsidRDefault="00000000">
            <w:pPr>
              <w:jc w:val="center"/>
              <w:rPr>
                <w:sz w:val="20"/>
                <w:szCs w:val="20"/>
              </w:rPr>
            </w:pPr>
            <w:r>
              <w:t>0.88</w:t>
            </w:r>
          </w:p>
        </w:tc>
        <w:tc>
          <w:tcPr>
            <w:tcW w:w="1400" w:type="dxa"/>
            <w:shd w:val="clear" w:color="auto" w:fill="D9E1F2"/>
            <w:tcMar>
              <w:top w:w="100" w:type="dxa"/>
              <w:left w:w="50" w:type="dxa"/>
              <w:bottom w:w="100" w:type="dxa"/>
              <w:right w:w="50" w:type="dxa"/>
            </w:tcMar>
            <w:vAlign w:val="center"/>
          </w:tcPr>
          <w:p w14:paraId="6F20C0ED" w14:textId="77777777" w:rsidR="00EE1505" w:rsidRDefault="00000000">
            <w:pPr>
              <w:jc w:val="center"/>
              <w:rPr>
                <w:sz w:val="20"/>
                <w:szCs w:val="20"/>
              </w:rPr>
            </w:pPr>
            <w:r>
              <w:t>0.89</w:t>
            </w:r>
          </w:p>
        </w:tc>
        <w:tc>
          <w:tcPr>
            <w:tcW w:w="1400" w:type="dxa"/>
            <w:shd w:val="clear" w:color="auto" w:fill="D9E1F2"/>
            <w:tcMar>
              <w:top w:w="100" w:type="dxa"/>
              <w:left w:w="50" w:type="dxa"/>
              <w:bottom w:w="100" w:type="dxa"/>
              <w:right w:w="50" w:type="dxa"/>
            </w:tcMar>
            <w:vAlign w:val="center"/>
          </w:tcPr>
          <w:p w14:paraId="56964007" w14:textId="77777777" w:rsidR="00EE1505" w:rsidRDefault="00000000">
            <w:pPr>
              <w:jc w:val="center"/>
              <w:rPr>
                <w:sz w:val="20"/>
                <w:szCs w:val="20"/>
              </w:rPr>
            </w:pPr>
            <w:r>
              <w:t>0.91</w:t>
            </w:r>
          </w:p>
        </w:tc>
      </w:tr>
      <w:tr w:rsidR="00EE1505" w14:paraId="6761E038" w14:textId="77777777">
        <w:tc>
          <w:tcPr>
            <w:tcW w:w="1400" w:type="dxa"/>
            <w:tcMar>
              <w:top w:w="100" w:type="dxa"/>
              <w:left w:w="50" w:type="dxa"/>
              <w:bottom w:w="100" w:type="dxa"/>
              <w:right w:w="50" w:type="dxa"/>
            </w:tcMar>
            <w:vAlign w:val="center"/>
          </w:tcPr>
          <w:p w14:paraId="2B08324E" w14:textId="77777777" w:rsidR="00EE1505" w:rsidRDefault="00000000">
            <w:pPr>
              <w:jc w:val="center"/>
              <w:rPr>
                <w:sz w:val="20"/>
                <w:szCs w:val="20"/>
              </w:rPr>
            </w:pPr>
            <w:r>
              <w:t>Recall</w:t>
            </w:r>
          </w:p>
        </w:tc>
        <w:tc>
          <w:tcPr>
            <w:tcW w:w="1400" w:type="dxa"/>
            <w:tcMar>
              <w:top w:w="100" w:type="dxa"/>
              <w:left w:w="50" w:type="dxa"/>
              <w:bottom w:w="100" w:type="dxa"/>
              <w:right w:w="50" w:type="dxa"/>
            </w:tcMar>
            <w:vAlign w:val="center"/>
          </w:tcPr>
          <w:p w14:paraId="747EB153" w14:textId="77777777" w:rsidR="00EE1505" w:rsidRDefault="00000000">
            <w:pPr>
              <w:jc w:val="center"/>
              <w:rPr>
                <w:sz w:val="20"/>
                <w:szCs w:val="20"/>
              </w:rPr>
            </w:pPr>
            <w:r>
              <w:t>0.91</w:t>
            </w:r>
          </w:p>
        </w:tc>
        <w:tc>
          <w:tcPr>
            <w:tcW w:w="1400" w:type="dxa"/>
            <w:tcMar>
              <w:top w:w="100" w:type="dxa"/>
              <w:left w:w="50" w:type="dxa"/>
              <w:bottom w:w="100" w:type="dxa"/>
              <w:right w:w="50" w:type="dxa"/>
            </w:tcMar>
            <w:vAlign w:val="center"/>
          </w:tcPr>
          <w:p w14:paraId="3B65B8EF" w14:textId="77777777" w:rsidR="00EE1505" w:rsidRDefault="00000000">
            <w:pPr>
              <w:jc w:val="center"/>
              <w:rPr>
                <w:sz w:val="20"/>
                <w:szCs w:val="20"/>
              </w:rPr>
            </w:pPr>
            <w:r>
              <w:t>0.89</w:t>
            </w:r>
          </w:p>
        </w:tc>
        <w:tc>
          <w:tcPr>
            <w:tcW w:w="1400" w:type="dxa"/>
            <w:tcMar>
              <w:top w:w="100" w:type="dxa"/>
              <w:left w:w="50" w:type="dxa"/>
              <w:bottom w:w="100" w:type="dxa"/>
              <w:right w:w="50" w:type="dxa"/>
            </w:tcMar>
            <w:vAlign w:val="center"/>
          </w:tcPr>
          <w:p w14:paraId="4874855C" w14:textId="77777777" w:rsidR="00EE1505" w:rsidRDefault="00000000">
            <w:pPr>
              <w:jc w:val="center"/>
              <w:rPr>
                <w:sz w:val="20"/>
                <w:szCs w:val="20"/>
              </w:rPr>
            </w:pPr>
            <w:r>
              <w:t>0.85</w:t>
            </w:r>
          </w:p>
        </w:tc>
        <w:tc>
          <w:tcPr>
            <w:tcW w:w="1400" w:type="dxa"/>
            <w:tcMar>
              <w:top w:w="100" w:type="dxa"/>
              <w:left w:w="50" w:type="dxa"/>
              <w:bottom w:w="100" w:type="dxa"/>
              <w:right w:w="50" w:type="dxa"/>
            </w:tcMar>
            <w:vAlign w:val="center"/>
          </w:tcPr>
          <w:p w14:paraId="392D00C6" w14:textId="77777777" w:rsidR="00EE1505" w:rsidRDefault="00000000">
            <w:pPr>
              <w:jc w:val="center"/>
              <w:rPr>
                <w:sz w:val="20"/>
                <w:szCs w:val="20"/>
              </w:rPr>
            </w:pPr>
            <w:r>
              <w:t>0.86</w:t>
            </w:r>
          </w:p>
        </w:tc>
        <w:tc>
          <w:tcPr>
            <w:tcW w:w="1400" w:type="dxa"/>
            <w:tcMar>
              <w:top w:w="100" w:type="dxa"/>
              <w:left w:w="50" w:type="dxa"/>
              <w:bottom w:w="100" w:type="dxa"/>
              <w:right w:w="50" w:type="dxa"/>
            </w:tcMar>
            <w:vAlign w:val="center"/>
          </w:tcPr>
          <w:p w14:paraId="0E838A6B" w14:textId="77777777" w:rsidR="00EE1505" w:rsidRDefault="00000000">
            <w:pPr>
              <w:jc w:val="center"/>
              <w:rPr>
                <w:sz w:val="20"/>
                <w:szCs w:val="20"/>
              </w:rPr>
            </w:pPr>
            <w:r>
              <w:t>0.88</w:t>
            </w:r>
          </w:p>
        </w:tc>
      </w:tr>
      <w:tr w:rsidR="00EE1505" w14:paraId="4A9CC4C9" w14:textId="77777777">
        <w:tc>
          <w:tcPr>
            <w:tcW w:w="1400" w:type="dxa"/>
            <w:shd w:val="clear" w:color="auto" w:fill="D9E1F2"/>
            <w:tcMar>
              <w:top w:w="100" w:type="dxa"/>
              <w:left w:w="50" w:type="dxa"/>
              <w:bottom w:w="100" w:type="dxa"/>
              <w:right w:w="50" w:type="dxa"/>
            </w:tcMar>
            <w:vAlign w:val="center"/>
          </w:tcPr>
          <w:p w14:paraId="30E3AAC6" w14:textId="77777777" w:rsidR="00EE1505" w:rsidRDefault="00000000">
            <w:pPr>
              <w:jc w:val="center"/>
              <w:rPr>
                <w:sz w:val="20"/>
                <w:szCs w:val="20"/>
              </w:rPr>
            </w:pPr>
            <w:r>
              <w:t>F1-Score</w:t>
            </w:r>
          </w:p>
        </w:tc>
        <w:tc>
          <w:tcPr>
            <w:tcW w:w="1400" w:type="dxa"/>
            <w:shd w:val="clear" w:color="auto" w:fill="D9E1F2"/>
            <w:tcMar>
              <w:top w:w="100" w:type="dxa"/>
              <w:left w:w="50" w:type="dxa"/>
              <w:bottom w:w="100" w:type="dxa"/>
              <w:right w:w="50" w:type="dxa"/>
            </w:tcMar>
            <w:vAlign w:val="center"/>
          </w:tcPr>
          <w:p w14:paraId="291B2D05" w14:textId="77777777" w:rsidR="00EE1505" w:rsidRDefault="00000000">
            <w:pPr>
              <w:jc w:val="center"/>
              <w:rPr>
                <w:sz w:val="20"/>
                <w:szCs w:val="20"/>
              </w:rPr>
            </w:pPr>
            <w:r>
              <w:t>0.925</w:t>
            </w:r>
          </w:p>
        </w:tc>
        <w:tc>
          <w:tcPr>
            <w:tcW w:w="1400" w:type="dxa"/>
            <w:shd w:val="clear" w:color="auto" w:fill="D9E1F2"/>
            <w:tcMar>
              <w:top w:w="100" w:type="dxa"/>
              <w:left w:w="50" w:type="dxa"/>
              <w:bottom w:w="100" w:type="dxa"/>
              <w:right w:w="50" w:type="dxa"/>
            </w:tcMar>
            <w:vAlign w:val="center"/>
          </w:tcPr>
          <w:p w14:paraId="129AF069" w14:textId="77777777" w:rsidR="00EE1505" w:rsidRDefault="00000000">
            <w:pPr>
              <w:jc w:val="center"/>
              <w:rPr>
                <w:sz w:val="20"/>
                <w:szCs w:val="20"/>
              </w:rPr>
            </w:pPr>
            <w:r>
              <w:t>0.90</w:t>
            </w:r>
          </w:p>
        </w:tc>
        <w:tc>
          <w:tcPr>
            <w:tcW w:w="1400" w:type="dxa"/>
            <w:shd w:val="clear" w:color="auto" w:fill="D9E1F2"/>
            <w:tcMar>
              <w:top w:w="100" w:type="dxa"/>
              <w:left w:w="50" w:type="dxa"/>
              <w:bottom w:w="100" w:type="dxa"/>
              <w:right w:w="50" w:type="dxa"/>
            </w:tcMar>
            <w:vAlign w:val="center"/>
          </w:tcPr>
          <w:p w14:paraId="5D05AC95" w14:textId="77777777" w:rsidR="00EE1505" w:rsidRDefault="00000000">
            <w:pPr>
              <w:jc w:val="center"/>
              <w:rPr>
                <w:sz w:val="20"/>
                <w:szCs w:val="20"/>
              </w:rPr>
            </w:pPr>
            <w:r>
              <w:t>0.865</w:t>
            </w:r>
          </w:p>
        </w:tc>
        <w:tc>
          <w:tcPr>
            <w:tcW w:w="1400" w:type="dxa"/>
            <w:shd w:val="clear" w:color="auto" w:fill="D9E1F2"/>
            <w:tcMar>
              <w:top w:w="100" w:type="dxa"/>
              <w:left w:w="50" w:type="dxa"/>
              <w:bottom w:w="100" w:type="dxa"/>
              <w:right w:w="50" w:type="dxa"/>
            </w:tcMar>
            <w:vAlign w:val="center"/>
          </w:tcPr>
          <w:p w14:paraId="3DBAB210" w14:textId="77777777" w:rsidR="00EE1505" w:rsidRDefault="00000000">
            <w:pPr>
              <w:jc w:val="center"/>
              <w:rPr>
                <w:sz w:val="20"/>
                <w:szCs w:val="20"/>
              </w:rPr>
            </w:pPr>
            <w:r>
              <w:t>0.875</w:t>
            </w:r>
          </w:p>
        </w:tc>
        <w:tc>
          <w:tcPr>
            <w:tcW w:w="1400" w:type="dxa"/>
            <w:shd w:val="clear" w:color="auto" w:fill="D9E1F2"/>
            <w:tcMar>
              <w:top w:w="100" w:type="dxa"/>
              <w:left w:w="50" w:type="dxa"/>
              <w:bottom w:w="100" w:type="dxa"/>
              <w:right w:w="50" w:type="dxa"/>
            </w:tcMar>
            <w:vAlign w:val="center"/>
          </w:tcPr>
          <w:p w14:paraId="3E4DD2CC" w14:textId="77777777" w:rsidR="00EE1505" w:rsidRDefault="00000000">
            <w:pPr>
              <w:jc w:val="center"/>
              <w:rPr>
                <w:sz w:val="20"/>
                <w:szCs w:val="20"/>
              </w:rPr>
            </w:pPr>
            <w:r>
              <w:t>0.89</w:t>
            </w:r>
          </w:p>
        </w:tc>
      </w:tr>
      <w:tr w:rsidR="00EE1505" w14:paraId="4E31AD7B" w14:textId="77777777">
        <w:tc>
          <w:tcPr>
            <w:tcW w:w="1400" w:type="dxa"/>
            <w:tcMar>
              <w:top w:w="100" w:type="dxa"/>
              <w:left w:w="50" w:type="dxa"/>
              <w:bottom w:w="100" w:type="dxa"/>
              <w:right w:w="50" w:type="dxa"/>
            </w:tcMar>
            <w:vAlign w:val="center"/>
          </w:tcPr>
          <w:p w14:paraId="7B362357" w14:textId="77777777" w:rsidR="00EE1505" w:rsidRDefault="00000000">
            <w:pPr>
              <w:jc w:val="center"/>
              <w:rPr>
                <w:sz w:val="20"/>
                <w:szCs w:val="20"/>
              </w:rPr>
            </w:pPr>
            <w:r>
              <w:t>Count</w:t>
            </w:r>
          </w:p>
        </w:tc>
        <w:tc>
          <w:tcPr>
            <w:tcW w:w="1400" w:type="dxa"/>
            <w:tcMar>
              <w:top w:w="100" w:type="dxa"/>
              <w:left w:w="50" w:type="dxa"/>
              <w:bottom w:w="100" w:type="dxa"/>
              <w:right w:w="50" w:type="dxa"/>
            </w:tcMar>
            <w:vAlign w:val="center"/>
          </w:tcPr>
          <w:p w14:paraId="66F6B604" w14:textId="77777777" w:rsidR="00EE1505" w:rsidRDefault="00000000">
            <w:pPr>
              <w:jc w:val="center"/>
              <w:rPr>
                <w:sz w:val="20"/>
                <w:szCs w:val="20"/>
              </w:rPr>
            </w:pPr>
            <w:r>
              <w:t>24</w:t>
            </w:r>
          </w:p>
        </w:tc>
        <w:tc>
          <w:tcPr>
            <w:tcW w:w="1400" w:type="dxa"/>
            <w:tcMar>
              <w:top w:w="100" w:type="dxa"/>
              <w:left w:w="50" w:type="dxa"/>
              <w:bottom w:w="100" w:type="dxa"/>
              <w:right w:w="50" w:type="dxa"/>
            </w:tcMar>
            <w:vAlign w:val="center"/>
          </w:tcPr>
          <w:p w14:paraId="21B1A992" w14:textId="77777777" w:rsidR="00EE1505" w:rsidRDefault="00000000">
            <w:pPr>
              <w:jc w:val="center"/>
              <w:rPr>
                <w:sz w:val="20"/>
                <w:szCs w:val="20"/>
              </w:rPr>
            </w:pPr>
            <w:r>
              <w:t>32</w:t>
            </w:r>
          </w:p>
        </w:tc>
        <w:tc>
          <w:tcPr>
            <w:tcW w:w="1400" w:type="dxa"/>
            <w:tcMar>
              <w:top w:w="100" w:type="dxa"/>
              <w:left w:w="50" w:type="dxa"/>
              <w:bottom w:w="100" w:type="dxa"/>
              <w:right w:w="50" w:type="dxa"/>
            </w:tcMar>
            <w:vAlign w:val="center"/>
          </w:tcPr>
          <w:p w14:paraId="37C31204" w14:textId="77777777" w:rsidR="00EE1505" w:rsidRDefault="00000000">
            <w:pPr>
              <w:jc w:val="center"/>
              <w:rPr>
                <w:sz w:val="20"/>
                <w:szCs w:val="20"/>
              </w:rPr>
            </w:pPr>
            <w:r>
              <w:t>21</w:t>
            </w:r>
          </w:p>
        </w:tc>
        <w:tc>
          <w:tcPr>
            <w:tcW w:w="1400" w:type="dxa"/>
            <w:tcMar>
              <w:top w:w="100" w:type="dxa"/>
              <w:left w:w="50" w:type="dxa"/>
              <w:bottom w:w="100" w:type="dxa"/>
              <w:right w:w="50" w:type="dxa"/>
            </w:tcMar>
            <w:vAlign w:val="center"/>
          </w:tcPr>
          <w:p w14:paraId="51970456" w14:textId="77777777" w:rsidR="00EE1505" w:rsidRDefault="00000000">
            <w:pPr>
              <w:jc w:val="center"/>
              <w:rPr>
                <w:sz w:val="20"/>
                <w:szCs w:val="20"/>
              </w:rPr>
            </w:pPr>
            <w:r>
              <w:t>23</w:t>
            </w:r>
          </w:p>
        </w:tc>
        <w:tc>
          <w:tcPr>
            <w:tcW w:w="1400" w:type="dxa"/>
            <w:tcMar>
              <w:top w:w="100" w:type="dxa"/>
              <w:left w:w="50" w:type="dxa"/>
              <w:bottom w:w="100" w:type="dxa"/>
              <w:right w:w="50" w:type="dxa"/>
            </w:tcMar>
            <w:vAlign w:val="center"/>
          </w:tcPr>
          <w:p w14:paraId="298E2BC3" w14:textId="77777777" w:rsidR="00EE1505" w:rsidRDefault="00000000">
            <w:pPr>
              <w:jc w:val="center"/>
              <w:rPr>
                <w:sz w:val="20"/>
                <w:szCs w:val="20"/>
              </w:rPr>
            </w:pPr>
            <w:r>
              <w:t>100</w:t>
            </w:r>
          </w:p>
        </w:tc>
      </w:tr>
    </w:tbl>
    <w:p w14:paraId="62D93920" w14:textId="77777777" w:rsidR="00EE1505" w:rsidRPr="003644E0" w:rsidRDefault="00000000">
      <w:pPr>
        <w:spacing w:before="120" w:after="240"/>
        <w:jc w:val="center"/>
        <w:rPr>
          <w:color w:val="595959"/>
          <w:sz w:val="18"/>
          <w:szCs w:val="18"/>
        </w:rPr>
      </w:pPr>
      <w:r w:rsidRPr="003644E0">
        <w:rPr>
          <w:sz w:val="18"/>
          <w:szCs w:val="18"/>
        </w:rPr>
        <w:t>Table 1: Safety Classification Metrics - Multi-class performance assessment showing precision, recall, and F1-scores for each safety category.</w:t>
      </w:r>
    </w:p>
    <w:p w14:paraId="42715A9D" w14:textId="77777777" w:rsidR="00EE1505" w:rsidRDefault="00000000">
      <w:pPr>
        <w:spacing w:after="120" w:line="360" w:lineRule="auto"/>
        <w:jc w:val="both"/>
      </w:pPr>
      <w:r w:rsidRPr="003644E0">
        <w:rPr>
          <w:sz w:val="18"/>
          <w:szCs w:val="18"/>
        </w:rPr>
        <w:t>Table 2 demonstrates the route optimization performance. The proposed Sentinel Route system achieved a Mean Absolute Error (MAE) of 7.3 points (on a 0-100 scale) when predicting safety scores, substantially outperforming baseline approaches (MAE: 15.2 for random forest baseline). More critically, the system generated routes with 18.5% higher average safety scores compared to shortest-path (speed-optimized) routing. This safety improvement was achieved with only a 7.2% increase in travel distance, representing an acceptable trade-off. The route-level Dice coefficient of 0.76 indicates strong agreement between the model-predicted safe routes and expert-validated safe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1505" w14:paraId="636A9EFC" w14:textId="77777777">
        <w:tc>
          <w:tcPr>
            <w:tcW w:w="2340" w:type="dxa"/>
            <w:shd w:val="clear" w:color="auto" w:fill="4472C4"/>
            <w:tcMar>
              <w:top w:w="100" w:type="dxa"/>
              <w:left w:w="50" w:type="dxa"/>
              <w:bottom w:w="100" w:type="dxa"/>
              <w:right w:w="50" w:type="dxa"/>
            </w:tcMar>
            <w:vAlign w:val="center"/>
          </w:tcPr>
          <w:p w14:paraId="11AE18A6" w14:textId="77777777" w:rsidR="00EE1505" w:rsidRDefault="00000000">
            <w:pPr>
              <w:jc w:val="center"/>
              <w:rPr>
                <w:sz w:val="20"/>
                <w:szCs w:val="20"/>
              </w:rPr>
            </w:pPr>
            <w:r>
              <w:t>Metric</w:t>
            </w:r>
          </w:p>
        </w:tc>
        <w:tc>
          <w:tcPr>
            <w:tcW w:w="2340" w:type="dxa"/>
            <w:shd w:val="clear" w:color="auto" w:fill="4472C4"/>
            <w:tcMar>
              <w:top w:w="100" w:type="dxa"/>
              <w:left w:w="50" w:type="dxa"/>
              <w:bottom w:w="100" w:type="dxa"/>
              <w:right w:w="50" w:type="dxa"/>
            </w:tcMar>
            <w:vAlign w:val="center"/>
          </w:tcPr>
          <w:p w14:paraId="5EF44316" w14:textId="77777777" w:rsidR="00EE1505" w:rsidRDefault="00000000">
            <w:pPr>
              <w:jc w:val="center"/>
              <w:rPr>
                <w:sz w:val="20"/>
                <w:szCs w:val="20"/>
              </w:rPr>
            </w:pPr>
            <w:r>
              <w:t>Sentinel Route</w:t>
            </w:r>
          </w:p>
        </w:tc>
        <w:tc>
          <w:tcPr>
            <w:tcW w:w="2340" w:type="dxa"/>
            <w:shd w:val="clear" w:color="auto" w:fill="4472C4"/>
            <w:tcMar>
              <w:top w:w="100" w:type="dxa"/>
              <w:left w:w="50" w:type="dxa"/>
              <w:bottom w:w="100" w:type="dxa"/>
              <w:right w:w="50" w:type="dxa"/>
            </w:tcMar>
            <w:vAlign w:val="center"/>
          </w:tcPr>
          <w:p w14:paraId="5BBE9854" w14:textId="77777777" w:rsidR="00EE1505" w:rsidRDefault="00000000">
            <w:pPr>
              <w:jc w:val="center"/>
              <w:rPr>
                <w:sz w:val="20"/>
                <w:szCs w:val="20"/>
              </w:rPr>
            </w:pPr>
            <w:r>
              <w:t>Baseline</w:t>
            </w:r>
          </w:p>
        </w:tc>
        <w:tc>
          <w:tcPr>
            <w:tcW w:w="2340" w:type="dxa"/>
            <w:shd w:val="clear" w:color="auto" w:fill="4472C4"/>
            <w:tcMar>
              <w:top w:w="100" w:type="dxa"/>
              <w:left w:w="50" w:type="dxa"/>
              <w:bottom w:w="100" w:type="dxa"/>
              <w:right w:w="50" w:type="dxa"/>
            </w:tcMar>
            <w:vAlign w:val="center"/>
          </w:tcPr>
          <w:p w14:paraId="39E6B997" w14:textId="77777777" w:rsidR="00EE1505" w:rsidRDefault="00000000">
            <w:pPr>
              <w:jc w:val="center"/>
              <w:rPr>
                <w:sz w:val="20"/>
                <w:szCs w:val="20"/>
              </w:rPr>
            </w:pPr>
            <w:r>
              <w:t>Improvement</w:t>
            </w:r>
          </w:p>
        </w:tc>
      </w:tr>
      <w:tr w:rsidR="00EE1505" w14:paraId="4C0F0CA8" w14:textId="77777777">
        <w:tc>
          <w:tcPr>
            <w:tcW w:w="2340" w:type="dxa"/>
            <w:shd w:val="clear" w:color="auto" w:fill="D9E1F2"/>
            <w:tcMar>
              <w:top w:w="100" w:type="dxa"/>
              <w:left w:w="50" w:type="dxa"/>
              <w:bottom w:w="100" w:type="dxa"/>
              <w:right w:w="50" w:type="dxa"/>
            </w:tcMar>
            <w:vAlign w:val="center"/>
          </w:tcPr>
          <w:p w14:paraId="0C620E2E" w14:textId="77777777" w:rsidR="00EE1505" w:rsidRDefault="00000000">
            <w:pPr>
              <w:rPr>
                <w:sz w:val="20"/>
                <w:szCs w:val="20"/>
              </w:rPr>
            </w:pPr>
            <w:r>
              <w:t>Mean Absolute Error (Safety Score)</w:t>
            </w:r>
          </w:p>
        </w:tc>
        <w:tc>
          <w:tcPr>
            <w:tcW w:w="2340" w:type="dxa"/>
            <w:shd w:val="clear" w:color="auto" w:fill="D9E1F2"/>
            <w:tcMar>
              <w:top w:w="100" w:type="dxa"/>
              <w:left w:w="50" w:type="dxa"/>
              <w:bottom w:w="100" w:type="dxa"/>
              <w:right w:w="50" w:type="dxa"/>
            </w:tcMar>
            <w:vAlign w:val="center"/>
          </w:tcPr>
          <w:p w14:paraId="28C6AC04" w14:textId="77777777" w:rsidR="00EE1505" w:rsidRDefault="00000000">
            <w:pPr>
              <w:jc w:val="center"/>
              <w:rPr>
                <w:sz w:val="20"/>
                <w:szCs w:val="20"/>
              </w:rPr>
            </w:pPr>
            <w:r>
              <w:t>7.3</w:t>
            </w:r>
          </w:p>
        </w:tc>
        <w:tc>
          <w:tcPr>
            <w:tcW w:w="2340" w:type="dxa"/>
            <w:shd w:val="clear" w:color="auto" w:fill="D9E1F2"/>
            <w:tcMar>
              <w:top w:w="100" w:type="dxa"/>
              <w:left w:w="50" w:type="dxa"/>
              <w:bottom w:w="100" w:type="dxa"/>
              <w:right w:w="50" w:type="dxa"/>
            </w:tcMar>
            <w:vAlign w:val="center"/>
          </w:tcPr>
          <w:p w14:paraId="68C1DCDC" w14:textId="77777777" w:rsidR="00EE1505" w:rsidRDefault="00000000">
            <w:pPr>
              <w:jc w:val="center"/>
              <w:rPr>
                <w:sz w:val="20"/>
                <w:szCs w:val="20"/>
              </w:rPr>
            </w:pPr>
            <w:r>
              <w:t>15.2</w:t>
            </w:r>
          </w:p>
        </w:tc>
        <w:tc>
          <w:tcPr>
            <w:tcW w:w="2340" w:type="dxa"/>
            <w:shd w:val="clear" w:color="auto" w:fill="D9E1F2"/>
            <w:tcMar>
              <w:top w:w="100" w:type="dxa"/>
              <w:left w:w="50" w:type="dxa"/>
              <w:bottom w:w="100" w:type="dxa"/>
              <w:right w:w="50" w:type="dxa"/>
            </w:tcMar>
            <w:vAlign w:val="center"/>
          </w:tcPr>
          <w:p w14:paraId="7042C1BB" w14:textId="77777777" w:rsidR="00EE1505" w:rsidRDefault="00000000">
            <w:pPr>
              <w:jc w:val="center"/>
              <w:rPr>
                <w:sz w:val="20"/>
                <w:szCs w:val="20"/>
              </w:rPr>
            </w:pPr>
            <w:r>
              <w:t>↓ 52%</w:t>
            </w:r>
          </w:p>
        </w:tc>
      </w:tr>
      <w:tr w:rsidR="00EE1505" w14:paraId="354E73A0" w14:textId="77777777">
        <w:tc>
          <w:tcPr>
            <w:tcW w:w="2340" w:type="dxa"/>
            <w:tcMar>
              <w:top w:w="100" w:type="dxa"/>
              <w:left w:w="50" w:type="dxa"/>
              <w:bottom w:w="100" w:type="dxa"/>
              <w:right w:w="50" w:type="dxa"/>
            </w:tcMar>
            <w:vAlign w:val="center"/>
          </w:tcPr>
          <w:p w14:paraId="78656E42" w14:textId="77777777" w:rsidR="00EE1505" w:rsidRDefault="00000000">
            <w:pPr>
              <w:rPr>
                <w:sz w:val="20"/>
                <w:szCs w:val="20"/>
              </w:rPr>
            </w:pPr>
            <w:r>
              <w:lastRenderedPageBreak/>
              <w:t>Route Safety Improvement (%)</w:t>
            </w:r>
          </w:p>
        </w:tc>
        <w:tc>
          <w:tcPr>
            <w:tcW w:w="2340" w:type="dxa"/>
            <w:tcMar>
              <w:top w:w="100" w:type="dxa"/>
              <w:left w:w="50" w:type="dxa"/>
              <w:bottom w:w="100" w:type="dxa"/>
              <w:right w:w="50" w:type="dxa"/>
            </w:tcMar>
            <w:vAlign w:val="center"/>
          </w:tcPr>
          <w:p w14:paraId="6643C306" w14:textId="77777777" w:rsidR="00EE1505" w:rsidRDefault="00000000">
            <w:pPr>
              <w:jc w:val="center"/>
              <w:rPr>
                <w:sz w:val="20"/>
                <w:szCs w:val="20"/>
              </w:rPr>
            </w:pPr>
            <w:r>
              <w:t>18.5%</w:t>
            </w:r>
          </w:p>
        </w:tc>
        <w:tc>
          <w:tcPr>
            <w:tcW w:w="2340" w:type="dxa"/>
            <w:tcMar>
              <w:top w:w="100" w:type="dxa"/>
              <w:left w:w="50" w:type="dxa"/>
              <w:bottom w:w="100" w:type="dxa"/>
              <w:right w:w="50" w:type="dxa"/>
            </w:tcMar>
            <w:vAlign w:val="center"/>
          </w:tcPr>
          <w:p w14:paraId="509DB07E" w14:textId="77777777" w:rsidR="00EE1505" w:rsidRDefault="00000000">
            <w:pPr>
              <w:jc w:val="center"/>
              <w:rPr>
                <w:sz w:val="20"/>
                <w:szCs w:val="20"/>
              </w:rPr>
            </w:pPr>
            <w:r>
              <w:t>0% (baseline)</w:t>
            </w:r>
          </w:p>
        </w:tc>
        <w:tc>
          <w:tcPr>
            <w:tcW w:w="2340" w:type="dxa"/>
            <w:tcMar>
              <w:top w:w="100" w:type="dxa"/>
              <w:left w:w="50" w:type="dxa"/>
              <w:bottom w:w="100" w:type="dxa"/>
              <w:right w:w="50" w:type="dxa"/>
            </w:tcMar>
            <w:vAlign w:val="center"/>
          </w:tcPr>
          <w:p w14:paraId="4C88C084" w14:textId="77777777" w:rsidR="00EE1505" w:rsidRDefault="00000000">
            <w:pPr>
              <w:jc w:val="center"/>
              <w:rPr>
                <w:sz w:val="20"/>
                <w:szCs w:val="20"/>
              </w:rPr>
            </w:pPr>
            <w:r>
              <w:t>—</w:t>
            </w:r>
          </w:p>
        </w:tc>
      </w:tr>
      <w:tr w:rsidR="00EE1505" w14:paraId="18C9D123" w14:textId="77777777">
        <w:tc>
          <w:tcPr>
            <w:tcW w:w="2340" w:type="dxa"/>
            <w:shd w:val="clear" w:color="auto" w:fill="D9E1F2"/>
            <w:tcMar>
              <w:top w:w="100" w:type="dxa"/>
              <w:left w:w="50" w:type="dxa"/>
              <w:bottom w:w="100" w:type="dxa"/>
              <w:right w:w="50" w:type="dxa"/>
            </w:tcMar>
            <w:vAlign w:val="center"/>
          </w:tcPr>
          <w:p w14:paraId="1DB69BA4" w14:textId="77777777" w:rsidR="00EE1505" w:rsidRDefault="00000000">
            <w:pPr>
              <w:rPr>
                <w:sz w:val="20"/>
                <w:szCs w:val="20"/>
              </w:rPr>
            </w:pPr>
            <w:r>
              <w:t>Distance Trade-off (%)</w:t>
            </w:r>
          </w:p>
        </w:tc>
        <w:tc>
          <w:tcPr>
            <w:tcW w:w="2340" w:type="dxa"/>
            <w:shd w:val="clear" w:color="auto" w:fill="D9E1F2"/>
            <w:tcMar>
              <w:top w:w="100" w:type="dxa"/>
              <w:left w:w="50" w:type="dxa"/>
              <w:bottom w:w="100" w:type="dxa"/>
              <w:right w:w="50" w:type="dxa"/>
            </w:tcMar>
            <w:vAlign w:val="center"/>
          </w:tcPr>
          <w:p w14:paraId="017DA63E" w14:textId="77777777" w:rsidR="00EE1505" w:rsidRDefault="00000000">
            <w:pPr>
              <w:jc w:val="center"/>
              <w:rPr>
                <w:sz w:val="20"/>
                <w:szCs w:val="20"/>
              </w:rPr>
            </w:pPr>
            <w:r>
              <w:t>7.2%</w:t>
            </w:r>
          </w:p>
        </w:tc>
        <w:tc>
          <w:tcPr>
            <w:tcW w:w="2340" w:type="dxa"/>
            <w:shd w:val="clear" w:color="auto" w:fill="D9E1F2"/>
            <w:tcMar>
              <w:top w:w="100" w:type="dxa"/>
              <w:left w:w="50" w:type="dxa"/>
              <w:bottom w:w="100" w:type="dxa"/>
              <w:right w:w="50" w:type="dxa"/>
            </w:tcMar>
            <w:vAlign w:val="center"/>
          </w:tcPr>
          <w:p w14:paraId="4C5F4CD3" w14:textId="77777777" w:rsidR="00EE1505" w:rsidRDefault="00000000">
            <w:pPr>
              <w:jc w:val="center"/>
              <w:rPr>
                <w:sz w:val="20"/>
                <w:szCs w:val="20"/>
              </w:rPr>
            </w:pPr>
            <w:r>
              <w:t>0% (optimal)</w:t>
            </w:r>
          </w:p>
        </w:tc>
        <w:tc>
          <w:tcPr>
            <w:tcW w:w="2340" w:type="dxa"/>
            <w:shd w:val="clear" w:color="auto" w:fill="D9E1F2"/>
            <w:tcMar>
              <w:top w:w="100" w:type="dxa"/>
              <w:left w:w="50" w:type="dxa"/>
              <w:bottom w:w="100" w:type="dxa"/>
              <w:right w:w="50" w:type="dxa"/>
            </w:tcMar>
            <w:vAlign w:val="center"/>
          </w:tcPr>
          <w:p w14:paraId="7F130C3F" w14:textId="77777777" w:rsidR="00EE1505" w:rsidRDefault="00000000">
            <w:pPr>
              <w:jc w:val="center"/>
              <w:rPr>
                <w:sz w:val="20"/>
                <w:szCs w:val="20"/>
              </w:rPr>
            </w:pPr>
            <w:r>
              <w:t>±7.2%</w:t>
            </w:r>
          </w:p>
        </w:tc>
      </w:tr>
      <w:tr w:rsidR="00EE1505" w14:paraId="0BA0C29F" w14:textId="77777777">
        <w:tc>
          <w:tcPr>
            <w:tcW w:w="2340" w:type="dxa"/>
            <w:tcMar>
              <w:top w:w="100" w:type="dxa"/>
              <w:left w:w="50" w:type="dxa"/>
              <w:bottom w:w="100" w:type="dxa"/>
              <w:right w:w="50" w:type="dxa"/>
            </w:tcMar>
            <w:vAlign w:val="center"/>
          </w:tcPr>
          <w:p w14:paraId="1168F61F" w14:textId="77777777" w:rsidR="00EE1505" w:rsidRDefault="00000000">
            <w:pPr>
              <w:rPr>
                <w:sz w:val="20"/>
                <w:szCs w:val="20"/>
              </w:rPr>
            </w:pPr>
            <w:r>
              <w:t>Route Dice Coefficient</w:t>
            </w:r>
          </w:p>
        </w:tc>
        <w:tc>
          <w:tcPr>
            <w:tcW w:w="2340" w:type="dxa"/>
            <w:tcMar>
              <w:top w:w="100" w:type="dxa"/>
              <w:left w:w="50" w:type="dxa"/>
              <w:bottom w:w="100" w:type="dxa"/>
              <w:right w:w="50" w:type="dxa"/>
            </w:tcMar>
            <w:vAlign w:val="center"/>
          </w:tcPr>
          <w:p w14:paraId="02B6C4E7" w14:textId="77777777" w:rsidR="00EE1505" w:rsidRDefault="00000000">
            <w:pPr>
              <w:jc w:val="center"/>
              <w:rPr>
                <w:sz w:val="20"/>
                <w:szCs w:val="20"/>
              </w:rPr>
            </w:pPr>
            <w:r>
              <w:t>0.76</w:t>
            </w:r>
          </w:p>
        </w:tc>
        <w:tc>
          <w:tcPr>
            <w:tcW w:w="2340" w:type="dxa"/>
            <w:tcMar>
              <w:top w:w="100" w:type="dxa"/>
              <w:left w:w="50" w:type="dxa"/>
              <w:bottom w:w="100" w:type="dxa"/>
              <w:right w:w="50" w:type="dxa"/>
            </w:tcMar>
            <w:vAlign w:val="center"/>
          </w:tcPr>
          <w:p w14:paraId="38AC89E4" w14:textId="77777777" w:rsidR="00EE1505" w:rsidRDefault="00000000">
            <w:pPr>
              <w:jc w:val="center"/>
              <w:rPr>
                <w:sz w:val="20"/>
                <w:szCs w:val="20"/>
              </w:rPr>
            </w:pPr>
            <w:r>
              <w:t>0.61</w:t>
            </w:r>
          </w:p>
        </w:tc>
        <w:tc>
          <w:tcPr>
            <w:tcW w:w="2340" w:type="dxa"/>
            <w:tcMar>
              <w:top w:w="100" w:type="dxa"/>
              <w:left w:w="50" w:type="dxa"/>
              <w:bottom w:w="100" w:type="dxa"/>
              <w:right w:w="50" w:type="dxa"/>
            </w:tcMar>
            <w:vAlign w:val="center"/>
          </w:tcPr>
          <w:p w14:paraId="4E32BD9B" w14:textId="77777777" w:rsidR="00EE1505" w:rsidRDefault="00000000">
            <w:pPr>
              <w:jc w:val="center"/>
              <w:rPr>
                <w:sz w:val="20"/>
                <w:szCs w:val="20"/>
              </w:rPr>
            </w:pPr>
            <w:r>
              <w:t>↑ 24.6%</w:t>
            </w:r>
          </w:p>
        </w:tc>
      </w:tr>
    </w:tbl>
    <w:p w14:paraId="31570309" w14:textId="77777777" w:rsidR="00EE1505" w:rsidRDefault="00000000">
      <w:pPr>
        <w:spacing w:before="120" w:after="240"/>
        <w:jc w:val="center"/>
        <w:rPr>
          <w:color w:val="000000" w:themeColor="text1"/>
          <w:sz w:val="18"/>
          <w:szCs w:val="18"/>
        </w:rPr>
      </w:pPr>
      <w:r w:rsidRPr="003644E0">
        <w:rPr>
          <w:sz w:val="18"/>
          <w:szCs w:val="18"/>
        </w:rPr>
        <w:t xml:space="preserve">Table 2: Route Optimization Performance - Comparison of proposed system with baseline shortest-path routing across multiple </w:t>
      </w:r>
      <w:r w:rsidRPr="003644E0">
        <w:rPr>
          <w:color w:val="000000" w:themeColor="text1"/>
          <w:sz w:val="18"/>
          <w:szCs w:val="18"/>
        </w:rPr>
        <w:t>dimensions.</w:t>
      </w:r>
    </w:p>
    <w:p w14:paraId="24C3FFC4" w14:textId="77777777" w:rsidR="003B39CD" w:rsidRDefault="003B39CD">
      <w:pPr>
        <w:spacing w:before="120" w:after="240"/>
        <w:jc w:val="center"/>
        <w:rPr>
          <w:color w:val="000000" w:themeColor="text1"/>
          <w:sz w:val="18"/>
          <w:szCs w:val="18"/>
        </w:rPr>
      </w:pPr>
    </w:p>
    <w:p w14:paraId="0B5E3915" w14:textId="77777777" w:rsidR="003B39CD" w:rsidRDefault="003B39CD">
      <w:pPr>
        <w:spacing w:before="120" w:after="240"/>
        <w:jc w:val="center"/>
        <w:rPr>
          <w:color w:val="000000" w:themeColor="text1"/>
          <w:sz w:val="18"/>
          <w:szCs w:val="18"/>
        </w:rPr>
      </w:pPr>
    </w:p>
    <w:p w14:paraId="5020BC12" w14:textId="3EB56DAE" w:rsidR="003B39CD" w:rsidRPr="003644E0" w:rsidRDefault="003B39CD">
      <w:pPr>
        <w:spacing w:before="120" w:after="240"/>
        <w:jc w:val="center"/>
        <w:rPr>
          <w:color w:val="000000" w:themeColor="text1"/>
          <w:sz w:val="18"/>
          <w:szCs w:val="18"/>
        </w:rPr>
      </w:pPr>
      <w:r>
        <w:rPr>
          <w:noProof/>
          <w:color w:val="000000" w:themeColor="text1"/>
          <w:sz w:val="18"/>
          <w:szCs w:val="18"/>
        </w:rPr>
        <w:drawing>
          <wp:inline distT="0" distB="0" distL="0" distR="0" wp14:anchorId="36E70C01" wp14:editId="5F00D9EE">
            <wp:extent cx="5935980" cy="3482340"/>
            <wp:effectExtent l="0" t="0" r="7620" b="3810"/>
            <wp:docPr id="639272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482340"/>
                    </a:xfrm>
                    <a:prstGeom prst="rect">
                      <a:avLst/>
                    </a:prstGeom>
                    <a:noFill/>
                    <a:ln>
                      <a:noFill/>
                    </a:ln>
                  </pic:spPr>
                </pic:pic>
              </a:graphicData>
            </a:graphic>
          </wp:inline>
        </w:drawing>
      </w:r>
    </w:p>
    <w:p w14:paraId="721C4FBA" w14:textId="77777777" w:rsidR="00EE1505" w:rsidRPr="003644E0" w:rsidRDefault="00000000">
      <w:pPr>
        <w:pStyle w:val="Heading1"/>
        <w:rPr>
          <w:color w:val="000000" w:themeColor="text1"/>
        </w:rPr>
      </w:pPr>
      <w:r w:rsidRPr="003644E0">
        <w:rPr>
          <w:color w:val="000000" w:themeColor="text1"/>
        </w:rPr>
        <w:t>2.1 Comparative Analysis: Model Performance</w:t>
      </w:r>
    </w:p>
    <w:p w14:paraId="432B7C25" w14:textId="77777777" w:rsidR="00EE1505" w:rsidRPr="003644E0" w:rsidRDefault="00000000">
      <w:pPr>
        <w:spacing w:after="120" w:line="360" w:lineRule="auto"/>
        <w:jc w:val="both"/>
        <w:rPr>
          <w:sz w:val="18"/>
          <w:szCs w:val="18"/>
        </w:rPr>
      </w:pPr>
      <w:r w:rsidRPr="003644E0">
        <w:rPr>
          <w:sz w:val="18"/>
          <w:szCs w:val="18"/>
        </w:rPr>
        <w:t>The dual-model NLP approach (VADER + Roberta) outperformed single-model baselines. VADER alone achieved 78% classification accuracy with rapid inference (120ms per review), making it suitable for real-time applications but sacrificing contextual understanding. Roberta achieved 89% accuracy with slower inference (450ms per review) but provided superior nuance in distinguishing genuine safety concerns from aesthetic complaints. The ensemble approach achieved the best trade-off: 92% accuracy with 180ms average inference time. Roberta's transformer-based architecture effectively captured long-range dependencies in review text, enabling differentiation between statements like 'broken sidewalk' (infrastructure issue) versus 'frequent robberies' (genuine safety threat). The VADER component's domain-specific optimization for social media text proved crucial for handling colloquial safety language ('sketchy,' 'feels unsafe,' 'creepy') that conventional NLP models often miss.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E1505" w14:paraId="412491A9" w14:textId="77777777">
        <w:tc>
          <w:tcPr>
            <w:tcW w:w="1870" w:type="dxa"/>
            <w:shd w:val="clear" w:color="auto" w:fill="4472C4"/>
            <w:tcMar>
              <w:top w:w="100" w:type="dxa"/>
              <w:left w:w="50" w:type="dxa"/>
              <w:bottom w:w="100" w:type="dxa"/>
              <w:right w:w="50" w:type="dxa"/>
            </w:tcMar>
            <w:vAlign w:val="center"/>
          </w:tcPr>
          <w:p w14:paraId="76466EBB" w14:textId="77777777" w:rsidR="00EE1505" w:rsidRDefault="00000000">
            <w:pPr>
              <w:jc w:val="center"/>
              <w:rPr>
                <w:sz w:val="20"/>
                <w:szCs w:val="20"/>
              </w:rPr>
            </w:pPr>
            <w:r>
              <w:lastRenderedPageBreak/>
              <w:t>Model</w:t>
            </w:r>
          </w:p>
        </w:tc>
        <w:tc>
          <w:tcPr>
            <w:tcW w:w="1870" w:type="dxa"/>
            <w:shd w:val="clear" w:color="auto" w:fill="4472C4"/>
            <w:tcMar>
              <w:top w:w="100" w:type="dxa"/>
              <w:left w:w="50" w:type="dxa"/>
              <w:bottom w:w="100" w:type="dxa"/>
              <w:right w:w="50" w:type="dxa"/>
            </w:tcMar>
            <w:vAlign w:val="center"/>
          </w:tcPr>
          <w:p w14:paraId="0712ED3B" w14:textId="77777777" w:rsidR="00EE1505" w:rsidRDefault="00000000">
            <w:pPr>
              <w:jc w:val="center"/>
              <w:rPr>
                <w:sz w:val="20"/>
                <w:szCs w:val="20"/>
              </w:rPr>
            </w:pPr>
            <w:r>
              <w:t>Accuracy</w:t>
            </w:r>
          </w:p>
        </w:tc>
        <w:tc>
          <w:tcPr>
            <w:tcW w:w="1870" w:type="dxa"/>
            <w:shd w:val="clear" w:color="auto" w:fill="4472C4"/>
            <w:tcMar>
              <w:top w:w="100" w:type="dxa"/>
              <w:left w:w="50" w:type="dxa"/>
              <w:bottom w:w="100" w:type="dxa"/>
              <w:right w:w="50" w:type="dxa"/>
            </w:tcMar>
            <w:vAlign w:val="center"/>
          </w:tcPr>
          <w:p w14:paraId="7C23961F" w14:textId="77777777" w:rsidR="00EE1505" w:rsidRDefault="00000000">
            <w:pPr>
              <w:jc w:val="center"/>
              <w:rPr>
                <w:sz w:val="20"/>
                <w:szCs w:val="20"/>
              </w:rPr>
            </w:pPr>
            <w:r>
              <w:t>Inference Time (ms)</w:t>
            </w:r>
          </w:p>
        </w:tc>
        <w:tc>
          <w:tcPr>
            <w:tcW w:w="1870" w:type="dxa"/>
            <w:shd w:val="clear" w:color="auto" w:fill="4472C4"/>
            <w:tcMar>
              <w:top w:w="100" w:type="dxa"/>
              <w:left w:w="50" w:type="dxa"/>
              <w:bottom w:w="100" w:type="dxa"/>
              <w:right w:w="50" w:type="dxa"/>
            </w:tcMar>
            <w:vAlign w:val="center"/>
          </w:tcPr>
          <w:p w14:paraId="7C430B1C" w14:textId="77777777" w:rsidR="00EE1505" w:rsidRDefault="00000000">
            <w:pPr>
              <w:jc w:val="center"/>
              <w:rPr>
                <w:sz w:val="20"/>
                <w:szCs w:val="20"/>
              </w:rPr>
            </w:pPr>
            <w:r>
              <w:t>F1-Score</w:t>
            </w:r>
          </w:p>
        </w:tc>
        <w:tc>
          <w:tcPr>
            <w:tcW w:w="1870" w:type="dxa"/>
            <w:shd w:val="clear" w:color="auto" w:fill="4472C4"/>
            <w:tcMar>
              <w:top w:w="100" w:type="dxa"/>
              <w:left w:w="50" w:type="dxa"/>
              <w:bottom w:w="100" w:type="dxa"/>
              <w:right w:w="50" w:type="dxa"/>
            </w:tcMar>
            <w:vAlign w:val="center"/>
          </w:tcPr>
          <w:p w14:paraId="330E2816" w14:textId="77777777" w:rsidR="00EE1505" w:rsidRDefault="00000000">
            <w:pPr>
              <w:jc w:val="center"/>
              <w:rPr>
                <w:sz w:val="20"/>
                <w:szCs w:val="20"/>
              </w:rPr>
            </w:pPr>
            <w:r>
              <w:t>Robustness</w:t>
            </w:r>
          </w:p>
        </w:tc>
      </w:tr>
      <w:tr w:rsidR="00EE1505" w14:paraId="1AD3D81F" w14:textId="77777777">
        <w:tc>
          <w:tcPr>
            <w:tcW w:w="1870" w:type="dxa"/>
            <w:shd w:val="clear" w:color="auto" w:fill="D9E1F2"/>
            <w:tcMar>
              <w:top w:w="100" w:type="dxa"/>
              <w:left w:w="50" w:type="dxa"/>
              <w:bottom w:w="100" w:type="dxa"/>
              <w:right w:w="50" w:type="dxa"/>
            </w:tcMar>
            <w:vAlign w:val="center"/>
          </w:tcPr>
          <w:p w14:paraId="32F4C6AE" w14:textId="77777777" w:rsidR="00EE1505" w:rsidRDefault="00000000">
            <w:pPr>
              <w:jc w:val="center"/>
              <w:rPr>
                <w:sz w:val="20"/>
                <w:szCs w:val="20"/>
              </w:rPr>
            </w:pPr>
            <w:r>
              <w:t>VADER Only</w:t>
            </w:r>
          </w:p>
        </w:tc>
        <w:tc>
          <w:tcPr>
            <w:tcW w:w="1870" w:type="dxa"/>
            <w:shd w:val="clear" w:color="auto" w:fill="D9E1F2"/>
            <w:tcMar>
              <w:top w:w="100" w:type="dxa"/>
              <w:left w:w="50" w:type="dxa"/>
              <w:bottom w:w="100" w:type="dxa"/>
              <w:right w:w="50" w:type="dxa"/>
            </w:tcMar>
            <w:vAlign w:val="center"/>
          </w:tcPr>
          <w:p w14:paraId="7376C338" w14:textId="77777777" w:rsidR="00EE1505" w:rsidRDefault="00000000">
            <w:pPr>
              <w:jc w:val="center"/>
              <w:rPr>
                <w:sz w:val="20"/>
                <w:szCs w:val="20"/>
              </w:rPr>
            </w:pPr>
            <w:r>
              <w:t>78%</w:t>
            </w:r>
          </w:p>
        </w:tc>
        <w:tc>
          <w:tcPr>
            <w:tcW w:w="1870" w:type="dxa"/>
            <w:shd w:val="clear" w:color="auto" w:fill="D9E1F2"/>
            <w:tcMar>
              <w:top w:w="100" w:type="dxa"/>
              <w:left w:w="50" w:type="dxa"/>
              <w:bottom w:w="100" w:type="dxa"/>
              <w:right w:w="50" w:type="dxa"/>
            </w:tcMar>
            <w:vAlign w:val="center"/>
          </w:tcPr>
          <w:p w14:paraId="2E2C3C86" w14:textId="77777777" w:rsidR="00EE1505" w:rsidRDefault="00000000">
            <w:pPr>
              <w:jc w:val="center"/>
              <w:rPr>
                <w:sz w:val="20"/>
                <w:szCs w:val="20"/>
              </w:rPr>
            </w:pPr>
            <w:r>
              <w:t>120</w:t>
            </w:r>
          </w:p>
        </w:tc>
        <w:tc>
          <w:tcPr>
            <w:tcW w:w="1870" w:type="dxa"/>
            <w:shd w:val="clear" w:color="auto" w:fill="D9E1F2"/>
            <w:tcMar>
              <w:top w:w="100" w:type="dxa"/>
              <w:left w:w="50" w:type="dxa"/>
              <w:bottom w:w="100" w:type="dxa"/>
              <w:right w:w="50" w:type="dxa"/>
            </w:tcMar>
            <w:vAlign w:val="center"/>
          </w:tcPr>
          <w:p w14:paraId="721A99D9" w14:textId="77777777" w:rsidR="00EE1505" w:rsidRDefault="00000000">
            <w:pPr>
              <w:jc w:val="center"/>
              <w:rPr>
                <w:sz w:val="20"/>
                <w:szCs w:val="20"/>
              </w:rPr>
            </w:pPr>
            <w:r>
              <w:t>0.76</w:t>
            </w:r>
          </w:p>
        </w:tc>
        <w:tc>
          <w:tcPr>
            <w:tcW w:w="1870" w:type="dxa"/>
            <w:shd w:val="clear" w:color="auto" w:fill="D9E1F2"/>
            <w:tcMar>
              <w:top w:w="100" w:type="dxa"/>
              <w:left w:w="50" w:type="dxa"/>
              <w:bottom w:w="100" w:type="dxa"/>
              <w:right w:w="50" w:type="dxa"/>
            </w:tcMar>
            <w:vAlign w:val="center"/>
          </w:tcPr>
          <w:p w14:paraId="018D0A61" w14:textId="77777777" w:rsidR="00EE1505" w:rsidRDefault="00000000">
            <w:pPr>
              <w:jc w:val="center"/>
              <w:rPr>
                <w:sz w:val="20"/>
                <w:szCs w:val="20"/>
              </w:rPr>
            </w:pPr>
            <w:r>
              <w:t>Moderate</w:t>
            </w:r>
          </w:p>
        </w:tc>
      </w:tr>
      <w:tr w:rsidR="00EE1505" w14:paraId="6480B5EA" w14:textId="77777777">
        <w:tc>
          <w:tcPr>
            <w:tcW w:w="1870" w:type="dxa"/>
            <w:tcMar>
              <w:top w:w="100" w:type="dxa"/>
              <w:left w:w="50" w:type="dxa"/>
              <w:bottom w:w="100" w:type="dxa"/>
              <w:right w:w="50" w:type="dxa"/>
            </w:tcMar>
            <w:vAlign w:val="center"/>
          </w:tcPr>
          <w:p w14:paraId="4C16EF89" w14:textId="77777777" w:rsidR="00EE1505" w:rsidRDefault="00000000">
            <w:pPr>
              <w:jc w:val="center"/>
              <w:rPr>
                <w:sz w:val="20"/>
                <w:szCs w:val="20"/>
              </w:rPr>
            </w:pPr>
            <w:r>
              <w:t>Roberta Only</w:t>
            </w:r>
          </w:p>
        </w:tc>
        <w:tc>
          <w:tcPr>
            <w:tcW w:w="1870" w:type="dxa"/>
            <w:tcMar>
              <w:top w:w="100" w:type="dxa"/>
              <w:left w:w="50" w:type="dxa"/>
              <w:bottom w:w="100" w:type="dxa"/>
              <w:right w:w="50" w:type="dxa"/>
            </w:tcMar>
            <w:vAlign w:val="center"/>
          </w:tcPr>
          <w:p w14:paraId="26F02AAF" w14:textId="77777777" w:rsidR="00EE1505" w:rsidRDefault="00000000">
            <w:pPr>
              <w:jc w:val="center"/>
              <w:rPr>
                <w:sz w:val="20"/>
                <w:szCs w:val="20"/>
              </w:rPr>
            </w:pPr>
            <w:r>
              <w:t>89%</w:t>
            </w:r>
          </w:p>
        </w:tc>
        <w:tc>
          <w:tcPr>
            <w:tcW w:w="1870" w:type="dxa"/>
            <w:tcMar>
              <w:top w:w="100" w:type="dxa"/>
              <w:left w:w="50" w:type="dxa"/>
              <w:bottom w:w="100" w:type="dxa"/>
              <w:right w:w="50" w:type="dxa"/>
            </w:tcMar>
            <w:vAlign w:val="center"/>
          </w:tcPr>
          <w:p w14:paraId="66A23784" w14:textId="77777777" w:rsidR="00EE1505" w:rsidRDefault="00000000">
            <w:pPr>
              <w:jc w:val="center"/>
              <w:rPr>
                <w:sz w:val="20"/>
                <w:szCs w:val="20"/>
              </w:rPr>
            </w:pPr>
            <w:r>
              <w:t>450</w:t>
            </w:r>
          </w:p>
        </w:tc>
        <w:tc>
          <w:tcPr>
            <w:tcW w:w="1870" w:type="dxa"/>
            <w:tcMar>
              <w:top w:w="100" w:type="dxa"/>
              <w:left w:w="50" w:type="dxa"/>
              <w:bottom w:w="100" w:type="dxa"/>
              <w:right w:w="50" w:type="dxa"/>
            </w:tcMar>
            <w:vAlign w:val="center"/>
          </w:tcPr>
          <w:p w14:paraId="7838A8C7" w14:textId="77777777" w:rsidR="00EE1505" w:rsidRDefault="00000000">
            <w:pPr>
              <w:jc w:val="center"/>
              <w:rPr>
                <w:sz w:val="20"/>
                <w:szCs w:val="20"/>
              </w:rPr>
            </w:pPr>
            <w:r>
              <w:t>0.87</w:t>
            </w:r>
          </w:p>
        </w:tc>
        <w:tc>
          <w:tcPr>
            <w:tcW w:w="1870" w:type="dxa"/>
            <w:tcMar>
              <w:top w:w="100" w:type="dxa"/>
              <w:left w:w="50" w:type="dxa"/>
              <w:bottom w:w="100" w:type="dxa"/>
              <w:right w:w="50" w:type="dxa"/>
            </w:tcMar>
            <w:vAlign w:val="center"/>
          </w:tcPr>
          <w:p w14:paraId="30AFD4BA" w14:textId="77777777" w:rsidR="00EE1505" w:rsidRDefault="00000000">
            <w:pPr>
              <w:jc w:val="center"/>
              <w:rPr>
                <w:sz w:val="20"/>
                <w:szCs w:val="20"/>
              </w:rPr>
            </w:pPr>
            <w:r>
              <w:t>High</w:t>
            </w:r>
          </w:p>
        </w:tc>
      </w:tr>
      <w:tr w:rsidR="00EE1505" w14:paraId="15BCC80F" w14:textId="77777777">
        <w:tc>
          <w:tcPr>
            <w:tcW w:w="1870" w:type="dxa"/>
            <w:shd w:val="clear" w:color="auto" w:fill="D9E1F2"/>
            <w:tcMar>
              <w:top w:w="100" w:type="dxa"/>
              <w:left w:w="50" w:type="dxa"/>
              <w:bottom w:w="100" w:type="dxa"/>
              <w:right w:w="50" w:type="dxa"/>
            </w:tcMar>
            <w:vAlign w:val="center"/>
          </w:tcPr>
          <w:p w14:paraId="38CFC3C0" w14:textId="77777777" w:rsidR="00EE1505" w:rsidRDefault="00000000">
            <w:pPr>
              <w:jc w:val="center"/>
              <w:rPr>
                <w:sz w:val="20"/>
                <w:szCs w:val="20"/>
              </w:rPr>
            </w:pPr>
            <w:r>
              <w:t>VADER + Roberta (Ensemble)</w:t>
            </w:r>
          </w:p>
        </w:tc>
        <w:tc>
          <w:tcPr>
            <w:tcW w:w="1870" w:type="dxa"/>
            <w:shd w:val="clear" w:color="auto" w:fill="D9E1F2"/>
            <w:tcMar>
              <w:top w:w="100" w:type="dxa"/>
              <w:left w:w="50" w:type="dxa"/>
              <w:bottom w:w="100" w:type="dxa"/>
              <w:right w:w="50" w:type="dxa"/>
            </w:tcMar>
            <w:vAlign w:val="center"/>
          </w:tcPr>
          <w:p w14:paraId="15956C40" w14:textId="77777777" w:rsidR="00EE1505" w:rsidRDefault="00000000">
            <w:pPr>
              <w:jc w:val="center"/>
              <w:rPr>
                <w:sz w:val="20"/>
                <w:szCs w:val="20"/>
              </w:rPr>
            </w:pPr>
            <w:r>
              <w:t>92%</w:t>
            </w:r>
          </w:p>
        </w:tc>
        <w:tc>
          <w:tcPr>
            <w:tcW w:w="1870" w:type="dxa"/>
            <w:shd w:val="clear" w:color="auto" w:fill="D9E1F2"/>
            <w:tcMar>
              <w:top w:w="100" w:type="dxa"/>
              <w:left w:w="50" w:type="dxa"/>
              <w:bottom w:w="100" w:type="dxa"/>
              <w:right w:w="50" w:type="dxa"/>
            </w:tcMar>
            <w:vAlign w:val="center"/>
          </w:tcPr>
          <w:p w14:paraId="2066A260" w14:textId="77777777" w:rsidR="00EE1505" w:rsidRDefault="00000000">
            <w:pPr>
              <w:jc w:val="center"/>
              <w:rPr>
                <w:sz w:val="20"/>
                <w:szCs w:val="20"/>
              </w:rPr>
            </w:pPr>
            <w:r>
              <w:t>180</w:t>
            </w:r>
          </w:p>
        </w:tc>
        <w:tc>
          <w:tcPr>
            <w:tcW w:w="1870" w:type="dxa"/>
            <w:shd w:val="clear" w:color="auto" w:fill="D9E1F2"/>
            <w:tcMar>
              <w:top w:w="100" w:type="dxa"/>
              <w:left w:w="50" w:type="dxa"/>
              <w:bottom w:w="100" w:type="dxa"/>
              <w:right w:w="50" w:type="dxa"/>
            </w:tcMar>
            <w:vAlign w:val="center"/>
          </w:tcPr>
          <w:p w14:paraId="1C700F86" w14:textId="77777777" w:rsidR="00EE1505" w:rsidRDefault="00000000">
            <w:pPr>
              <w:jc w:val="center"/>
              <w:rPr>
                <w:sz w:val="20"/>
                <w:szCs w:val="20"/>
              </w:rPr>
            </w:pPr>
            <w:r>
              <w:t>0.89</w:t>
            </w:r>
          </w:p>
        </w:tc>
        <w:tc>
          <w:tcPr>
            <w:tcW w:w="1870" w:type="dxa"/>
            <w:shd w:val="clear" w:color="auto" w:fill="D9E1F2"/>
            <w:tcMar>
              <w:top w:w="100" w:type="dxa"/>
              <w:left w:w="50" w:type="dxa"/>
              <w:bottom w:w="100" w:type="dxa"/>
              <w:right w:w="50" w:type="dxa"/>
            </w:tcMar>
            <w:vAlign w:val="center"/>
          </w:tcPr>
          <w:p w14:paraId="12104892" w14:textId="77777777" w:rsidR="00EE1505" w:rsidRDefault="00000000">
            <w:pPr>
              <w:jc w:val="center"/>
              <w:rPr>
                <w:sz w:val="20"/>
                <w:szCs w:val="20"/>
              </w:rPr>
            </w:pPr>
            <w:r>
              <w:t>Very High</w:t>
            </w:r>
          </w:p>
        </w:tc>
      </w:tr>
    </w:tbl>
    <w:p w14:paraId="065391B6" w14:textId="77777777" w:rsidR="00EE1505" w:rsidRDefault="00000000">
      <w:pPr>
        <w:spacing w:before="120" w:after="240"/>
        <w:jc w:val="center"/>
        <w:rPr>
          <w:color w:val="000000" w:themeColor="text1"/>
          <w:sz w:val="18"/>
          <w:szCs w:val="18"/>
        </w:rPr>
      </w:pPr>
      <w:r w:rsidRPr="003644E0">
        <w:rPr>
          <w:sz w:val="18"/>
          <w:szCs w:val="18"/>
        </w:rPr>
        <w:t xml:space="preserve">Table 3: NLP Model Comparison - Trade-offs between speed, accuracy, and robustness across different </w:t>
      </w:r>
      <w:r w:rsidRPr="003644E0">
        <w:rPr>
          <w:color w:val="000000" w:themeColor="text1"/>
          <w:sz w:val="18"/>
          <w:szCs w:val="18"/>
        </w:rPr>
        <w:t>sentiment analysis approaches.</w:t>
      </w:r>
    </w:p>
    <w:p w14:paraId="7F19D56A" w14:textId="77777777" w:rsidR="003B39CD" w:rsidRDefault="003B39CD">
      <w:pPr>
        <w:spacing w:before="120" w:after="240"/>
        <w:jc w:val="center"/>
        <w:rPr>
          <w:color w:val="000000" w:themeColor="text1"/>
          <w:sz w:val="18"/>
          <w:szCs w:val="18"/>
        </w:rPr>
      </w:pPr>
    </w:p>
    <w:p w14:paraId="06B2CF2E" w14:textId="14A75F53" w:rsidR="003B39CD" w:rsidRDefault="003B39CD">
      <w:pPr>
        <w:spacing w:before="120" w:after="240"/>
        <w:jc w:val="center"/>
        <w:rPr>
          <w:b/>
          <w:bCs/>
          <w:color w:val="000000" w:themeColor="text1"/>
          <w:sz w:val="18"/>
          <w:szCs w:val="18"/>
        </w:rPr>
      </w:pPr>
      <w:r w:rsidRPr="003B39CD">
        <w:rPr>
          <w:b/>
          <w:bCs/>
          <w:noProof/>
          <w:color w:val="000000" w:themeColor="text1"/>
          <w:sz w:val="18"/>
          <w:szCs w:val="18"/>
        </w:rPr>
        <w:drawing>
          <wp:inline distT="0" distB="0" distL="0" distR="0" wp14:anchorId="74009ED5" wp14:editId="7BCFE630">
            <wp:extent cx="5943600" cy="3538220"/>
            <wp:effectExtent l="0" t="0" r="0" b="5080"/>
            <wp:docPr id="2649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8655" name=""/>
                    <pic:cNvPicPr/>
                  </pic:nvPicPr>
                  <pic:blipFill>
                    <a:blip r:embed="rId8"/>
                    <a:stretch>
                      <a:fillRect/>
                    </a:stretch>
                  </pic:blipFill>
                  <pic:spPr>
                    <a:xfrm>
                      <a:off x="0" y="0"/>
                      <a:ext cx="5943600" cy="3538220"/>
                    </a:xfrm>
                    <a:prstGeom prst="rect">
                      <a:avLst/>
                    </a:prstGeom>
                  </pic:spPr>
                </pic:pic>
              </a:graphicData>
            </a:graphic>
          </wp:inline>
        </w:drawing>
      </w:r>
    </w:p>
    <w:p w14:paraId="1640D213" w14:textId="77777777" w:rsidR="00594D5F" w:rsidRDefault="00594D5F">
      <w:pPr>
        <w:spacing w:before="120" w:after="240"/>
        <w:jc w:val="center"/>
        <w:rPr>
          <w:b/>
          <w:bCs/>
          <w:color w:val="000000" w:themeColor="text1"/>
          <w:sz w:val="18"/>
          <w:szCs w:val="18"/>
        </w:rPr>
      </w:pPr>
    </w:p>
    <w:p w14:paraId="3FD16069" w14:textId="7353343D" w:rsidR="00594D5F" w:rsidRPr="003B39CD" w:rsidRDefault="00831C28">
      <w:pPr>
        <w:spacing w:before="120" w:after="240"/>
        <w:jc w:val="center"/>
        <w:rPr>
          <w:b/>
          <w:bCs/>
          <w:color w:val="000000" w:themeColor="text1"/>
          <w:sz w:val="18"/>
          <w:szCs w:val="18"/>
        </w:rPr>
      </w:pPr>
      <w:r w:rsidRPr="00831C28">
        <w:rPr>
          <w:b/>
          <w:bCs/>
          <w:color w:val="000000" w:themeColor="text1"/>
          <w:sz w:val="18"/>
          <w:szCs w:val="18"/>
        </w:rPr>
        <w:lastRenderedPageBreak/>
        <w:drawing>
          <wp:inline distT="0" distB="0" distL="0" distR="0" wp14:anchorId="5A080537" wp14:editId="10BD685C">
            <wp:extent cx="5943600" cy="2014220"/>
            <wp:effectExtent l="0" t="0" r="0" b="5080"/>
            <wp:docPr id="127187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76108" name=""/>
                    <pic:cNvPicPr/>
                  </pic:nvPicPr>
                  <pic:blipFill>
                    <a:blip r:embed="rId9"/>
                    <a:stretch>
                      <a:fillRect/>
                    </a:stretch>
                  </pic:blipFill>
                  <pic:spPr>
                    <a:xfrm>
                      <a:off x="0" y="0"/>
                      <a:ext cx="5943600" cy="2014220"/>
                    </a:xfrm>
                    <a:prstGeom prst="rect">
                      <a:avLst/>
                    </a:prstGeom>
                  </pic:spPr>
                </pic:pic>
              </a:graphicData>
            </a:graphic>
          </wp:inline>
        </w:drawing>
      </w:r>
    </w:p>
    <w:p w14:paraId="4F09B7AD" w14:textId="77777777" w:rsidR="00EE1505" w:rsidRPr="003644E0" w:rsidRDefault="00000000">
      <w:pPr>
        <w:pStyle w:val="Heading1"/>
        <w:rPr>
          <w:color w:val="000000" w:themeColor="text1"/>
        </w:rPr>
      </w:pPr>
      <w:r w:rsidRPr="003644E0">
        <w:rPr>
          <w:color w:val="000000" w:themeColor="text1"/>
        </w:rPr>
        <w:t>3. Ablation Study: Component Contribution Analysis</w:t>
      </w:r>
    </w:p>
    <w:p w14:paraId="42D84968" w14:textId="77777777" w:rsidR="00EE1505" w:rsidRDefault="00000000">
      <w:pPr>
        <w:spacing w:after="120" w:line="360" w:lineRule="auto"/>
        <w:jc w:val="both"/>
      </w:pPr>
      <w:r w:rsidRPr="003644E0">
        <w:rPr>
          <w:sz w:val="18"/>
          <w:szCs w:val="18"/>
        </w:rPr>
        <w:t>An ablation study was conducted to quantify the individual contribution of each system component to overall performance. Table 4 presents the progressive impact of adding components to the baseline safety scoring model. The baseline model (simple star rating threshold) achieved 68% accuracy and 6.8 points MAE, establishing a lower bound. Integration of keyword-based risk detection improved accuracy to 76% (8 percentage point gain) and reduced MAE to 12.2 points, demonstrating the importance of explicit hazard keywords. The addition of temporal adjustment features (night-time penalty) further improved performance to 81% accuracy and 11.1 MAE, validating the hypothesis that safety perception is time-dependent. Incorporation of the</w:t>
      </w:r>
      <w:r>
        <w:t xml:space="preserve"> </w:t>
      </w:r>
      <w:r w:rsidRPr="003644E0">
        <w:rPr>
          <w:sz w:val="18"/>
          <w:szCs w:val="18"/>
        </w:rPr>
        <w:t>VADER sentiment engine elevated accuracy to 88% (7 percentage point gain) and achieved 8.9 MAE, showing the</w:t>
      </w:r>
      <w:r>
        <w:t xml:space="preserve"> </w:t>
      </w:r>
      <w:r w:rsidRPr="003644E0">
        <w:rPr>
          <w:sz w:val="18"/>
          <w:szCs w:val="18"/>
        </w:rPr>
        <w:t>value of domain-specific sentiment analysis. The final ensemble with Roberta integration achieved 92% accuracy and 7.3 MAE, the highest performing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1337"/>
        <w:gridCol w:w="1337"/>
        <w:gridCol w:w="1337"/>
        <w:gridCol w:w="1337"/>
        <w:gridCol w:w="1337"/>
      </w:tblGrid>
      <w:tr w:rsidR="00EE1505" w14:paraId="4D4453CB" w14:textId="77777777">
        <w:tc>
          <w:tcPr>
            <w:tcW w:w="2340" w:type="dxa"/>
            <w:shd w:val="clear" w:color="auto" w:fill="4472C4"/>
            <w:tcMar>
              <w:top w:w="100" w:type="dxa"/>
              <w:left w:w="50" w:type="dxa"/>
              <w:bottom w:w="100" w:type="dxa"/>
              <w:right w:w="50" w:type="dxa"/>
            </w:tcMar>
            <w:vAlign w:val="center"/>
          </w:tcPr>
          <w:p w14:paraId="7E84E149" w14:textId="77777777" w:rsidR="00EE1505" w:rsidRDefault="00000000">
            <w:pPr>
              <w:rPr>
                <w:sz w:val="20"/>
                <w:szCs w:val="20"/>
              </w:rPr>
            </w:pPr>
            <w:r>
              <w:t>Component Configuration</w:t>
            </w:r>
          </w:p>
        </w:tc>
        <w:tc>
          <w:tcPr>
            <w:tcW w:w="1170" w:type="dxa"/>
            <w:shd w:val="clear" w:color="auto" w:fill="4472C4"/>
            <w:tcMar>
              <w:top w:w="100" w:type="dxa"/>
              <w:left w:w="50" w:type="dxa"/>
              <w:bottom w:w="100" w:type="dxa"/>
              <w:right w:w="50" w:type="dxa"/>
            </w:tcMar>
            <w:vAlign w:val="center"/>
          </w:tcPr>
          <w:p w14:paraId="4AC3AACD" w14:textId="77777777" w:rsidR="00EE1505" w:rsidRDefault="00000000">
            <w:pPr>
              <w:jc w:val="center"/>
              <w:rPr>
                <w:sz w:val="20"/>
                <w:szCs w:val="20"/>
              </w:rPr>
            </w:pPr>
            <w:r>
              <w:t>Accuracy</w:t>
            </w:r>
          </w:p>
        </w:tc>
        <w:tc>
          <w:tcPr>
            <w:tcW w:w="1170" w:type="dxa"/>
            <w:shd w:val="clear" w:color="auto" w:fill="4472C4"/>
            <w:tcMar>
              <w:top w:w="100" w:type="dxa"/>
              <w:left w:w="50" w:type="dxa"/>
              <w:bottom w:w="100" w:type="dxa"/>
              <w:right w:w="50" w:type="dxa"/>
            </w:tcMar>
            <w:vAlign w:val="center"/>
          </w:tcPr>
          <w:p w14:paraId="4F7C48EC" w14:textId="77777777" w:rsidR="00EE1505" w:rsidRDefault="00000000">
            <w:pPr>
              <w:jc w:val="center"/>
              <w:rPr>
                <w:sz w:val="20"/>
                <w:szCs w:val="20"/>
              </w:rPr>
            </w:pPr>
            <w:r>
              <w:t>MAE</w:t>
            </w:r>
          </w:p>
        </w:tc>
        <w:tc>
          <w:tcPr>
            <w:tcW w:w="1170" w:type="dxa"/>
            <w:shd w:val="clear" w:color="auto" w:fill="4472C4"/>
            <w:tcMar>
              <w:top w:w="100" w:type="dxa"/>
              <w:left w:w="50" w:type="dxa"/>
              <w:bottom w:w="100" w:type="dxa"/>
              <w:right w:w="50" w:type="dxa"/>
            </w:tcMar>
            <w:vAlign w:val="center"/>
          </w:tcPr>
          <w:p w14:paraId="6E066664" w14:textId="77777777" w:rsidR="00EE1505" w:rsidRDefault="00000000">
            <w:pPr>
              <w:jc w:val="center"/>
              <w:rPr>
                <w:sz w:val="20"/>
                <w:szCs w:val="20"/>
              </w:rPr>
            </w:pPr>
            <w:r>
              <w:t>Precision</w:t>
            </w:r>
          </w:p>
        </w:tc>
        <w:tc>
          <w:tcPr>
            <w:tcW w:w="1170" w:type="dxa"/>
            <w:shd w:val="clear" w:color="auto" w:fill="4472C4"/>
            <w:tcMar>
              <w:top w:w="100" w:type="dxa"/>
              <w:left w:w="50" w:type="dxa"/>
              <w:bottom w:w="100" w:type="dxa"/>
              <w:right w:w="50" w:type="dxa"/>
            </w:tcMar>
            <w:vAlign w:val="center"/>
          </w:tcPr>
          <w:p w14:paraId="0692F04F" w14:textId="77777777" w:rsidR="00EE1505" w:rsidRDefault="00000000">
            <w:pPr>
              <w:jc w:val="center"/>
              <w:rPr>
                <w:sz w:val="20"/>
                <w:szCs w:val="20"/>
              </w:rPr>
            </w:pPr>
            <w:r>
              <w:t>Recall</w:t>
            </w:r>
          </w:p>
        </w:tc>
        <w:tc>
          <w:tcPr>
            <w:tcW w:w="1170" w:type="dxa"/>
            <w:shd w:val="clear" w:color="auto" w:fill="4472C4"/>
            <w:tcMar>
              <w:top w:w="100" w:type="dxa"/>
              <w:left w:w="50" w:type="dxa"/>
              <w:bottom w:w="100" w:type="dxa"/>
              <w:right w:w="50" w:type="dxa"/>
            </w:tcMar>
            <w:vAlign w:val="center"/>
          </w:tcPr>
          <w:p w14:paraId="4E19C26B" w14:textId="77777777" w:rsidR="00EE1505" w:rsidRDefault="00000000">
            <w:pPr>
              <w:jc w:val="center"/>
              <w:rPr>
                <w:sz w:val="20"/>
                <w:szCs w:val="20"/>
              </w:rPr>
            </w:pPr>
            <w:r>
              <w:t>Δ Accuracy</w:t>
            </w:r>
          </w:p>
        </w:tc>
      </w:tr>
      <w:tr w:rsidR="00EE1505" w14:paraId="692AE0B0" w14:textId="77777777">
        <w:tc>
          <w:tcPr>
            <w:tcW w:w="2340" w:type="dxa"/>
            <w:shd w:val="clear" w:color="auto" w:fill="D9E1F2"/>
            <w:tcMar>
              <w:top w:w="100" w:type="dxa"/>
              <w:left w:w="50" w:type="dxa"/>
              <w:bottom w:w="100" w:type="dxa"/>
              <w:right w:w="50" w:type="dxa"/>
            </w:tcMar>
            <w:vAlign w:val="center"/>
          </w:tcPr>
          <w:p w14:paraId="514F732E" w14:textId="77777777" w:rsidR="00EE1505" w:rsidRDefault="00000000">
            <w:pPr>
              <w:rPr>
                <w:sz w:val="20"/>
                <w:szCs w:val="20"/>
              </w:rPr>
            </w:pPr>
            <w:r>
              <w:t>Baseline (Star Rating Threshold)</w:t>
            </w:r>
          </w:p>
        </w:tc>
        <w:tc>
          <w:tcPr>
            <w:tcW w:w="1170" w:type="dxa"/>
            <w:shd w:val="clear" w:color="auto" w:fill="D9E1F2"/>
            <w:tcMar>
              <w:top w:w="100" w:type="dxa"/>
              <w:left w:w="50" w:type="dxa"/>
              <w:bottom w:w="100" w:type="dxa"/>
              <w:right w:w="50" w:type="dxa"/>
            </w:tcMar>
            <w:vAlign w:val="center"/>
          </w:tcPr>
          <w:p w14:paraId="70027CC8" w14:textId="77777777" w:rsidR="00EE1505" w:rsidRDefault="00000000">
            <w:pPr>
              <w:jc w:val="center"/>
              <w:rPr>
                <w:sz w:val="20"/>
                <w:szCs w:val="20"/>
              </w:rPr>
            </w:pPr>
            <w:r>
              <w:t>68%</w:t>
            </w:r>
          </w:p>
        </w:tc>
        <w:tc>
          <w:tcPr>
            <w:tcW w:w="1170" w:type="dxa"/>
            <w:shd w:val="clear" w:color="auto" w:fill="D9E1F2"/>
            <w:tcMar>
              <w:top w:w="100" w:type="dxa"/>
              <w:left w:w="50" w:type="dxa"/>
              <w:bottom w:w="100" w:type="dxa"/>
              <w:right w:w="50" w:type="dxa"/>
            </w:tcMar>
            <w:vAlign w:val="center"/>
          </w:tcPr>
          <w:p w14:paraId="2A79F307" w14:textId="77777777" w:rsidR="00EE1505" w:rsidRDefault="00000000">
            <w:pPr>
              <w:jc w:val="center"/>
              <w:rPr>
                <w:sz w:val="20"/>
                <w:szCs w:val="20"/>
              </w:rPr>
            </w:pPr>
            <w:r>
              <w:t>16.2</w:t>
            </w:r>
          </w:p>
        </w:tc>
        <w:tc>
          <w:tcPr>
            <w:tcW w:w="1170" w:type="dxa"/>
            <w:shd w:val="clear" w:color="auto" w:fill="D9E1F2"/>
            <w:tcMar>
              <w:top w:w="100" w:type="dxa"/>
              <w:left w:w="50" w:type="dxa"/>
              <w:bottom w:w="100" w:type="dxa"/>
              <w:right w:w="50" w:type="dxa"/>
            </w:tcMar>
            <w:vAlign w:val="center"/>
          </w:tcPr>
          <w:p w14:paraId="236D1C73" w14:textId="77777777" w:rsidR="00EE1505" w:rsidRDefault="00000000">
            <w:pPr>
              <w:jc w:val="center"/>
              <w:rPr>
                <w:sz w:val="20"/>
                <w:szCs w:val="20"/>
              </w:rPr>
            </w:pPr>
            <w:r>
              <w:t>0.65</w:t>
            </w:r>
          </w:p>
        </w:tc>
        <w:tc>
          <w:tcPr>
            <w:tcW w:w="1170" w:type="dxa"/>
            <w:shd w:val="clear" w:color="auto" w:fill="D9E1F2"/>
            <w:tcMar>
              <w:top w:w="100" w:type="dxa"/>
              <w:left w:w="50" w:type="dxa"/>
              <w:bottom w:w="100" w:type="dxa"/>
              <w:right w:w="50" w:type="dxa"/>
            </w:tcMar>
            <w:vAlign w:val="center"/>
          </w:tcPr>
          <w:p w14:paraId="2BE93781" w14:textId="77777777" w:rsidR="00EE1505" w:rsidRDefault="00000000">
            <w:pPr>
              <w:jc w:val="center"/>
              <w:rPr>
                <w:sz w:val="20"/>
                <w:szCs w:val="20"/>
              </w:rPr>
            </w:pPr>
            <w:r>
              <w:t>0.72</w:t>
            </w:r>
          </w:p>
        </w:tc>
        <w:tc>
          <w:tcPr>
            <w:tcW w:w="1170" w:type="dxa"/>
            <w:shd w:val="clear" w:color="auto" w:fill="D9E1F2"/>
            <w:tcMar>
              <w:top w:w="100" w:type="dxa"/>
              <w:left w:w="50" w:type="dxa"/>
              <w:bottom w:w="100" w:type="dxa"/>
              <w:right w:w="50" w:type="dxa"/>
            </w:tcMar>
            <w:vAlign w:val="center"/>
          </w:tcPr>
          <w:p w14:paraId="2D030D88" w14:textId="77777777" w:rsidR="00EE1505" w:rsidRDefault="00000000">
            <w:pPr>
              <w:jc w:val="center"/>
              <w:rPr>
                <w:sz w:val="20"/>
                <w:szCs w:val="20"/>
              </w:rPr>
            </w:pPr>
            <w:r>
              <w:t>—</w:t>
            </w:r>
          </w:p>
        </w:tc>
      </w:tr>
      <w:tr w:rsidR="00EE1505" w14:paraId="6B5A5AA4" w14:textId="77777777">
        <w:tc>
          <w:tcPr>
            <w:tcW w:w="2340" w:type="dxa"/>
            <w:tcMar>
              <w:top w:w="100" w:type="dxa"/>
              <w:left w:w="50" w:type="dxa"/>
              <w:bottom w:w="100" w:type="dxa"/>
              <w:right w:w="50" w:type="dxa"/>
            </w:tcMar>
            <w:vAlign w:val="center"/>
          </w:tcPr>
          <w:p w14:paraId="2CFAA850" w14:textId="77777777" w:rsidR="00EE1505" w:rsidRDefault="00000000">
            <w:pPr>
              <w:rPr>
                <w:sz w:val="20"/>
                <w:szCs w:val="20"/>
              </w:rPr>
            </w:pPr>
            <w:r>
              <w:t>+ Keyword Risk Detection</w:t>
            </w:r>
          </w:p>
        </w:tc>
        <w:tc>
          <w:tcPr>
            <w:tcW w:w="1170" w:type="dxa"/>
            <w:tcMar>
              <w:top w:w="100" w:type="dxa"/>
              <w:left w:w="50" w:type="dxa"/>
              <w:bottom w:w="100" w:type="dxa"/>
              <w:right w:w="50" w:type="dxa"/>
            </w:tcMar>
            <w:vAlign w:val="center"/>
          </w:tcPr>
          <w:p w14:paraId="2717DFE1" w14:textId="77777777" w:rsidR="00EE1505" w:rsidRDefault="00000000">
            <w:pPr>
              <w:jc w:val="center"/>
              <w:rPr>
                <w:sz w:val="20"/>
                <w:szCs w:val="20"/>
              </w:rPr>
            </w:pPr>
            <w:r>
              <w:t>76%</w:t>
            </w:r>
          </w:p>
        </w:tc>
        <w:tc>
          <w:tcPr>
            <w:tcW w:w="1170" w:type="dxa"/>
            <w:tcMar>
              <w:top w:w="100" w:type="dxa"/>
              <w:left w:w="50" w:type="dxa"/>
              <w:bottom w:w="100" w:type="dxa"/>
              <w:right w:w="50" w:type="dxa"/>
            </w:tcMar>
            <w:vAlign w:val="center"/>
          </w:tcPr>
          <w:p w14:paraId="59F473E8" w14:textId="77777777" w:rsidR="00EE1505" w:rsidRDefault="00000000">
            <w:pPr>
              <w:jc w:val="center"/>
              <w:rPr>
                <w:sz w:val="20"/>
                <w:szCs w:val="20"/>
              </w:rPr>
            </w:pPr>
            <w:r>
              <w:t>12.2</w:t>
            </w:r>
          </w:p>
        </w:tc>
        <w:tc>
          <w:tcPr>
            <w:tcW w:w="1170" w:type="dxa"/>
            <w:tcMar>
              <w:top w:w="100" w:type="dxa"/>
              <w:left w:w="50" w:type="dxa"/>
              <w:bottom w:w="100" w:type="dxa"/>
              <w:right w:w="50" w:type="dxa"/>
            </w:tcMar>
            <w:vAlign w:val="center"/>
          </w:tcPr>
          <w:p w14:paraId="120F7BD4" w14:textId="77777777" w:rsidR="00EE1505" w:rsidRDefault="00000000">
            <w:pPr>
              <w:jc w:val="center"/>
              <w:rPr>
                <w:sz w:val="20"/>
                <w:szCs w:val="20"/>
              </w:rPr>
            </w:pPr>
            <w:r>
              <w:t>0.74</w:t>
            </w:r>
          </w:p>
        </w:tc>
        <w:tc>
          <w:tcPr>
            <w:tcW w:w="1170" w:type="dxa"/>
            <w:tcMar>
              <w:top w:w="100" w:type="dxa"/>
              <w:left w:w="50" w:type="dxa"/>
              <w:bottom w:w="100" w:type="dxa"/>
              <w:right w:w="50" w:type="dxa"/>
            </w:tcMar>
            <w:vAlign w:val="center"/>
          </w:tcPr>
          <w:p w14:paraId="770E20BF" w14:textId="77777777" w:rsidR="00EE1505" w:rsidRDefault="00000000">
            <w:pPr>
              <w:jc w:val="center"/>
              <w:rPr>
                <w:sz w:val="20"/>
                <w:szCs w:val="20"/>
              </w:rPr>
            </w:pPr>
            <w:r>
              <w:t>0.78</w:t>
            </w:r>
          </w:p>
        </w:tc>
        <w:tc>
          <w:tcPr>
            <w:tcW w:w="1170" w:type="dxa"/>
            <w:tcMar>
              <w:top w:w="100" w:type="dxa"/>
              <w:left w:w="50" w:type="dxa"/>
              <w:bottom w:w="100" w:type="dxa"/>
              <w:right w:w="50" w:type="dxa"/>
            </w:tcMar>
            <w:vAlign w:val="center"/>
          </w:tcPr>
          <w:p w14:paraId="740B2A15" w14:textId="77777777" w:rsidR="00EE1505" w:rsidRDefault="00000000">
            <w:pPr>
              <w:jc w:val="center"/>
              <w:rPr>
                <w:sz w:val="20"/>
                <w:szCs w:val="20"/>
              </w:rPr>
            </w:pPr>
            <w:r>
              <w:t>+8%</w:t>
            </w:r>
          </w:p>
        </w:tc>
      </w:tr>
      <w:tr w:rsidR="00EE1505" w14:paraId="3E998D79" w14:textId="77777777">
        <w:tc>
          <w:tcPr>
            <w:tcW w:w="2340" w:type="dxa"/>
            <w:shd w:val="clear" w:color="auto" w:fill="D9E1F2"/>
            <w:tcMar>
              <w:top w:w="100" w:type="dxa"/>
              <w:left w:w="50" w:type="dxa"/>
              <w:bottom w:w="100" w:type="dxa"/>
              <w:right w:w="50" w:type="dxa"/>
            </w:tcMar>
            <w:vAlign w:val="center"/>
          </w:tcPr>
          <w:p w14:paraId="04543EE4" w14:textId="77777777" w:rsidR="00EE1505" w:rsidRDefault="00000000">
            <w:pPr>
              <w:rPr>
                <w:sz w:val="20"/>
                <w:szCs w:val="20"/>
              </w:rPr>
            </w:pPr>
            <w:r>
              <w:t>+ Temporal Features (Night Penalty)</w:t>
            </w:r>
          </w:p>
        </w:tc>
        <w:tc>
          <w:tcPr>
            <w:tcW w:w="1170" w:type="dxa"/>
            <w:shd w:val="clear" w:color="auto" w:fill="D9E1F2"/>
            <w:tcMar>
              <w:top w:w="100" w:type="dxa"/>
              <w:left w:w="50" w:type="dxa"/>
              <w:bottom w:w="100" w:type="dxa"/>
              <w:right w:w="50" w:type="dxa"/>
            </w:tcMar>
            <w:vAlign w:val="center"/>
          </w:tcPr>
          <w:p w14:paraId="2EFD674D" w14:textId="77777777" w:rsidR="00EE1505" w:rsidRDefault="00000000">
            <w:pPr>
              <w:jc w:val="center"/>
              <w:rPr>
                <w:sz w:val="20"/>
                <w:szCs w:val="20"/>
              </w:rPr>
            </w:pPr>
            <w:r>
              <w:t>81%</w:t>
            </w:r>
          </w:p>
        </w:tc>
        <w:tc>
          <w:tcPr>
            <w:tcW w:w="1170" w:type="dxa"/>
            <w:shd w:val="clear" w:color="auto" w:fill="D9E1F2"/>
            <w:tcMar>
              <w:top w:w="100" w:type="dxa"/>
              <w:left w:w="50" w:type="dxa"/>
              <w:bottom w:w="100" w:type="dxa"/>
              <w:right w:w="50" w:type="dxa"/>
            </w:tcMar>
            <w:vAlign w:val="center"/>
          </w:tcPr>
          <w:p w14:paraId="4A70D0D6" w14:textId="77777777" w:rsidR="00EE1505" w:rsidRDefault="00000000">
            <w:pPr>
              <w:jc w:val="center"/>
              <w:rPr>
                <w:sz w:val="20"/>
                <w:szCs w:val="20"/>
              </w:rPr>
            </w:pPr>
            <w:r>
              <w:t>11.1</w:t>
            </w:r>
          </w:p>
        </w:tc>
        <w:tc>
          <w:tcPr>
            <w:tcW w:w="1170" w:type="dxa"/>
            <w:shd w:val="clear" w:color="auto" w:fill="D9E1F2"/>
            <w:tcMar>
              <w:top w:w="100" w:type="dxa"/>
              <w:left w:w="50" w:type="dxa"/>
              <w:bottom w:w="100" w:type="dxa"/>
              <w:right w:w="50" w:type="dxa"/>
            </w:tcMar>
            <w:vAlign w:val="center"/>
          </w:tcPr>
          <w:p w14:paraId="65086FBE" w14:textId="77777777" w:rsidR="00EE1505" w:rsidRDefault="00000000">
            <w:pPr>
              <w:jc w:val="center"/>
              <w:rPr>
                <w:sz w:val="20"/>
                <w:szCs w:val="20"/>
              </w:rPr>
            </w:pPr>
            <w:r>
              <w:t>0.79</w:t>
            </w:r>
          </w:p>
        </w:tc>
        <w:tc>
          <w:tcPr>
            <w:tcW w:w="1170" w:type="dxa"/>
            <w:shd w:val="clear" w:color="auto" w:fill="D9E1F2"/>
            <w:tcMar>
              <w:top w:w="100" w:type="dxa"/>
              <w:left w:w="50" w:type="dxa"/>
              <w:bottom w:w="100" w:type="dxa"/>
              <w:right w:w="50" w:type="dxa"/>
            </w:tcMar>
            <w:vAlign w:val="center"/>
          </w:tcPr>
          <w:p w14:paraId="0FB3A93D" w14:textId="77777777" w:rsidR="00EE1505" w:rsidRDefault="00000000">
            <w:pPr>
              <w:jc w:val="center"/>
              <w:rPr>
                <w:sz w:val="20"/>
                <w:szCs w:val="20"/>
              </w:rPr>
            </w:pPr>
            <w:r>
              <w:t>0.82</w:t>
            </w:r>
          </w:p>
        </w:tc>
        <w:tc>
          <w:tcPr>
            <w:tcW w:w="1170" w:type="dxa"/>
            <w:shd w:val="clear" w:color="auto" w:fill="D9E1F2"/>
            <w:tcMar>
              <w:top w:w="100" w:type="dxa"/>
              <w:left w:w="50" w:type="dxa"/>
              <w:bottom w:w="100" w:type="dxa"/>
              <w:right w:w="50" w:type="dxa"/>
            </w:tcMar>
            <w:vAlign w:val="center"/>
          </w:tcPr>
          <w:p w14:paraId="7A703B22" w14:textId="77777777" w:rsidR="00EE1505" w:rsidRDefault="00000000">
            <w:pPr>
              <w:jc w:val="center"/>
              <w:rPr>
                <w:sz w:val="20"/>
                <w:szCs w:val="20"/>
              </w:rPr>
            </w:pPr>
            <w:r>
              <w:t>+5%</w:t>
            </w:r>
          </w:p>
        </w:tc>
      </w:tr>
      <w:tr w:rsidR="00EE1505" w14:paraId="025CFB4B" w14:textId="77777777">
        <w:tc>
          <w:tcPr>
            <w:tcW w:w="2340" w:type="dxa"/>
            <w:tcMar>
              <w:top w:w="100" w:type="dxa"/>
              <w:left w:w="50" w:type="dxa"/>
              <w:bottom w:w="100" w:type="dxa"/>
              <w:right w:w="50" w:type="dxa"/>
            </w:tcMar>
            <w:vAlign w:val="center"/>
          </w:tcPr>
          <w:p w14:paraId="23D53A31" w14:textId="77777777" w:rsidR="00EE1505" w:rsidRDefault="00000000">
            <w:pPr>
              <w:rPr>
                <w:sz w:val="20"/>
                <w:szCs w:val="20"/>
              </w:rPr>
            </w:pPr>
            <w:r>
              <w:t>+ VADER Sentiment Engine</w:t>
            </w:r>
          </w:p>
        </w:tc>
        <w:tc>
          <w:tcPr>
            <w:tcW w:w="1170" w:type="dxa"/>
            <w:tcMar>
              <w:top w:w="100" w:type="dxa"/>
              <w:left w:w="50" w:type="dxa"/>
              <w:bottom w:w="100" w:type="dxa"/>
              <w:right w:w="50" w:type="dxa"/>
            </w:tcMar>
            <w:vAlign w:val="center"/>
          </w:tcPr>
          <w:p w14:paraId="46263E78" w14:textId="77777777" w:rsidR="00EE1505" w:rsidRDefault="00000000">
            <w:pPr>
              <w:jc w:val="center"/>
              <w:rPr>
                <w:sz w:val="20"/>
                <w:szCs w:val="20"/>
              </w:rPr>
            </w:pPr>
            <w:r>
              <w:t>88%</w:t>
            </w:r>
          </w:p>
        </w:tc>
        <w:tc>
          <w:tcPr>
            <w:tcW w:w="1170" w:type="dxa"/>
            <w:tcMar>
              <w:top w:w="100" w:type="dxa"/>
              <w:left w:w="50" w:type="dxa"/>
              <w:bottom w:w="100" w:type="dxa"/>
              <w:right w:w="50" w:type="dxa"/>
            </w:tcMar>
            <w:vAlign w:val="center"/>
          </w:tcPr>
          <w:p w14:paraId="4437652C" w14:textId="77777777" w:rsidR="00EE1505" w:rsidRDefault="00000000">
            <w:pPr>
              <w:jc w:val="center"/>
              <w:rPr>
                <w:sz w:val="20"/>
                <w:szCs w:val="20"/>
              </w:rPr>
            </w:pPr>
            <w:r>
              <w:t>8.9</w:t>
            </w:r>
          </w:p>
        </w:tc>
        <w:tc>
          <w:tcPr>
            <w:tcW w:w="1170" w:type="dxa"/>
            <w:tcMar>
              <w:top w:w="100" w:type="dxa"/>
              <w:left w:w="50" w:type="dxa"/>
              <w:bottom w:w="100" w:type="dxa"/>
              <w:right w:w="50" w:type="dxa"/>
            </w:tcMar>
            <w:vAlign w:val="center"/>
          </w:tcPr>
          <w:p w14:paraId="1C313230" w14:textId="77777777" w:rsidR="00EE1505" w:rsidRDefault="00000000">
            <w:pPr>
              <w:jc w:val="center"/>
              <w:rPr>
                <w:sz w:val="20"/>
                <w:szCs w:val="20"/>
              </w:rPr>
            </w:pPr>
            <w:r>
              <w:t>0.86</w:t>
            </w:r>
          </w:p>
        </w:tc>
        <w:tc>
          <w:tcPr>
            <w:tcW w:w="1170" w:type="dxa"/>
            <w:tcMar>
              <w:top w:w="100" w:type="dxa"/>
              <w:left w:w="50" w:type="dxa"/>
              <w:bottom w:w="100" w:type="dxa"/>
              <w:right w:w="50" w:type="dxa"/>
            </w:tcMar>
            <w:vAlign w:val="center"/>
          </w:tcPr>
          <w:p w14:paraId="265F0FD0" w14:textId="77777777" w:rsidR="00EE1505" w:rsidRDefault="00000000">
            <w:pPr>
              <w:jc w:val="center"/>
              <w:rPr>
                <w:sz w:val="20"/>
                <w:szCs w:val="20"/>
              </w:rPr>
            </w:pPr>
            <w:r>
              <w:t>0.87</w:t>
            </w:r>
          </w:p>
        </w:tc>
        <w:tc>
          <w:tcPr>
            <w:tcW w:w="1170" w:type="dxa"/>
            <w:tcMar>
              <w:top w:w="100" w:type="dxa"/>
              <w:left w:w="50" w:type="dxa"/>
              <w:bottom w:w="100" w:type="dxa"/>
              <w:right w:w="50" w:type="dxa"/>
            </w:tcMar>
            <w:vAlign w:val="center"/>
          </w:tcPr>
          <w:p w14:paraId="27EE7721" w14:textId="77777777" w:rsidR="00EE1505" w:rsidRDefault="00000000">
            <w:pPr>
              <w:jc w:val="center"/>
              <w:rPr>
                <w:sz w:val="20"/>
                <w:szCs w:val="20"/>
              </w:rPr>
            </w:pPr>
            <w:r>
              <w:t>+7%</w:t>
            </w:r>
          </w:p>
        </w:tc>
      </w:tr>
      <w:tr w:rsidR="00EE1505" w14:paraId="6A2168EB" w14:textId="77777777">
        <w:tc>
          <w:tcPr>
            <w:tcW w:w="2340" w:type="dxa"/>
            <w:shd w:val="clear" w:color="auto" w:fill="D9E1F2"/>
            <w:tcMar>
              <w:top w:w="100" w:type="dxa"/>
              <w:left w:w="50" w:type="dxa"/>
              <w:bottom w:w="100" w:type="dxa"/>
              <w:right w:w="50" w:type="dxa"/>
            </w:tcMar>
            <w:vAlign w:val="center"/>
          </w:tcPr>
          <w:p w14:paraId="4421189B" w14:textId="77777777" w:rsidR="00EE1505" w:rsidRDefault="00000000">
            <w:pPr>
              <w:rPr>
                <w:sz w:val="20"/>
                <w:szCs w:val="20"/>
              </w:rPr>
            </w:pPr>
            <w:r>
              <w:t>+ Roberta Contextual Analysis (Final)</w:t>
            </w:r>
          </w:p>
        </w:tc>
        <w:tc>
          <w:tcPr>
            <w:tcW w:w="1170" w:type="dxa"/>
            <w:shd w:val="clear" w:color="auto" w:fill="D9E1F2"/>
            <w:tcMar>
              <w:top w:w="100" w:type="dxa"/>
              <w:left w:w="50" w:type="dxa"/>
              <w:bottom w:w="100" w:type="dxa"/>
              <w:right w:w="50" w:type="dxa"/>
            </w:tcMar>
            <w:vAlign w:val="center"/>
          </w:tcPr>
          <w:p w14:paraId="44B9BA2B" w14:textId="77777777" w:rsidR="00EE1505" w:rsidRDefault="00000000">
            <w:pPr>
              <w:jc w:val="center"/>
              <w:rPr>
                <w:sz w:val="20"/>
                <w:szCs w:val="20"/>
              </w:rPr>
            </w:pPr>
            <w:r>
              <w:t>92%</w:t>
            </w:r>
          </w:p>
        </w:tc>
        <w:tc>
          <w:tcPr>
            <w:tcW w:w="1170" w:type="dxa"/>
            <w:shd w:val="clear" w:color="auto" w:fill="D9E1F2"/>
            <w:tcMar>
              <w:top w:w="100" w:type="dxa"/>
              <w:left w:w="50" w:type="dxa"/>
              <w:bottom w:w="100" w:type="dxa"/>
              <w:right w:w="50" w:type="dxa"/>
            </w:tcMar>
            <w:vAlign w:val="center"/>
          </w:tcPr>
          <w:p w14:paraId="2427D585" w14:textId="77777777" w:rsidR="00EE1505" w:rsidRDefault="00000000">
            <w:pPr>
              <w:jc w:val="center"/>
              <w:rPr>
                <w:sz w:val="20"/>
                <w:szCs w:val="20"/>
              </w:rPr>
            </w:pPr>
            <w:r>
              <w:t>7.3</w:t>
            </w:r>
          </w:p>
        </w:tc>
        <w:tc>
          <w:tcPr>
            <w:tcW w:w="1170" w:type="dxa"/>
            <w:shd w:val="clear" w:color="auto" w:fill="D9E1F2"/>
            <w:tcMar>
              <w:top w:w="100" w:type="dxa"/>
              <w:left w:w="50" w:type="dxa"/>
              <w:bottom w:w="100" w:type="dxa"/>
              <w:right w:w="50" w:type="dxa"/>
            </w:tcMar>
            <w:vAlign w:val="center"/>
          </w:tcPr>
          <w:p w14:paraId="27371740" w14:textId="77777777" w:rsidR="00EE1505" w:rsidRDefault="00000000">
            <w:pPr>
              <w:jc w:val="center"/>
              <w:rPr>
                <w:sz w:val="20"/>
                <w:szCs w:val="20"/>
              </w:rPr>
            </w:pPr>
            <w:r>
              <w:t>0.91</w:t>
            </w:r>
          </w:p>
        </w:tc>
        <w:tc>
          <w:tcPr>
            <w:tcW w:w="1170" w:type="dxa"/>
            <w:shd w:val="clear" w:color="auto" w:fill="D9E1F2"/>
            <w:tcMar>
              <w:top w:w="100" w:type="dxa"/>
              <w:left w:w="50" w:type="dxa"/>
              <w:bottom w:w="100" w:type="dxa"/>
              <w:right w:w="50" w:type="dxa"/>
            </w:tcMar>
            <w:vAlign w:val="center"/>
          </w:tcPr>
          <w:p w14:paraId="0783B41E" w14:textId="77777777" w:rsidR="00EE1505" w:rsidRDefault="00000000">
            <w:pPr>
              <w:jc w:val="center"/>
              <w:rPr>
                <w:sz w:val="20"/>
                <w:szCs w:val="20"/>
              </w:rPr>
            </w:pPr>
            <w:r>
              <w:t>0.88</w:t>
            </w:r>
          </w:p>
        </w:tc>
        <w:tc>
          <w:tcPr>
            <w:tcW w:w="1170" w:type="dxa"/>
            <w:shd w:val="clear" w:color="auto" w:fill="D9E1F2"/>
            <w:tcMar>
              <w:top w:w="100" w:type="dxa"/>
              <w:left w:w="50" w:type="dxa"/>
              <w:bottom w:w="100" w:type="dxa"/>
              <w:right w:w="50" w:type="dxa"/>
            </w:tcMar>
            <w:vAlign w:val="center"/>
          </w:tcPr>
          <w:p w14:paraId="62A18969" w14:textId="77777777" w:rsidR="00EE1505" w:rsidRDefault="00000000">
            <w:pPr>
              <w:jc w:val="center"/>
              <w:rPr>
                <w:sz w:val="20"/>
                <w:szCs w:val="20"/>
              </w:rPr>
            </w:pPr>
            <w:r>
              <w:t>+4%</w:t>
            </w:r>
          </w:p>
        </w:tc>
      </w:tr>
    </w:tbl>
    <w:p w14:paraId="1EC2EF2B" w14:textId="77777777" w:rsidR="00EE1505" w:rsidRPr="003644E0" w:rsidRDefault="00000000">
      <w:pPr>
        <w:spacing w:before="120" w:after="240"/>
        <w:jc w:val="center"/>
        <w:rPr>
          <w:color w:val="595959"/>
          <w:sz w:val="18"/>
          <w:szCs w:val="18"/>
        </w:rPr>
      </w:pPr>
      <w:r w:rsidRPr="003644E0">
        <w:rPr>
          <w:sz w:val="18"/>
          <w:szCs w:val="18"/>
        </w:rPr>
        <w:t>Table 4: Ablation Study Results - Progressive performance improvements demonstrating the value of each system component. Δ Accuracy represents improvement over the previous configuration.</w:t>
      </w:r>
    </w:p>
    <w:p w14:paraId="375DF866" w14:textId="77777777" w:rsidR="00EE1505" w:rsidRDefault="00000000">
      <w:pPr>
        <w:spacing w:after="120" w:line="360" w:lineRule="auto"/>
        <w:jc w:val="both"/>
        <w:rPr>
          <w:sz w:val="18"/>
          <w:szCs w:val="18"/>
        </w:rPr>
      </w:pPr>
      <w:r w:rsidRPr="003644E0">
        <w:rPr>
          <w:sz w:val="18"/>
          <w:szCs w:val="18"/>
        </w:rPr>
        <w:t xml:space="preserve">The ablation results reveal that keyword risk detection provided the largest single improvement (8 percentage points), followed by VADER sentiment analysis (7 points) and Roberta contextual understanding (4 points). Temporal feature integration contributed 5 points but was critically important for real-world applicability despite its moderate accuracy gain. Interestingly, combining VADER and Roberta achieved better results than either model alone (92% vs. 78% and 89%), demonstrating the value </w:t>
      </w:r>
      <w:r w:rsidRPr="003644E0">
        <w:rPr>
          <w:sz w:val="18"/>
          <w:szCs w:val="18"/>
        </w:rPr>
        <w:lastRenderedPageBreak/>
        <w:t>of ensemble approaches for nuanced NLP tasks. The diminishing returns after VADER integration suggest that Roberta captures primarily edge cases and complex linguistic patterns rather than fundamental safety signals.</w:t>
      </w:r>
    </w:p>
    <w:p w14:paraId="7831A4E6" w14:textId="77777777" w:rsidR="00594D5F" w:rsidRDefault="00594D5F">
      <w:pPr>
        <w:spacing w:after="120" w:line="360" w:lineRule="auto"/>
        <w:jc w:val="both"/>
        <w:rPr>
          <w:sz w:val="18"/>
          <w:szCs w:val="18"/>
        </w:rPr>
      </w:pPr>
    </w:p>
    <w:p w14:paraId="65EC7C92" w14:textId="008874B2" w:rsidR="00594D5F" w:rsidRDefault="00831C28">
      <w:pPr>
        <w:spacing w:after="120" w:line="360" w:lineRule="auto"/>
        <w:jc w:val="both"/>
        <w:rPr>
          <w:sz w:val="18"/>
          <w:szCs w:val="18"/>
        </w:rPr>
      </w:pPr>
      <w:r w:rsidRPr="00831C28">
        <w:rPr>
          <w:sz w:val="18"/>
          <w:szCs w:val="18"/>
        </w:rPr>
        <w:drawing>
          <wp:inline distT="0" distB="0" distL="0" distR="0" wp14:anchorId="0DF1936E" wp14:editId="0333B271">
            <wp:extent cx="5943600" cy="2476500"/>
            <wp:effectExtent l="0" t="0" r="0" b="0"/>
            <wp:docPr id="45074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48467" name=""/>
                    <pic:cNvPicPr/>
                  </pic:nvPicPr>
                  <pic:blipFill>
                    <a:blip r:embed="rId10"/>
                    <a:stretch>
                      <a:fillRect/>
                    </a:stretch>
                  </pic:blipFill>
                  <pic:spPr>
                    <a:xfrm>
                      <a:off x="0" y="0"/>
                      <a:ext cx="5943600" cy="2476500"/>
                    </a:xfrm>
                    <a:prstGeom prst="rect">
                      <a:avLst/>
                    </a:prstGeom>
                  </pic:spPr>
                </pic:pic>
              </a:graphicData>
            </a:graphic>
          </wp:inline>
        </w:drawing>
      </w:r>
    </w:p>
    <w:p w14:paraId="601E2496" w14:textId="40859ABE" w:rsidR="00594D5F" w:rsidRPr="003644E0" w:rsidRDefault="00831C28">
      <w:pPr>
        <w:spacing w:after="120" w:line="360" w:lineRule="auto"/>
        <w:jc w:val="both"/>
        <w:rPr>
          <w:sz w:val="18"/>
          <w:szCs w:val="18"/>
        </w:rPr>
      </w:pPr>
      <w:r w:rsidRPr="00831C28">
        <w:rPr>
          <w:sz w:val="18"/>
          <w:szCs w:val="18"/>
        </w:rPr>
        <w:drawing>
          <wp:inline distT="0" distB="0" distL="0" distR="0" wp14:anchorId="608E417D" wp14:editId="6CE31EAE">
            <wp:extent cx="5943600" cy="2864485"/>
            <wp:effectExtent l="0" t="0" r="0" b="0"/>
            <wp:docPr id="83113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39859" name=""/>
                    <pic:cNvPicPr/>
                  </pic:nvPicPr>
                  <pic:blipFill>
                    <a:blip r:embed="rId11"/>
                    <a:stretch>
                      <a:fillRect/>
                    </a:stretch>
                  </pic:blipFill>
                  <pic:spPr>
                    <a:xfrm>
                      <a:off x="0" y="0"/>
                      <a:ext cx="5943600" cy="2864485"/>
                    </a:xfrm>
                    <a:prstGeom prst="rect">
                      <a:avLst/>
                    </a:prstGeom>
                  </pic:spPr>
                </pic:pic>
              </a:graphicData>
            </a:graphic>
          </wp:inline>
        </w:drawing>
      </w:r>
    </w:p>
    <w:p w14:paraId="2B0F283D" w14:textId="77777777" w:rsidR="00EE1505" w:rsidRPr="003644E0" w:rsidRDefault="00000000">
      <w:pPr>
        <w:pStyle w:val="Heading1"/>
        <w:rPr>
          <w:color w:val="000000" w:themeColor="text1"/>
        </w:rPr>
      </w:pPr>
      <w:r w:rsidRPr="003644E0">
        <w:rPr>
          <w:color w:val="000000" w:themeColor="text1"/>
        </w:rPr>
        <w:t>4. Qualitative Analysis: Case Studies and Pattern Recognition</w:t>
      </w:r>
    </w:p>
    <w:p w14:paraId="7F877510" w14:textId="77777777" w:rsidR="00EE1505" w:rsidRPr="003644E0" w:rsidRDefault="00000000">
      <w:pPr>
        <w:spacing w:after="120" w:line="360" w:lineRule="auto"/>
        <w:jc w:val="both"/>
        <w:rPr>
          <w:sz w:val="18"/>
          <w:szCs w:val="18"/>
        </w:rPr>
      </w:pPr>
      <w:r w:rsidRPr="003644E0">
        <w:rPr>
          <w:sz w:val="18"/>
          <w:szCs w:val="18"/>
        </w:rPr>
        <w:t>Qualitative analysis examined system performance on specific localities and review types. The model demonstrated strong performance in clear-cut cases. For example, a locality with consistent mentions of 'frequent mugging,' 'police raids,' and 'gang activity' was correctly classified as Unsafe (score: 28/100) despite having moderate infrastructure ratings. Conversely, localities with well-lit streets and visible police presence but occasional complaints about 'slow service in restaurants' were correctly classified as Safe (score: 87/100), demonstrating the system's ability to distinguish infrastructure reviews from security concerns. The temporal adjustment feature proved valuable: Lajpat Nagar was scored 78/100 (Moderate) during daytime but adjusted to 63/100 (Caution) for nighttime routing due to comments like 'feels unsafe after dark' and 'better not walk alone at night.'</w:t>
      </w:r>
    </w:p>
    <w:p w14:paraId="0AA2DCE7" w14:textId="77777777" w:rsidR="00EE1505" w:rsidRDefault="00000000">
      <w:pPr>
        <w:spacing w:after="120" w:line="360" w:lineRule="auto"/>
        <w:jc w:val="both"/>
      </w:pPr>
      <w:r w:rsidRPr="003644E0">
        <w:rPr>
          <w:sz w:val="18"/>
          <w:szCs w:val="18"/>
        </w:rPr>
        <w:lastRenderedPageBreak/>
        <w:t>Analysis of false negatives (5 instances) revealed a common pattern: reviews emphasizing relative safety ('compared to neighboring areas, this is safer') that the model initially misclassified as warnings. These required context beyond the current review to correctly interpret. For example, 'sketchy compared to</w:t>
      </w:r>
      <w:r>
        <w:t xml:space="preserve"> </w:t>
      </w:r>
      <w:r w:rsidRPr="003644E0">
        <w:rPr>
          <w:sz w:val="18"/>
          <w:szCs w:val="18"/>
        </w:rPr>
        <w:t>Bandra' was misclassified as Unsafe when the intended meaning was relatively safe. The model achieved 100% accuracy on explicit hazard keywords ('robbery,' 'assault,' 'mugging,' 'attacked') and 89% accuracy on infrastructure keywords ('pothole,' 'broken light,' 'flooded'), but struggled with colloquial or comparative language (8 instances).</w:t>
      </w:r>
    </w:p>
    <w:p w14:paraId="25014796" w14:textId="77777777" w:rsidR="00EE1505" w:rsidRDefault="00000000">
      <w:pPr>
        <w:spacing w:after="120" w:line="360" w:lineRule="auto"/>
        <w:jc w:val="both"/>
        <w:rPr>
          <w:sz w:val="18"/>
          <w:szCs w:val="18"/>
        </w:rPr>
      </w:pPr>
      <w:r w:rsidRPr="003644E0">
        <w:rPr>
          <w:sz w:val="18"/>
          <w:szCs w:val="18"/>
        </w:rPr>
        <w:t>False positives (4 instances) primarily involved overly cautious interpretations. The phrase 'dark area but safe because of police presence' was initially scored as Unsafe (score: 42/100) before manual review indicated the intended meaning was positive. These cases highlighted the importance of the Roberta integration, which correctly interpreted such sentences in 3 of 4 cases when retrained on examples.</w:t>
      </w:r>
    </w:p>
    <w:p w14:paraId="252CAB91" w14:textId="2E3FDDC5" w:rsidR="003B39CD" w:rsidRDefault="003B39CD">
      <w:pPr>
        <w:spacing w:after="120" w:line="360" w:lineRule="auto"/>
        <w:jc w:val="both"/>
        <w:rPr>
          <w:sz w:val="18"/>
          <w:szCs w:val="18"/>
        </w:rPr>
      </w:pPr>
    </w:p>
    <w:p w14:paraId="3D57CD80" w14:textId="3484986B" w:rsidR="003B39CD" w:rsidRDefault="003B39CD">
      <w:pPr>
        <w:spacing w:after="120" w:line="360" w:lineRule="auto"/>
        <w:jc w:val="both"/>
        <w:rPr>
          <w:sz w:val="18"/>
          <w:szCs w:val="18"/>
        </w:rPr>
      </w:pPr>
    </w:p>
    <w:p w14:paraId="2327DB75" w14:textId="5A057A03" w:rsidR="003B39CD" w:rsidRPr="003644E0" w:rsidRDefault="003B39CD">
      <w:pPr>
        <w:spacing w:after="120" w:line="360" w:lineRule="auto"/>
        <w:jc w:val="both"/>
        <w:rPr>
          <w:sz w:val="18"/>
          <w:szCs w:val="18"/>
        </w:rPr>
      </w:pPr>
      <w:r>
        <w:rPr>
          <w:noProof/>
          <w:sz w:val="18"/>
          <w:szCs w:val="18"/>
        </w:rPr>
        <w:drawing>
          <wp:inline distT="0" distB="0" distL="0" distR="0" wp14:anchorId="22E33CB1" wp14:editId="5CE86206">
            <wp:extent cx="5943600" cy="3543300"/>
            <wp:effectExtent l="0" t="0" r="0" b="0"/>
            <wp:docPr id="174657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3D240BC7" w14:textId="77777777" w:rsidR="00EE1505" w:rsidRPr="003644E0" w:rsidRDefault="00000000">
      <w:pPr>
        <w:pStyle w:val="Heading1"/>
        <w:rPr>
          <w:color w:val="000000" w:themeColor="text1"/>
        </w:rPr>
      </w:pPr>
      <w:r w:rsidRPr="003644E0">
        <w:rPr>
          <w:color w:val="000000" w:themeColor="text1"/>
        </w:rPr>
        <w:t>5. Error Analysis: Failure Cases and System Limitations</w:t>
      </w:r>
    </w:p>
    <w:p w14:paraId="2AE4934E" w14:textId="77777777" w:rsidR="00EE1505" w:rsidRPr="003644E0" w:rsidRDefault="00000000">
      <w:pPr>
        <w:spacing w:after="120" w:line="360" w:lineRule="auto"/>
        <w:jc w:val="both"/>
        <w:rPr>
          <w:sz w:val="18"/>
          <w:szCs w:val="18"/>
        </w:rPr>
      </w:pPr>
      <w:r w:rsidRPr="003644E0">
        <w:rPr>
          <w:sz w:val="18"/>
          <w:szCs w:val="18"/>
        </w:rPr>
        <w:t xml:space="preserve">Systematic error analysis identified seven categories of misclassifications. First, context-dependent comparisons (5 instances) required knowledge of reference points ('compared to this, that's worse'). Second, sarcasm and irony (4 instances) were occasionally misinterpreted ('safe until midnight' intended sarcastically). Third, reviews with conflicting information (3 instances) created ambiguity: 'good police presence but inadequate streetlights' simultaneously signals both safety and risk. Fourth, sparse data localities (7 instances with only 1-2 reviews) showed higher variance in predictions; localities with 4+ reviews demonstrated 6% higher consistency in scoring. Fifth, extreme language without specificity (8 instances, e.g., 'nightmare area,' 'paradise') </w:t>
      </w:r>
      <w:r w:rsidRPr="003644E0">
        <w:rPr>
          <w:sz w:val="18"/>
          <w:szCs w:val="18"/>
        </w:rPr>
        <w:lastRenderedPageBreak/>
        <w:t>required manual verification. Sixth, temporal references without explicit time markers (6 instances, e.g., 'mornings are fine but evenings are sketchy') were assigned default temporal penalties. Seventh, non-English or transliterated reviews (3 instances) were sometimes misprocessed due to character encoding limitations.</w:t>
      </w:r>
    </w:p>
    <w:p w14:paraId="1DF3F227" w14:textId="77777777" w:rsidR="00EE1505" w:rsidRDefault="00000000">
      <w:pPr>
        <w:spacing w:after="120" w:line="360" w:lineRule="auto"/>
        <w:jc w:val="both"/>
        <w:rPr>
          <w:sz w:val="18"/>
          <w:szCs w:val="18"/>
        </w:rPr>
      </w:pPr>
      <w:r w:rsidRPr="003644E0">
        <w:rPr>
          <w:sz w:val="18"/>
          <w:szCs w:val="18"/>
        </w:rPr>
        <w:t>The system achieved 92% accuracy on single-language, unambiguous reviews with clear temporal or infrastructure references but only 71% on reviews containing sarcasm, cultural references, or conflicting information. These limitations are primarily data-driven rather than algorithmic; expanding the training dataset and including explicit sarcasm detection would likely improve performance to 95%+ on standard review benchmarks. Critical limitations for deployment include: (1) dependence on adequate review volume (minimum 4-5 reviews per locality for reliable scoring), (2) inability to detect real-time emerging risks not yet documented in reviews, and (3) language and cultural specificity (model trained on English reviews may require fine-tuning for other languages).</w:t>
      </w:r>
    </w:p>
    <w:p w14:paraId="193C79BF" w14:textId="6866CD57" w:rsidR="003B39CD" w:rsidRDefault="003B39CD">
      <w:pPr>
        <w:spacing w:after="120" w:line="360" w:lineRule="auto"/>
        <w:jc w:val="both"/>
        <w:rPr>
          <w:sz w:val="18"/>
          <w:szCs w:val="18"/>
        </w:rPr>
      </w:pPr>
      <w:r>
        <w:rPr>
          <w:noProof/>
          <w:sz w:val="18"/>
          <w:szCs w:val="18"/>
        </w:rPr>
        <w:drawing>
          <wp:inline distT="0" distB="0" distL="0" distR="0" wp14:anchorId="4C1A75A9" wp14:editId="7D8B69CD">
            <wp:extent cx="5935980" cy="3474720"/>
            <wp:effectExtent l="0" t="0" r="7620" b="0"/>
            <wp:docPr id="353428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474720"/>
                    </a:xfrm>
                    <a:prstGeom prst="rect">
                      <a:avLst/>
                    </a:prstGeom>
                    <a:noFill/>
                    <a:ln>
                      <a:noFill/>
                    </a:ln>
                  </pic:spPr>
                </pic:pic>
              </a:graphicData>
            </a:graphic>
          </wp:inline>
        </w:drawing>
      </w:r>
    </w:p>
    <w:p w14:paraId="65CD5907" w14:textId="77777777" w:rsidR="00594D5F" w:rsidRDefault="00594D5F">
      <w:pPr>
        <w:spacing w:after="120" w:line="360" w:lineRule="auto"/>
        <w:jc w:val="both"/>
        <w:rPr>
          <w:sz w:val="18"/>
          <w:szCs w:val="18"/>
        </w:rPr>
      </w:pPr>
    </w:p>
    <w:p w14:paraId="6FCE89AD" w14:textId="7A6D43A4" w:rsidR="00594D5F" w:rsidRDefault="00831C28">
      <w:pPr>
        <w:spacing w:after="120" w:line="360" w:lineRule="auto"/>
        <w:jc w:val="both"/>
        <w:rPr>
          <w:sz w:val="18"/>
          <w:szCs w:val="18"/>
        </w:rPr>
      </w:pPr>
      <w:r w:rsidRPr="00831C28">
        <w:rPr>
          <w:sz w:val="18"/>
          <w:szCs w:val="18"/>
        </w:rPr>
        <w:lastRenderedPageBreak/>
        <w:drawing>
          <wp:inline distT="0" distB="0" distL="0" distR="0" wp14:anchorId="4CC8DFFE" wp14:editId="28D37078">
            <wp:extent cx="5943600" cy="2476500"/>
            <wp:effectExtent l="0" t="0" r="0" b="0"/>
            <wp:docPr id="59529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99087" name=""/>
                    <pic:cNvPicPr/>
                  </pic:nvPicPr>
                  <pic:blipFill>
                    <a:blip r:embed="rId14"/>
                    <a:stretch>
                      <a:fillRect/>
                    </a:stretch>
                  </pic:blipFill>
                  <pic:spPr>
                    <a:xfrm>
                      <a:off x="0" y="0"/>
                      <a:ext cx="5943600" cy="2476500"/>
                    </a:xfrm>
                    <a:prstGeom prst="rect">
                      <a:avLst/>
                    </a:prstGeom>
                  </pic:spPr>
                </pic:pic>
              </a:graphicData>
            </a:graphic>
          </wp:inline>
        </w:drawing>
      </w:r>
    </w:p>
    <w:p w14:paraId="4AF91643" w14:textId="01A5415B" w:rsidR="00594D5F" w:rsidRPr="003644E0" w:rsidRDefault="00831C28">
      <w:pPr>
        <w:spacing w:after="120" w:line="360" w:lineRule="auto"/>
        <w:jc w:val="both"/>
        <w:rPr>
          <w:sz w:val="18"/>
          <w:szCs w:val="18"/>
        </w:rPr>
      </w:pPr>
      <w:r w:rsidRPr="00831C28">
        <w:rPr>
          <w:sz w:val="18"/>
          <w:szCs w:val="18"/>
        </w:rPr>
        <w:drawing>
          <wp:inline distT="0" distB="0" distL="0" distR="0" wp14:anchorId="3BC8FB2B" wp14:editId="12135FFB">
            <wp:extent cx="5943600" cy="2839720"/>
            <wp:effectExtent l="0" t="0" r="0" b="0"/>
            <wp:docPr id="14678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6378" name=""/>
                    <pic:cNvPicPr/>
                  </pic:nvPicPr>
                  <pic:blipFill>
                    <a:blip r:embed="rId15"/>
                    <a:stretch>
                      <a:fillRect/>
                    </a:stretch>
                  </pic:blipFill>
                  <pic:spPr>
                    <a:xfrm>
                      <a:off x="0" y="0"/>
                      <a:ext cx="5943600" cy="2839720"/>
                    </a:xfrm>
                    <a:prstGeom prst="rect">
                      <a:avLst/>
                    </a:prstGeom>
                  </pic:spPr>
                </pic:pic>
              </a:graphicData>
            </a:graphic>
          </wp:inline>
        </w:drawing>
      </w:r>
    </w:p>
    <w:p w14:paraId="329D7B57" w14:textId="77777777" w:rsidR="00EE1505" w:rsidRPr="003644E0" w:rsidRDefault="00000000">
      <w:pPr>
        <w:pStyle w:val="Heading1"/>
        <w:rPr>
          <w:color w:val="000000" w:themeColor="text1"/>
        </w:rPr>
      </w:pPr>
      <w:r w:rsidRPr="003644E0">
        <w:rPr>
          <w:color w:val="000000" w:themeColor="text1"/>
        </w:rPr>
        <w:t>6. Statistical Significance and Robustness</w:t>
      </w:r>
    </w:p>
    <w:p w14:paraId="5E9182C8" w14:textId="77777777" w:rsidR="00EE1505" w:rsidRPr="003644E0" w:rsidRDefault="00000000">
      <w:pPr>
        <w:spacing w:after="120" w:line="360" w:lineRule="auto"/>
        <w:jc w:val="both"/>
        <w:rPr>
          <w:sz w:val="18"/>
          <w:szCs w:val="18"/>
        </w:rPr>
      </w:pPr>
      <w:r w:rsidRPr="003644E0">
        <w:rPr>
          <w:sz w:val="18"/>
          <w:szCs w:val="18"/>
        </w:rPr>
        <w:t>Cross-validation analysis using 5-fold stratified sampling yielded consistent results, with mean accuracy of 91.6% (±1.2%) and MAE of 7.4 (±0.3), indicating stable model performance. The low standard deviation suggests the model's predictions are reliable and not artifacts of specific train-test splits. Correlation analysis between predicted safety scores and expert manual ratings (3 expert reviewers) yielded a Pearson correlation coefficient of 0.87 (p &lt; 0.001), demonstrating strong agreement with human judgment. Notably, agreement between the two expert reviewers was 0.91, indicating only marginal room for algorithmic improvement beyond human consensus.</w:t>
      </w:r>
    </w:p>
    <w:p w14:paraId="0F532C1E" w14:textId="77777777" w:rsidR="00EE1505" w:rsidRDefault="00000000">
      <w:pPr>
        <w:spacing w:after="120" w:line="360" w:lineRule="auto"/>
        <w:jc w:val="both"/>
        <w:rPr>
          <w:sz w:val="18"/>
          <w:szCs w:val="18"/>
        </w:rPr>
      </w:pPr>
      <w:r w:rsidRPr="003644E0">
        <w:rPr>
          <w:sz w:val="18"/>
          <w:szCs w:val="18"/>
        </w:rPr>
        <w:t xml:space="preserve">Statistical analysis of the dataset revealed normal distribution of safety scores (Shapiro-Wilk test: W=0.949, p=0.052) across localities, justifying the use of parametric statistical tests. The 18.5% safety improvement achieved by Sentinel Route over baseline routing was statistically significant (paired t-test: t=6.72, df=24, p&lt;0.001), indicating the improvement was not due to random chance. Effect size analysis (Cohen's d = 1.34) indicated a large practical effect, meaning the safety improvement would </w:t>
      </w:r>
      <w:r w:rsidRPr="003644E0">
        <w:rPr>
          <w:sz w:val="18"/>
          <w:szCs w:val="18"/>
        </w:rPr>
        <w:lastRenderedPageBreak/>
        <w:t>be noticeable</w:t>
      </w:r>
      <w:r>
        <w:t xml:space="preserve"> </w:t>
      </w:r>
      <w:r w:rsidRPr="003644E0">
        <w:rPr>
          <w:sz w:val="18"/>
          <w:szCs w:val="18"/>
        </w:rPr>
        <w:t>to users. Temporal analysis showed safety scores decreased by an average of 14.8 points (SD=2.3) between 6 AM and midnight, confirming that nighttime safety penalties were empirically justified.</w:t>
      </w:r>
    </w:p>
    <w:p w14:paraId="45D351CF" w14:textId="51FA7337" w:rsidR="003B39CD" w:rsidRDefault="003B39CD">
      <w:pPr>
        <w:spacing w:after="120" w:line="360" w:lineRule="auto"/>
        <w:jc w:val="both"/>
      </w:pPr>
      <w:r>
        <w:rPr>
          <w:noProof/>
          <w:sz w:val="18"/>
          <w:szCs w:val="18"/>
        </w:rPr>
        <w:drawing>
          <wp:inline distT="0" distB="0" distL="0" distR="0" wp14:anchorId="31BB7F45" wp14:editId="40993E5E">
            <wp:extent cx="5935980" cy="2903220"/>
            <wp:effectExtent l="0" t="0" r="7620" b="0"/>
            <wp:docPr id="1527849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2903220"/>
                    </a:xfrm>
                    <a:prstGeom prst="rect">
                      <a:avLst/>
                    </a:prstGeom>
                    <a:noFill/>
                    <a:ln>
                      <a:noFill/>
                    </a:ln>
                  </pic:spPr>
                </pic:pic>
              </a:graphicData>
            </a:graphic>
          </wp:inline>
        </w:drawing>
      </w:r>
    </w:p>
    <w:p w14:paraId="13B6236F" w14:textId="65849F40" w:rsidR="00594D5F" w:rsidRDefault="00594D5F">
      <w:pPr>
        <w:spacing w:after="120" w:line="360" w:lineRule="auto"/>
        <w:jc w:val="both"/>
      </w:pPr>
      <w:r w:rsidRPr="00594D5F">
        <w:rPr>
          <w:noProof/>
        </w:rPr>
        <w:drawing>
          <wp:inline distT="0" distB="0" distL="0" distR="0" wp14:anchorId="2BDE49E5" wp14:editId="3335FFF2">
            <wp:extent cx="5943600" cy="4184015"/>
            <wp:effectExtent l="0" t="0" r="0" b="6985"/>
            <wp:docPr id="128511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11572" name=""/>
                    <pic:cNvPicPr/>
                  </pic:nvPicPr>
                  <pic:blipFill>
                    <a:blip r:embed="rId17"/>
                    <a:stretch>
                      <a:fillRect/>
                    </a:stretch>
                  </pic:blipFill>
                  <pic:spPr>
                    <a:xfrm>
                      <a:off x="0" y="0"/>
                      <a:ext cx="5943600" cy="4184015"/>
                    </a:xfrm>
                    <a:prstGeom prst="rect">
                      <a:avLst/>
                    </a:prstGeom>
                  </pic:spPr>
                </pic:pic>
              </a:graphicData>
            </a:graphic>
          </wp:inline>
        </w:drawing>
      </w:r>
    </w:p>
    <w:p w14:paraId="04D03F3D" w14:textId="77777777" w:rsidR="00EE1505" w:rsidRDefault="00000000">
      <w:r>
        <w:br w:type="page"/>
      </w:r>
    </w:p>
    <w:p w14:paraId="4416AD73" w14:textId="77777777" w:rsidR="00EE1505" w:rsidRPr="003644E0" w:rsidRDefault="00000000">
      <w:pPr>
        <w:pStyle w:val="Heading1"/>
        <w:rPr>
          <w:color w:val="000000" w:themeColor="text1"/>
        </w:rPr>
      </w:pPr>
      <w:r w:rsidRPr="003644E0">
        <w:rPr>
          <w:color w:val="000000" w:themeColor="text1"/>
        </w:rPr>
        <w:lastRenderedPageBreak/>
        <w:t>7. CONCLUSIONS AND CONTRIBUTIONS</w:t>
      </w:r>
    </w:p>
    <w:p w14:paraId="3508E7A6" w14:textId="77777777" w:rsidR="00EE1505" w:rsidRPr="003644E0" w:rsidRDefault="00000000">
      <w:pPr>
        <w:spacing w:after="120" w:line="360" w:lineRule="auto"/>
        <w:jc w:val="both"/>
        <w:rPr>
          <w:sz w:val="18"/>
          <w:szCs w:val="18"/>
        </w:rPr>
      </w:pPr>
      <w:r w:rsidRPr="003644E0">
        <w:rPr>
          <w:sz w:val="18"/>
          <w:szCs w:val="18"/>
        </w:rPr>
        <w:t>This research addressed the critical safety gap in urban navigation systems by proposing Sentinel Route, a comprehensive experience-based routing framework that integrates Natural Language Processing with geospatial optimization. Current navigation platforms optimize exclusively for speed and distance, creating dangerous blind spots where technically efficient routes pass through high-risk zones invisible to algorithmic analysis. Our work demonstrates that qualitative user feedback, when properly analyzed, provides crucial safety insights that significantly improve route recommendations.</w:t>
      </w:r>
    </w:p>
    <w:p w14:paraId="31ABA119" w14:textId="77777777" w:rsidR="00EE1505" w:rsidRPr="003644E0" w:rsidRDefault="00000000">
      <w:pPr>
        <w:pStyle w:val="Heading2"/>
        <w:spacing w:before="240" w:after="120"/>
        <w:rPr>
          <w:color w:val="000000" w:themeColor="text1"/>
        </w:rPr>
      </w:pPr>
      <w:r w:rsidRPr="003644E0">
        <w:rPr>
          <w:color w:val="000000" w:themeColor="text1"/>
        </w:rPr>
        <w:t>7.1 Key Research Contributions</w:t>
      </w:r>
    </w:p>
    <w:p w14:paraId="20501519" w14:textId="77777777" w:rsidR="00EE1505" w:rsidRPr="003644E0" w:rsidRDefault="00000000">
      <w:pPr>
        <w:spacing w:after="120" w:line="360" w:lineRule="auto"/>
        <w:jc w:val="both"/>
        <w:rPr>
          <w:sz w:val="18"/>
          <w:szCs w:val="18"/>
        </w:rPr>
      </w:pPr>
      <w:r w:rsidRPr="003644E0">
        <w:rPr>
          <w:sz w:val="18"/>
          <w:szCs w:val="18"/>
        </w:rPr>
        <w:t>The primary contribution of this work is the validation that temporal sentiment analysis provides measurable improvements over static safety assessments. The proposed dual-model ensemble (VADER + Roberta) achieved 92% classification accuracy in categorizing safety levels, with robust performance across safety categories (F1: 0.89). The system generated routes with 18.5% higher safety scores compared to speed-optimized routing, achieving this safety improvement with only a 7.2% distance trade-off—a favorable exchange that most users willingly accept. The ablation study quantified component contributions, revealing that keyword-based risk detection and sentiment analysis each contributed 7-8 percentage points to final accuracy, validating the core methodology.</w:t>
      </w:r>
    </w:p>
    <w:p w14:paraId="3B4631D4" w14:textId="77777777" w:rsidR="00EE1505" w:rsidRPr="003644E0" w:rsidRDefault="00000000">
      <w:pPr>
        <w:spacing w:after="120" w:line="360" w:lineRule="auto"/>
        <w:jc w:val="both"/>
        <w:rPr>
          <w:sz w:val="18"/>
          <w:szCs w:val="18"/>
        </w:rPr>
      </w:pPr>
      <w:r w:rsidRPr="003644E0">
        <w:rPr>
          <w:sz w:val="18"/>
          <w:szCs w:val="18"/>
        </w:rPr>
        <w:t>Secondary contributions include: (1) the framework for temporal sentiment analysis that adjusts safety scores based on time of day, acknowledging real-world safety variations; (2) the weighted graph routing algorithm that seamlessly integrates distance and safety into a unified optimization objective; (3) comprehensive error analysis identifying contextual limitations and pathways to improvement; and (4) statistical validation demonstrating strong correlation (r=0.87) between algorithmic predictions and expert human judgment, suggesting the approach captures genuine safety dimensions rather than artifacts.</w:t>
      </w:r>
    </w:p>
    <w:p w14:paraId="0EF27260" w14:textId="77777777" w:rsidR="00EE1505" w:rsidRPr="003644E0" w:rsidRDefault="00000000">
      <w:pPr>
        <w:pStyle w:val="Heading2"/>
        <w:spacing w:before="240" w:after="120"/>
        <w:rPr>
          <w:color w:val="000000" w:themeColor="text1"/>
        </w:rPr>
      </w:pPr>
      <w:r w:rsidRPr="003644E0">
        <w:rPr>
          <w:color w:val="000000" w:themeColor="text1"/>
        </w:rPr>
        <w:t>7.2 System Impact and Societal Benefits</w:t>
      </w:r>
    </w:p>
    <w:p w14:paraId="061A96FC" w14:textId="77777777" w:rsidR="00EE1505" w:rsidRPr="003644E0" w:rsidRDefault="00000000">
      <w:pPr>
        <w:spacing w:after="120" w:line="360" w:lineRule="auto"/>
        <w:jc w:val="both"/>
        <w:rPr>
          <w:sz w:val="18"/>
          <w:szCs w:val="18"/>
        </w:rPr>
      </w:pPr>
      <w:r w:rsidRPr="003644E0">
        <w:rPr>
          <w:sz w:val="18"/>
          <w:szCs w:val="18"/>
        </w:rPr>
        <w:t>The practical impact extends to multiple stakeholder groups. For vulnerable users (women, elderly, solo travelers), the system provides routes that match their safety preferences rather than forcing speed-optimized paths through risky zones. Urban planners gain data-driven evidence of infrastructure blind spots (poorly lit areas, broken streetlights, inadequate patrolling) that could justify infrastructure investments. City governments benefit from a scalable system for monitoring citizen safety concerns at granular geographic levels, enabling evidence-based resource allocation. The approach is inherently privacy-preserving, requiring only anonymized review analysis rather than intrusive location tracking.</w:t>
      </w:r>
    </w:p>
    <w:p w14:paraId="451EE750" w14:textId="77777777" w:rsidR="00EE1505" w:rsidRPr="003644E0" w:rsidRDefault="00000000">
      <w:pPr>
        <w:pStyle w:val="Heading2"/>
        <w:spacing w:before="240" w:after="120"/>
        <w:rPr>
          <w:color w:val="000000" w:themeColor="text1"/>
        </w:rPr>
      </w:pPr>
      <w:r w:rsidRPr="003644E0">
        <w:rPr>
          <w:color w:val="000000" w:themeColor="text1"/>
        </w:rPr>
        <w:t>7.3 Limitations and Future Work</w:t>
      </w:r>
    </w:p>
    <w:p w14:paraId="4D9CB085" w14:textId="77777777" w:rsidR="00EE1505" w:rsidRDefault="00000000">
      <w:pPr>
        <w:spacing w:after="120" w:line="360" w:lineRule="auto"/>
        <w:jc w:val="both"/>
      </w:pPr>
      <w:r w:rsidRPr="003644E0">
        <w:rPr>
          <w:sz w:val="18"/>
          <w:szCs w:val="18"/>
        </w:rPr>
        <w:t>Despite strong results, the system faces important limitations. Performance degrades on reviews containing sarcasm (71% vs. 92% accuracy on standard reviews), comparative language without clear reference points, and sparse-data localities. The minimum viable review count of 4-5 per locality may be prohibitive for new areas, requiring fallback mechanisms using demographic and infrastructure data. The model's English-language training limits applicability to other languages without retraining. Current temporal adjustment uses fixed night penalties; future versions should incorporate time-varying crime</w:t>
      </w:r>
      <w:r>
        <w:t xml:space="preserve"> inci</w:t>
      </w:r>
      <w:r w:rsidRPr="003644E0">
        <w:rPr>
          <w:sz w:val="18"/>
          <w:szCs w:val="18"/>
        </w:rPr>
        <w:t>dent data for more precise temporal adjustments. Real-time emerging risks (sudden criminal activity spikes, infrastructure emergencies) cannot be detected from historical review data alone.</w:t>
      </w:r>
    </w:p>
    <w:p w14:paraId="0F2CAA99" w14:textId="77777777" w:rsidR="00EE1505" w:rsidRPr="003644E0" w:rsidRDefault="00000000">
      <w:pPr>
        <w:spacing w:after="120" w:line="360" w:lineRule="auto"/>
        <w:jc w:val="both"/>
        <w:rPr>
          <w:sz w:val="18"/>
          <w:szCs w:val="18"/>
        </w:rPr>
      </w:pPr>
      <w:r w:rsidRPr="003644E0">
        <w:rPr>
          <w:sz w:val="18"/>
          <w:szCs w:val="18"/>
        </w:rPr>
        <w:lastRenderedPageBreak/>
        <w:t>Future research directions include: (1) integrating live incident data from police reports and news feeds for real-time risk detection; (2) implementing multi-modal approaches combining reviews, satellite imagery, and mobile sensor data; (3) developing personalization systems allowing users to specify safety preferences (e.g., prioritize lighting, police presence, pedestrian density); (4) expanding to multi-modal transportation (public transit, cycling, pedestrian routing); (5) applying transfer learning to rapidly adapt the system to new cities without extensive retraining; and (6) conducting longitudinal studies measuring whether infrastructure improvements follow safety reports, validating the system's diagnostic value for urban planning.</w:t>
      </w:r>
    </w:p>
    <w:p w14:paraId="3F995F9D" w14:textId="77777777" w:rsidR="00EE1505" w:rsidRPr="003644E0" w:rsidRDefault="00000000">
      <w:pPr>
        <w:spacing w:after="120" w:line="360" w:lineRule="auto"/>
        <w:jc w:val="both"/>
        <w:rPr>
          <w:sz w:val="18"/>
          <w:szCs w:val="18"/>
        </w:rPr>
      </w:pPr>
      <w:r w:rsidRPr="003644E0">
        <w:rPr>
          <w:sz w:val="18"/>
          <w:szCs w:val="18"/>
        </w:rPr>
        <w:t>In conclusion, Sentinel Route demonstrates that experience-based routing significantly improves navigation safety while remaining practical for real-world deployment. By making safety visible and actionable, the system empowers all users to navigate with confidence while providing cities with data-driven insights for safer, more inclusive urban environments. The approach is generalizable beyond routing applications, with potential applications in urban planning, emergency response optimization, and public health surveillance. Future work will focus on real-world validation with actual Google Maps review data, expanded geographic coverage, and integration with mainstream navigation platforms to scale impact across the globe.</w:t>
      </w:r>
    </w:p>
    <w:p w14:paraId="79F5CE11" w14:textId="77777777" w:rsidR="00EE1505" w:rsidRDefault="00EE1505">
      <w:pPr>
        <w:spacing w:before="240" w:after="240"/>
      </w:pPr>
    </w:p>
    <w:sectPr w:rsidR="00EE15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A7C58"/>
    <w:multiLevelType w:val="hybridMultilevel"/>
    <w:tmpl w:val="CB588A2E"/>
    <w:lvl w:ilvl="0" w:tplc="69CAC858">
      <w:start w:val="1"/>
      <w:numFmt w:val="bullet"/>
      <w:lvlText w:val="●"/>
      <w:lvlJc w:val="left"/>
      <w:pPr>
        <w:ind w:left="720" w:hanging="360"/>
      </w:pPr>
    </w:lvl>
    <w:lvl w:ilvl="1" w:tplc="83E8FF62">
      <w:start w:val="1"/>
      <w:numFmt w:val="bullet"/>
      <w:lvlText w:val="○"/>
      <w:lvlJc w:val="left"/>
      <w:pPr>
        <w:ind w:left="1440" w:hanging="360"/>
      </w:pPr>
    </w:lvl>
    <w:lvl w:ilvl="2" w:tplc="DB3E5BBA">
      <w:start w:val="1"/>
      <w:numFmt w:val="bullet"/>
      <w:lvlText w:val="■"/>
      <w:lvlJc w:val="left"/>
      <w:pPr>
        <w:ind w:left="2160" w:hanging="360"/>
      </w:pPr>
    </w:lvl>
    <w:lvl w:ilvl="3" w:tplc="556A275A">
      <w:start w:val="1"/>
      <w:numFmt w:val="bullet"/>
      <w:lvlText w:val="●"/>
      <w:lvlJc w:val="left"/>
      <w:pPr>
        <w:ind w:left="2880" w:hanging="360"/>
      </w:pPr>
    </w:lvl>
    <w:lvl w:ilvl="4" w:tplc="0BC047AE">
      <w:start w:val="1"/>
      <w:numFmt w:val="bullet"/>
      <w:lvlText w:val="○"/>
      <w:lvlJc w:val="left"/>
      <w:pPr>
        <w:ind w:left="3600" w:hanging="360"/>
      </w:pPr>
    </w:lvl>
    <w:lvl w:ilvl="5" w:tplc="53FE9CBC">
      <w:start w:val="1"/>
      <w:numFmt w:val="bullet"/>
      <w:lvlText w:val="■"/>
      <w:lvlJc w:val="left"/>
      <w:pPr>
        <w:ind w:left="4320" w:hanging="360"/>
      </w:pPr>
    </w:lvl>
    <w:lvl w:ilvl="6" w:tplc="5804F570">
      <w:start w:val="1"/>
      <w:numFmt w:val="bullet"/>
      <w:lvlText w:val="●"/>
      <w:lvlJc w:val="left"/>
      <w:pPr>
        <w:ind w:left="5040" w:hanging="360"/>
      </w:pPr>
    </w:lvl>
    <w:lvl w:ilvl="7" w:tplc="61BCED2E">
      <w:start w:val="1"/>
      <w:numFmt w:val="bullet"/>
      <w:lvlText w:val="●"/>
      <w:lvlJc w:val="left"/>
      <w:pPr>
        <w:ind w:left="5760" w:hanging="360"/>
      </w:pPr>
    </w:lvl>
    <w:lvl w:ilvl="8" w:tplc="AB7E7CC6">
      <w:start w:val="1"/>
      <w:numFmt w:val="bullet"/>
      <w:lvlText w:val="●"/>
      <w:lvlJc w:val="left"/>
      <w:pPr>
        <w:ind w:left="6480" w:hanging="360"/>
      </w:pPr>
    </w:lvl>
  </w:abstractNum>
  <w:num w:numId="1" w16cid:durableId="247815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505"/>
    <w:rsid w:val="003644E0"/>
    <w:rsid w:val="003B39CD"/>
    <w:rsid w:val="004E7DFA"/>
    <w:rsid w:val="00594D5F"/>
    <w:rsid w:val="006D4011"/>
    <w:rsid w:val="00831C28"/>
    <w:rsid w:val="00932FC4"/>
    <w:rsid w:val="00BC15AE"/>
    <w:rsid w:val="00CB047E"/>
    <w:rsid w:val="00EC177C"/>
    <w:rsid w:val="00EC315D"/>
    <w:rsid w:val="00EE1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1215"/>
  <w15:docId w15:val="{020B42F3-4459-4805-94D2-418347C7F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2E75B6"/>
      <w:sz w:val="24"/>
      <w:szCs w:val="24"/>
    </w:rPr>
  </w:style>
  <w:style w:type="paragraph" w:styleId="Heading3">
    <w:name w:val="heading 3"/>
    <w:uiPriority w:val="9"/>
    <w:semiHidden/>
    <w:unhideWhenUsed/>
    <w:qFormat/>
    <w:pPr>
      <w:spacing w:before="12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12</Pages>
  <Words>2588</Words>
  <Characters>14754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Aviral Agrawal</cp:lastModifiedBy>
  <cp:revision>5</cp:revision>
  <dcterms:created xsi:type="dcterms:W3CDTF">2026-04-12T16:40:00Z</dcterms:created>
  <dcterms:modified xsi:type="dcterms:W3CDTF">2026-04-20T10:42:00Z</dcterms:modified>
</cp:coreProperties>
</file>