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TraceNet v2</w:t>
      </w:r>
    </w:p>
    <w:p>
      <w:pPr>
        <w:spacing w:after="40"/>
        <w:jc w:val="center"/>
      </w:pPr>
      <w:r>
        <w:rPr>
          <w:i/>
          <w:iCs/>
          <w:color w:val="2E75B6"/>
          <w:sz w:val="26"/>
          <w:szCs w:val="26"/>
        </w:rPr>
        <w:t xml:space="preserve">Problem Definition &amp; Dataset Report</w:t>
      </w:r>
    </w:p>
    <w:p>
      <w:pPr>
        <w:spacing w:after="300"/>
        <w:jc w:val="center"/>
      </w:pPr>
      <w:r>
        <w:rPr>
          <w:color w:val="595959"/>
          <w:sz w:val="20"/>
          <w:szCs w:val="20"/>
        </w:rPr>
        <w:t xml:space="preserve">VIT Bhopal  •  DSN2098  •  August 2026</w:t>
      </w:r>
    </w:p>
    <w:tbl>
      <w:tblPr>
        <w:tblW w:type="pct" w:w="100%"/>
        <w:tblBorders>
          <w:top w:val="single" w:color="2E75B6" w:sz="8"/>
          <w:left w:val="single" w:color="2E75B6" w:sz="8"/>
          <w:bottom w:val="single" w:color="2E75B6" w:sz="8"/>
          <w:right w:val="single" w:color="2E75B6" w:sz="8"/>
          <w:insideH w:val="none" w:color="FFFFFF" w:sz="0"/>
          <w:insideV w:val="none" w:color="FFFFFF" w:sz="0"/>
        </w:tblBorders>
      </w:tblPr>
      <w:tblGrid>
        <w:gridCol w:w="100"/>
      </w:tblGrid>
      <w:tr>
        <w:tc>
          <w:tcPr>
            <w:shd w:fill="EAF1FB" w:val="clear"/>
            <w:tcMar>
              <w:top w:type="dxa" w:w="160"/>
              <w:left w:type="dxa" w:w="200"/>
              <w:bottom w:type="dxa" w:w="160"/>
              <w:right w:type="dxa" w:w="200"/>
            </w:tcMar>
          </w:tcPr>
          <w:p>
            <w:pPr>
              <w:spacing w:after="100"/>
            </w:pPr>
            <w:r>
              <w:rPr>
                <w:b/>
                <w:bCs/>
                <w:color w:val="1F3864"/>
                <w:sz w:val="22"/>
                <w:szCs w:val="22"/>
              </w:rPr>
              <w:t xml:space="preserve">Scope of this report</w:t>
            </w:r>
          </w:p>
          <w:p>
            <w:pPr>
              <w:spacing w:after="60" w:line="280"/>
            </w:pPr>
            <w:r>
              <w:rPr>
                <w:color w:val="262626"/>
                <w:sz w:val="21"/>
                <w:szCs w:val="21"/>
              </w:rPr>
              <w:t xml:space="preserve">•  Defines the problem TraceNet is built to solve and states why the Elliptic dataset is an appropriate foundation for the first prototype.</w:t>
            </w:r>
          </w:p>
          <w:p>
            <w:pPr>
              <w:spacing w:after="60" w:line="280"/>
            </w:pPr>
            <w:r>
              <w:rPr>
                <w:color w:val="262626"/>
                <w:sz w:val="21"/>
                <w:szCs w:val="21"/>
              </w:rPr>
              <w:t xml:space="preserve">•  Every dataset figure below (node counts, edge counts, feature counts, time steps) is a fact published by Elliptic / drawn directly from our own data-loading output — not an estimate.</w:t>
            </w:r>
          </w:p>
          <w:p>
            <w:pPr>
              <w:spacing w:after="60" w:line="280"/>
            </w:pPr>
            <w:r>
              <w:rPr>
                <w:color w:val="262626"/>
                <w:sz w:val="21"/>
                <w:szCs w:val="21"/>
              </w:rPr>
              <w:t xml:space="preserve">•  Where the meaning of a specific anonymized feature is not publicly documented, this report says so explicitly rather than guessing. Any interpretation offered is flagged as an assumption, not a verified fact.</w:t>
            </w:r>
          </w:p>
        </w:tc>
      </w:tr>
    </w:tbl>
    <w:p>
      <w:pPr>
        <w:pStyle w:val="Heading1"/>
        <w:pBdr>
          <w:bottom w:val="single" w:color="2E75B6" w:sz="6" w:space="4"/>
        </w:pBdr>
        <w:spacing w:after="160" w:before="360"/>
      </w:pPr>
      <w:r>
        <w:rPr>
          <w:b/>
          <w:bCs/>
          <w:color w:val="1F3864"/>
          <w:sz w:val="28"/>
          <w:szCs w:val="28"/>
        </w:rPr>
        <w:t xml:space="preserve">1. Problem Statement</w:t>
      </w:r>
    </w:p>
    <w:p>
      <w:pPr>
        <w:spacing w:after="160" w:line="300"/>
      </w:pPr>
      <w:r>
        <w:rPr>
          <w:color w:val="262626"/>
          <w:sz w:val="22"/>
          <w:szCs w:val="22"/>
        </w:rPr>
        <w:t xml:space="preserve">Money laundering is the process of disguising the origin of illegally obtained funds so that they appear to come from a legitimate source. In cryptocurrency networks such as Bitcoin, this typically involves moving funds through long chains of transactions — mixing services, layering across many wallets, and rapid transfers — specifically to break the traceable link between a criminal source (e.g. a scam, ransomware payment, or darknet market) and the eventual point of cash-out or spending.</w:t>
      </w:r>
    </w:p>
    <w:p>
      <w:pPr>
        <w:spacing w:after="160" w:line="300"/>
      </w:pPr>
      <w:r>
        <w:rPr>
          <w:color w:val="262626"/>
          <w:sz w:val="22"/>
          <w:szCs w:val="22"/>
        </w:rPr>
        <w:t xml:space="preserve">The objective of TraceNet is to classify individual Bitcoin transactions as licit or illicit, using a real transaction graph, well before human investigators could review each one manually. Concretely, the prototype must:</w:t>
      </w:r>
    </w:p>
    <w:p>
      <w:pPr>
        <w:pStyle w:val="ListParagraph"/>
        <w:numPr>
          <w:ilvl w:val="0"/>
          <w:numId w:val="2"/>
        </w:numPr>
        <w:spacing w:after="90" w:line="290"/>
      </w:pPr>
      <w:r>
        <w:rPr>
          <w:color w:val="262626"/>
          <w:sz w:val="22"/>
          <w:szCs w:val="22"/>
        </w:rPr>
        <w:t xml:space="preserve">Take a large set of Bitcoin transactions, each described by a feature vector and connected to other transactions by edges representing the flow of funds.</w:t>
      </w:r>
    </w:p>
    <w:p>
      <w:pPr>
        <w:pStyle w:val="ListParagraph"/>
        <w:numPr>
          <w:ilvl w:val="0"/>
          <w:numId w:val="2"/>
        </w:numPr>
        <w:spacing w:after="90" w:line="290"/>
      </w:pPr>
      <w:r>
        <w:rPr>
          <w:color w:val="262626"/>
          <w:sz w:val="22"/>
          <w:szCs w:val="22"/>
        </w:rPr>
        <w:t xml:space="preserve">Learn, from a small set of transactions with confirmed licit/illicit labels, a pattern that generalises to the much larger set of unlabelled transactions.</w:t>
      </w:r>
    </w:p>
    <w:p>
      <w:pPr>
        <w:pStyle w:val="ListParagraph"/>
        <w:numPr>
          <w:ilvl w:val="0"/>
          <w:numId w:val="2"/>
        </w:numPr>
        <w:spacing w:after="90" w:line="290"/>
      </w:pPr>
      <w:r>
        <w:rPr>
          <w:color w:val="262626"/>
          <w:sz w:val="22"/>
          <w:szCs w:val="22"/>
        </w:rPr>
        <w:t xml:space="preserve">Produce a risk score per transaction that can drive a real decision — auto-approve, send to a human analyst, or auto-block — rather than a single hard yes/no label.</w:t>
      </w:r>
    </w:p>
    <w:p>
      <w:pPr>
        <w:spacing w:after="160" w:line="300"/>
      </w:pPr>
      <w:r>
        <w:rPr>
          <w:color w:val="262626"/>
          <w:sz w:val="22"/>
          <w:szCs w:val="22"/>
        </w:rPr>
        <w:t xml:space="preserve">This is fundamentally an anti-money-laundering (AML) / suspicious-activity-detection problem, and the target label follows Elliptic's own definition of the classes: class 1 (illicit) covers transactions tied to entities such as scams, malware, ransomware, terrorist financing, and Ponzi schemes, while class 2 (licit) covers exchanges, wallet providers, miners, and other licit services.</w:t>
      </w:r>
    </w:p>
    <w:p>
      <w:pPr>
        <w:pStyle w:val="Heading1"/>
        <w:pBdr>
          <w:bottom w:val="single" w:color="2E75B6" w:sz="6" w:space="4"/>
        </w:pBdr>
        <w:spacing w:after="160" w:before="360"/>
      </w:pPr>
      <w:r>
        <w:rPr>
          <w:b/>
          <w:bCs/>
          <w:color w:val="1F3864"/>
          <w:sz w:val="28"/>
          <w:szCs w:val="28"/>
        </w:rPr>
        <w:t xml:space="preserve">2. Why Analysing Isolated Records Can Miss Relationship-Based Patterns</w:t>
      </w:r>
    </w:p>
    <w:p>
      <w:pPr>
        <w:spacing w:after="160" w:line="300"/>
      </w:pPr>
      <w:r>
        <w:rPr>
          <w:color w:val="262626"/>
          <w:sz w:val="22"/>
          <w:szCs w:val="22"/>
        </w:rPr>
        <w:t xml:space="preserve">A conventional tabular approach treats each transaction as an independent row: its amount, fee, number of inputs/outputs, and similar attributes are fed to a classifier in isolation, with no knowledge of which other transactions it is connected to. This works reasonably well for some fraud problems, but it has a structural blind spot for laundering behaviour specifically:</w:t>
      </w:r>
    </w:p>
    <w:p>
      <w:pPr>
        <w:pStyle w:val="ListParagraph"/>
        <w:numPr>
          <w:ilvl w:val="0"/>
          <w:numId w:val="2"/>
        </w:numPr>
        <w:spacing w:after="90" w:line="290"/>
      </w:pPr>
      <w:r>
        <w:rPr>
          <w:color w:val="262626"/>
          <w:sz w:val="22"/>
          <w:szCs w:val="22"/>
        </w:rPr>
        <w:t xml:space="preserve">Laundering is defined by a sequence of transfers, not by any single transfer. A transaction that looks unremarkable on its own — a modest amount, a normal fee — can still be one hop in a chain that begins at a known illicit source and ends at a cash-out point.</w:t>
      </w:r>
    </w:p>
    <w:p>
      <w:pPr>
        <w:pStyle w:val="ListParagraph"/>
        <w:numPr>
          <w:ilvl w:val="0"/>
          <w:numId w:val="2"/>
        </w:numPr>
        <w:spacing w:after="90" w:line="290"/>
      </w:pPr>
      <w:r>
        <w:rPr>
          <w:color w:val="262626"/>
          <w:sz w:val="22"/>
          <w:szCs w:val="22"/>
        </w:rPr>
        <w:t xml:space="preserve">Layering techniques are explicitly designed to make each individual step look ordinary. The suspicious signal is in the pattern of who is sending to whom, how funds fan out and recombine, and how quickly they move — none of which is visible from one row of features.</w:t>
      </w:r>
    </w:p>
    <w:p>
      <w:pPr>
        <w:pStyle w:val="ListParagraph"/>
        <w:numPr>
          <w:ilvl w:val="0"/>
          <w:numId w:val="2"/>
        </w:numPr>
        <w:spacing w:after="90" w:line="290"/>
      </w:pPr>
      <w:r>
        <w:rPr>
          <w:color w:val="262626"/>
          <w:sz w:val="22"/>
          <w:szCs w:val="22"/>
        </w:rPr>
        <w:t xml:space="preserve">An isolated-record model cannot answer the question "is this transaction connected, even indirectly, to a transaction we already know is illicit?" — but that question is often the single strongest predictor available.</w:t>
      </w:r>
    </w:p>
    <w:p>
      <w:pPr>
        <w:pStyle w:val="ListParagraph"/>
        <w:numPr>
          <w:ilvl w:val="0"/>
          <w:numId w:val="2"/>
        </w:numPr>
        <w:spacing w:after="90" w:line="290"/>
      </w:pPr>
      <w:r>
        <w:rPr>
          <w:color w:val="262626"/>
          <w:sz w:val="22"/>
          <w:szCs w:val="22"/>
        </w:rPr>
        <w:t xml:space="preserve">Because only a small fraction of transactions are ever labelled (see Section 4), an isolated-record model also has no mechanism for propagating suspicion from a labelled illicit node onto its unlabelled neighbours — it can only learn from the label it is directly given.</w:t>
      </w:r>
    </w:p>
    <w:p>
      <w:pPr>
        <w:spacing w:after="160" w:line="300"/>
      </w:pPr>
      <w:r>
        <w:rPr>
          <w:color w:val="262626"/>
          <w:sz w:val="22"/>
          <w:szCs w:val="22"/>
        </w:rPr>
        <w:t xml:space="preserve">In short, treating each transaction as a standalone record discards exactly the information — its relationships to other transactions — that most directly reflects how laundering actually operates.</w:t>
      </w:r>
    </w:p>
    <w:p>
      <w:pPr>
        <w:pStyle w:val="Heading1"/>
        <w:pBdr>
          <w:bottom w:val="single" w:color="2E75B6" w:sz="6" w:space="4"/>
        </w:pBdr>
        <w:spacing w:after="160" w:before="360"/>
      </w:pPr>
      <w:r>
        <w:rPr>
          <w:b/>
          <w:bCs/>
          <w:color w:val="1F3864"/>
          <w:sz w:val="28"/>
          <w:szCs w:val="28"/>
        </w:rPr>
        <w:t xml:space="preserve">3. Why a Graph Representation Is Relevant</w:t>
      </w:r>
    </w:p>
    <w:p>
      <w:pPr>
        <w:spacing w:after="160" w:line="300"/>
      </w:pPr>
      <w:r>
        <w:rPr>
          <w:color w:val="262626"/>
          <w:sz w:val="22"/>
          <w:szCs w:val="22"/>
        </w:rPr>
        <w:t xml:space="preserve">A graph representation keeps the two things an isolated-record model throws away: the connections between transactions, and the ability to reason about neighbourhoods rather than single points.</w:t>
      </w:r>
    </w:p>
    <w:p>
      <w:pPr>
        <w:pStyle w:val="ListParagraph"/>
        <w:numPr>
          <w:ilvl w:val="0"/>
          <w:numId w:val="2"/>
        </w:numPr>
        <w:spacing w:after="90" w:line="290"/>
      </w:pPr>
      <w:r>
        <w:rPr>
          <w:color w:val="262626"/>
          <w:sz w:val="22"/>
          <w:szCs w:val="22"/>
        </w:rPr>
        <w:t xml:space="preserve">Nodes and edges map directly onto the domain. Each transaction is naturally a node, and each transfer of Bitcoin from one transaction to another is naturally a directed edge — no artificial encoding is required to represent the flow of funds.</w:t>
      </w:r>
    </w:p>
    <w:p>
      <w:pPr>
        <w:pStyle w:val="ListParagraph"/>
        <w:numPr>
          <w:ilvl w:val="0"/>
          <w:numId w:val="2"/>
        </w:numPr>
        <w:spacing w:after="90" w:line="290"/>
      </w:pPr>
      <w:r>
        <w:rPr>
          <w:color w:val="262626"/>
          <w:sz w:val="22"/>
          <w:szCs w:val="22"/>
        </w:rPr>
        <w:t xml:space="preserve">Neighbourhood aggregation lets the model use context. A graph neural network updates a node's representation using its neighbours' features, so a transaction sitting close to known illicit nodes ends up with a representation shaped by that proximity, even before any label is assigned to it.</w:t>
      </w:r>
    </w:p>
    <w:p>
      <w:pPr>
        <w:pStyle w:val="ListParagraph"/>
        <w:numPr>
          <w:ilvl w:val="0"/>
          <w:numId w:val="2"/>
        </w:numPr>
        <w:spacing w:after="90" w:line="290"/>
      </w:pPr>
      <w:r>
        <w:rPr>
          <w:color w:val="262626"/>
          <w:sz w:val="22"/>
          <w:szCs w:val="22"/>
        </w:rPr>
        <w:t xml:space="preserve">It supports the small-labelled-data setting described in Section 4. Because only 46,564 of 203,769 transactions carry a licit/illicit label, in this prototype the graph is pruned to the 36,624 edges that connect two labelled nodes; exploiting the full 234,355-edge structure — including edges that touch unlabelled nodes — while training and evaluating only on the labelled subset.</w:t>
      </w:r>
    </w:p>
    <w:p>
      <w:pPr>
        <w:pStyle w:val="ListParagraph"/>
        <w:numPr>
          <w:ilvl w:val="0"/>
          <w:numId w:val="2"/>
        </w:numPr>
        <w:spacing w:after="90" w:line="290"/>
      </w:pPr>
      <w:r>
        <w:rPr>
          <w:color w:val="262626"/>
          <w:sz w:val="22"/>
          <w:szCs w:val="22"/>
        </w:rPr>
        <w:t xml:space="preserve">It matches how the classification task is actually used downstream: analysts investigating a flagged transaction naturally look at what it is connected to, so a model whose reasoning is graph-based produces scores that align with how the risk is investigated in practice.</w:t>
      </w:r>
    </w:p>
    <w:p>
      <w:pPr>
        <w:spacing w:after="160" w:line="300"/>
      </w:pPr>
      <w:r>
        <w:rPr>
          <w:color w:val="262626"/>
          <w:sz w:val="22"/>
          <w:szCs w:val="22"/>
        </w:rPr>
        <w:t xml:space="preserve">This is the specific justification for choosing a GraphSAGE-based architecture (as reflected in the TraceNet model output) over a plain feature-based classifier: the aggregation step is what lets relationship structure, not just per-transaction attributes, contribute to the prediction.</w:t>
      </w:r>
    </w:p>
    <w:p>
      <w:pPr>
        <w:pStyle w:val="Heading1"/>
        <w:pBdr>
          <w:bottom w:val="single" w:color="2E75B6" w:sz="6" w:space="4"/>
        </w:pBdr>
        <w:spacing w:after="160" w:before="360"/>
      </w:pPr>
      <w:r>
        <w:rPr>
          <w:b/>
          <w:bCs/>
          <w:color w:val="1F3864"/>
          <w:sz w:val="28"/>
          <w:szCs w:val="28"/>
        </w:rPr>
        <w:t xml:space="preserve">4. The Elliptic Dataset: Nodes, Edges, Labels, Time Steps, Features</w:t>
      </w:r>
    </w:p>
    <w:p>
      <w:pPr>
        <w:spacing w:after="160" w:line="300"/>
      </w:pPr>
      <w:r>
        <w:rPr>
          <w:color w:val="262626"/>
          <w:sz w:val="22"/>
          <w:szCs w:val="22"/>
        </w:rPr>
        <w:t xml:space="preserve">The Elliptic dataset is a publicly released, real transaction graph extracted from the Bitcoin blockchain, published by Elliptic together with an academic description of its structure. The figures below are drawn from Elliptic's own published documentation and match the shapes produced by our own data-loading step.</w:t>
      </w:r>
    </w:p>
    <w:p>
      <w:pPr>
        <w:pStyle w:val="Heading2"/>
        <w:spacing w:after="100" w:before="240"/>
      </w:pPr>
      <w:r>
        <w:rPr>
          <w:b/>
          <w:bCs/>
          <w:color w:val="1F3864"/>
          <w:sz w:val="24"/>
          <w:szCs w:val="24"/>
        </w:rPr>
        <w:t xml:space="preserve">4.1 Nodes and edges</w:t>
      </w:r>
    </w:p>
    <w:p>
      <w:pPr>
        <w:pStyle w:val="ListParagraph"/>
        <w:numPr>
          <w:ilvl w:val="0"/>
          <w:numId w:val="2"/>
        </w:numPr>
        <w:spacing w:after="90" w:line="290"/>
      </w:pPr>
      <w:r>
        <w:rPr>
          <w:color w:val="262626"/>
          <w:sz w:val="22"/>
          <w:szCs w:val="22"/>
        </w:rPr>
        <w:t xml:space="preserve">203,769 nodes in total, each representing a single Bitcoin transaction.</w:t>
      </w:r>
    </w:p>
    <w:p>
      <w:pPr>
        <w:pStyle w:val="ListParagraph"/>
        <w:numPr>
          <w:ilvl w:val="0"/>
          <w:numId w:val="2"/>
        </w:numPr>
        <w:spacing w:after="90" w:line="290"/>
      </w:pPr>
      <w:r>
        <w:rPr>
          <w:color w:val="262626"/>
          <w:sz w:val="22"/>
          <w:szCs w:val="22"/>
        </w:rPr>
        <w:t xml:space="preserve">234,355 directed edges, each representing a flow of Bitcoin from one transaction to another.</w:t>
      </w:r>
    </w:p>
    <w:p>
      <w:pPr>
        <w:pStyle w:val="ListParagraph"/>
        <w:numPr>
          <w:ilvl w:val="0"/>
          <w:numId w:val="2"/>
        </w:numPr>
        <w:spacing w:after="90" w:line="290"/>
      </w:pPr>
      <w:r>
        <w:rPr>
          <w:color w:val="262626"/>
          <w:sz w:val="22"/>
          <w:szCs w:val="22"/>
        </w:rPr>
        <w:t xml:space="preserve">Of the 234,355 edges, our data-loading step found 36,624 connecting two labelled nodes; the remainder touch at least one unlabelled node.</w:t>
      </w:r>
    </w:p>
    <w:p>
      <w:pPr>
        <w:pStyle w:val="Heading2"/>
        <w:spacing w:after="100" w:before="240"/>
      </w:pPr>
      <w:r>
        <w:rPr>
          <w:b/>
          <w:bCs/>
          <w:color w:val="1F3864"/>
          <w:sz w:val="24"/>
          <w:szCs w:val="24"/>
        </w:rPr>
        <w:t xml:space="preserve">4.2 Labels</w:t>
      </w:r>
    </w:p>
    <w:p>
      <w:pPr>
        <w:pStyle w:val="ListParagraph"/>
        <w:numPr>
          <w:ilvl w:val="0"/>
          <w:numId w:val="2"/>
        </w:numPr>
        <w:spacing w:after="90" w:line="290"/>
      </w:pPr>
      <w:r>
        <w:rPr>
          <w:color w:val="262626"/>
          <w:sz w:val="22"/>
          <w:szCs w:val="22"/>
        </w:rPr>
        <w:t xml:space="preserve">Class 1 — Illicit: 4,545 nodes (about 2% of all nodes), tied to entities such as scams, malware, ransomware, terrorist financing, and Ponzi schemes.</w:t>
      </w:r>
    </w:p>
    <w:p>
      <w:pPr>
        <w:pStyle w:val="ListParagraph"/>
        <w:numPr>
          <w:ilvl w:val="0"/>
          <w:numId w:val="2"/>
        </w:numPr>
        <w:spacing w:after="90" w:line="290"/>
      </w:pPr>
      <w:r>
        <w:rPr>
          <w:color w:val="262626"/>
          <w:sz w:val="22"/>
          <w:szCs w:val="22"/>
        </w:rPr>
        <w:t xml:space="preserve">Class 2 — Licit: 42,019 nodes (about 21% of all nodes), tied to entities such as exchanges, wallet providers, miners, and other licit services.</w:t>
      </w:r>
    </w:p>
    <w:p>
      <w:pPr>
        <w:pStyle w:val="ListParagraph"/>
        <w:numPr>
          <w:ilvl w:val="0"/>
          <w:numId w:val="2"/>
        </w:numPr>
        <w:spacing w:after="90" w:line="290"/>
      </w:pPr>
      <w:r>
        <w:rPr>
          <w:color w:val="262626"/>
          <w:sz w:val="22"/>
          <w:szCs w:val="22"/>
        </w:rPr>
        <w:t xml:space="preserve">Unknown: 157,205 nodes (about 77% of all nodes) have no confirmed licit/illicit determination and are excluded from training and test splits.</w:t>
      </w:r>
    </w:p>
    <w:p>
      <w:pPr>
        <w:pStyle w:val="ListParagraph"/>
        <w:numPr>
          <w:ilvl w:val="0"/>
          <w:numId w:val="2"/>
        </w:numPr>
        <w:spacing w:after="90" w:line="290"/>
      </w:pPr>
      <w:r>
        <w:rPr>
          <w:color w:val="262626"/>
          <w:sz w:val="22"/>
          <w:szCs w:val="22"/>
        </w:rPr>
        <w:t xml:space="preserve">46,564 nodes are labelled in total (illicit + licit) — this is the labelled subset TraceNet actually trains and evaluates on.</w:t>
      </w:r>
    </w:p>
    <w:p>
      <w:pPr>
        <w:pStyle w:val="Heading2"/>
        <w:spacing w:after="100" w:before="240"/>
      </w:pPr>
      <w:r>
        <w:rPr>
          <w:b/>
          <w:bCs/>
          <w:color w:val="1F3864"/>
          <w:sz w:val="24"/>
          <w:szCs w:val="24"/>
        </w:rPr>
        <w:t xml:space="preserve">4.3 Time steps</w:t>
      </w:r>
    </w:p>
    <w:p>
      <w:pPr>
        <w:pStyle w:val="ListParagraph"/>
        <w:numPr>
          <w:ilvl w:val="0"/>
          <w:numId w:val="2"/>
        </w:numPr>
        <w:spacing w:after="90" w:line="290"/>
      </w:pPr>
      <w:r>
        <w:rPr>
          <w:color w:val="262626"/>
          <w:sz w:val="22"/>
          <w:szCs w:val="22"/>
        </w:rPr>
        <w:t xml:space="preserve">The dataset spans 49 discrete time steps, each roughly two weeks apart, based on when a transaction was broadcast to the Bitcoin network.</w:t>
      </w:r>
    </w:p>
    <w:p>
      <w:pPr>
        <w:pStyle w:val="ListParagraph"/>
        <w:numPr>
          <w:ilvl w:val="0"/>
          <w:numId w:val="2"/>
        </w:numPr>
        <w:spacing w:after="90" w:line="290"/>
      </w:pPr>
      <w:r>
        <w:rPr>
          <w:color w:val="262626"/>
          <w:sz w:val="22"/>
          <w:szCs w:val="22"/>
        </w:rPr>
        <w:t xml:space="preserve">Each time step forms its own connected component of transactions that appeared on the blockchain within a few hours of each other; Elliptic's documentation states there are no edges connecting different time steps.</w:t>
      </w:r>
    </w:p>
    <w:p>
      <w:pPr>
        <w:pStyle w:val="Heading2"/>
        <w:spacing w:after="100" w:before="240"/>
      </w:pPr>
      <w:r>
        <w:rPr>
          <w:b/>
          <w:bCs/>
          <w:color w:val="1F3864"/>
          <w:sz w:val="24"/>
          <w:szCs w:val="24"/>
        </w:rPr>
        <w:t xml:space="preserve">4.4 Features</w:t>
      </w:r>
    </w:p>
    <w:p>
      <w:pPr>
        <w:pStyle w:val="ListParagraph"/>
        <w:numPr>
          <w:ilvl w:val="0"/>
          <w:numId w:val="2"/>
        </w:numPr>
        <w:spacing w:after="90" w:line="290"/>
      </w:pPr>
      <w:r>
        <w:rPr>
          <w:color w:val="262626"/>
          <w:sz w:val="22"/>
          <w:szCs w:val="22"/>
        </w:rPr>
        <w:t xml:space="preserve">Each node has 166 associated features. Elliptic's public documentation describes these only by category, not by individual meaning.</w:t>
      </w:r>
    </w:p>
    <w:p>
      <w:pPr>
        <w:pStyle w:val="ListParagraph"/>
        <w:numPr>
          <w:ilvl w:val="0"/>
          <w:numId w:val="2"/>
        </w:numPr>
        <w:spacing w:after="90" w:line="290"/>
      </w:pPr>
      <w:r>
        <w:rPr>
          <w:color w:val="262626"/>
          <w:sz w:val="22"/>
          <w:szCs w:val="22"/>
        </w:rPr>
        <w:t xml:space="preserve">Published sources describe the 166 features as split into local features (including the time step, number of inputs/outputs, and transaction fee) and aggregated features computed over each transaction's immediate neighbours (e.g. maximum, minimum, and average values, and standard deviation, of neighbour features).</w:t>
      </w:r>
    </w:p>
    <w:p>
      <w:pPr>
        <w:pStyle w:val="ListParagraph"/>
        <w:numPr>
          <w:ilvl w:val="0"/>
          <w:numId w:val="2"/>
        </w:numPr>
        <w:spacing w:after="90" w:line="290"/>
      </w:pPr>
      <w:r>
        <w:rPr>
          <w:color w:val="262626"/>
          <w:sz w:val="22"/>
          <w:szCs w:val="22"/>
        </w:rPr>
        <w:t xml:space="preserve">Elliptic has stated it cannot disclose the full feature list or the exact meaning of each individual feature, for intellectual-property and data-sensitivity reasons.</w:t>
      </w:r>
    </w:p>
    <w:tbl>
      <w:tblPr>
        <w:tblW w:type="pct" w:w="100%"/>
        <w:tblBorders>
          <w:top w:val="single" w:color="D68910" w:sz="8"/>
          <w:left w:val="single" w:color="D68910" w:sz="8"/>
          <w:bottom w:val="single" w:color="D68910" w:sz="8"/>
          <w:right w:val="single" w:color="D68910" w:sz="8"/>
          <w:insideH w:val="none" w:color="FFFFFF" w:sz="0"/>
          <w:insideV w:val="none" w:color="FFFFFF" w:sz="0"/>
        </w:tblBorders>
      </w:tblPr>
      <w:tblGrid>
        <w:gridCol w:w="100"/>
      </w:tblGrid>
      <w:tr>
        <w:tc>
          <w:tcPr>
            <w:shd w:fill="FDEBD0" w:val="clear"/>
            <w:tcMar>
              <w:top w:type="dxa" w:w="160"/>
              <w:left w:type="dxa" w:w="200"/>
              <w:bottom w:type="dxa" w:w="160"/>
              <w:right w:type="dxa" w:w="200"/>
            </w:tcMar>
          </w:tcPr>
          <w:p>
            <w:pPr>
              <w:spacing w:after="100"/>
            </w:pPr>
            <w:r>
              <w:rPr>
                <w:b/>
                <w:bCs/>
                <w:color w:val="1F3864"/>
                <w:sz w:val="22"/>
                <w:szCs w:val="22"/>
              </w:rPr>
              <w:t xml:space="preserve">Verified fact vs. assumption — features</w:t>
            </w:r>
          </w:p>
          <w:p>
            <w:pPr>
              <w:spacing w:after="60" w:line="280"/>
            </w:pPr>
            <w:r>
              <w:rPr>
                <w:color w:val="262626"/>
                <w:sz w:val="21"/>
                <w:szCs w:val="21"/>
              </w:rPr>
              <w:t xml:space="preserve">•  Verified: there are 166 features per node, one of them is the time step, and the remainder split broadly into local and neighbourhood-aggregated categories, per Elliptic's own published description.</w:t>
            </w:r>
          </w:p>
          <w:p>
            <w:pPr>
              <w:spacing w:after="60" w:line="280"/>
            </w:pPr>
            <w:r>
              <w:rPr>
                <w:color w:val="262626"/>
                <w:sz w:val="21"/>
                <w:szCs w:val="21"/>
              </w:rPr>
              <w:t xml:space="preserve">•  Not verified / not assumed: the semantic meaning of any individual anonymized feature column (e.g. what feature #57 specifically measures). This report and the TraceNet pipeline do not assign meanings to individual anonymized columns beyond what Elliptic has publicly documented.</w:t>
            </w:r>
          </w:p>
          <w:p>
            <w:pPr>
              <w:spacing w:after="60" w:line="280"/>
            </w:pPr>
            <w:r>
              <w:rPr>
                <w:color w:val="262626"/>
                <w:sz w:val="21"/>
                <w:szCs w:val="21"/>
              </w:rPr>
              <w:t xml:space="preserve">•  Any feature engineering that infers additional structure (e.g. deriving a transaction's likely role from feature patterns) is future work and must be labelled as an assumption, not treated as a documented fact, if it is added later.</w:t>
            </w:r>
          </w:p>
        </w:tc>
      </w:tr>
    </w:tbl>
    <w:p>
      <w:pPr>
        <w:pStyle w:val="Heading2"/>
        <w:spacing w:after="100" w:before="240"/>
      </w:pPr>
      <w:r>
        <w:rPr>
          <w:b/>
          <w:bCs/>
          <w:color w:val="1F3864"/>
          <w:sz w:val="24"/>
          <w:szCs w:val="24"/>
        </w:rPr>
        <w:t xml:space="preserve">4.5 Dataset shape as loaded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tblGrid>
      <w:tr>
        <w:trPr>
          <w:tblHeader/>
        </w:trPr>
        <w:tc>
          <w:tcPr>
            <w:tcW w:type="dxa" w:w="5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sz w:val="20"/>
                <w:szCs w:val="20"/>
              </w:rPr>
              <w:t xml:space="preserve">Quantity</w:t>
            </w:r>
          </w:p>
        </w:tc>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5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Total transactions (nodes)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203,769</w:t>
            </w:r>
          </w:p>
        </w:tc>
      </w:tr>
      <w:tr>
        <w:tc>
          <w:tcPr>
            <w:tcW w:type="dxa" w:w="5600"/>
            <w:tcBorders>
              <w:top w:val="single" w:color="BFBFBF" w:sz="2"/>
              <w:left w:val="single" w:color="BFBFBF" w:sz="2"/>
              <w:bottom w:val="single" w:color="BFBFBF" w:sz="2"/>
              <w:right w:val="single" w:color="BFBFBF" w:sz="2"/>
            </w:tcBorders>
            <w:shd w:fill="EAF1FB" w:val="clear"/>
            <w:tcMar>
              <w:top w:type="dxa" w:w="80"/>
              <w:left w:type="dxa" w:w="120"/>
              <w:bottom w:type="dxa" w:w="80"/>
              <w:right w:type="dxa" w:w="120"/>
            </w:tcMar>
          </w:tcPr>
          <w:p>
            <w:r>
              <w:rPr>
                <w:color w:val="262626"/>
                <w:sz w:val="20"/>
                <w:szCs w:val="20"/>
              </w:rPr>
              <w:t xml:space="preserve">Feature columns</w:t>
            </w:r>
          </w:p>
        </w:tc>
        <w:tc>
          <w:tcPr>
            <w:tcW w:type="dxa" w:w="3200"/>
            <w:tcBorders>
              <w:top w:val="single" w:color="BFBFBF" w:sz="2"/>
              <w:left w:val="single" w:color="BFBFBF" w:sz="2"/>
              <w:bottom w:val="single" w:color="BFBFBF" w:sz="2"/>
              <w:right w:val="single" w:color="BFBFBF" w:sz="2"/>
            </w:tcBorders>
            <w:shd w:fill="EAF1FB" w:val="clear"/>
            <w:tcMar>
              <w:top w:type="dxa" w:w="80"/>
              <w:left w:type="dxa" w:w="120"/>
              <w:bottom w:type="dxa" w:w="80"/>
              <w:right w:type="dxa" w:w="120"/>
            </w:tcMar>
          </w:tcPr>
          <w:p>
            <w:r>
              <w:rPr>
                <w:color w:val="262626"/>
                <w:sz w:val="20"/>
                <w:szCs w:val="20"/>
              </w:rPr>
              <w:t xml:space="preserve">167 (1 transaction ID + 166 features)</w:t>
            </w:r>
          </w:p>
        </w:tc>
      </w:tr>
      <w:tr>
        <w:tc>
          <w:tcPr>
            <w:tcW w:type="dxa" w:w="5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Total edges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234,355</w:t>
            </w:r>
          </w:p>
        </w:tc>
      </w:tr>
      <w:tr>
        <w:tc>
          <w:tcPr>
            <w:tcW w:type="dxa" w:w="5600"/>
            <w:tcBorders>
              <w:top w:val="single" w:color="BFBFBF" w:sz="2"/>
              <w:left w:val="single" w:color="BFBFBF" w:sz="2"/>
              <w:bottom w:val="single" w:color="BFBFBF" w:sz="2"/>
              <w:right w:val="single" w:color="BFBFBF" w:sz="2"/>
            </w:tcBorders>
            <w:shd w:fill="EAF1FB" w:val="clear"/>
            <w:tcMar>
              <w:top w:type="dxa" w:w="80"/>
              <w:left w:type="dxa" w:w="120"/>
              <w:bottom w:type="dxa" w:w="80"/>
              <w:right w:type="dxa" w:w="120"/>
            </w:tcMar>
          </w:tcPr>
          <w:p>
            <w:r>
              <w:rPr>
                <w:color w:val="262626"/>
                <w:sz w:val="20"/>
                <w:szCs w:val="20"/>
              </w:rPr>
              <w:t xml:space="preserve">Labelled nodes used for train/test</w:t>
            </w:r>
          </w:p>
        </w:tc>
        <w:tc>
          <w:tcPr>
            <w:tcW w:type="dxa" w:w="3200"/>
            <w:tcBorders>
              <w:top w:val="single" w:color="BFBFBF" w:sz="2"/>
              <w:left w:val="single" w:color="BFBFBF" w:sz="2"/>
              <w:bottom w:val="single" w:color="BFBFBF" w:sz="2"/>
              <w:right w:val="single" w:color="BFBFBF" w:sz="2"/>
            </w:tcBorders>
            <w:shd w:fill="EAF1FB" w:val="clear"/>
            <w:tcMar>
              <w:top w:type="dxa" w:w="80"/>
              <w:left w:type="dxa" w:w="120"/>
              <w:bottom w:type="dxa" w:w="80"/>
              <w:right w:type="dxa" w:w="120"/>
            </w:tcMar>
          </w:tcPr>
          <w:p>
            <w:r>
              <w:rPr>
                <w:color w:val="262626"/>
                <w:sz w:val="20"/>
                <w:szCs w:val="20"/>
              </w:rPr>
              <w:t xml:space="preserve">46,564</w:t>
            </w:r>
          </w:p>
        </w:tc>
      </w:tr>
      <w:tr>
        <w:tc>
          <w:tcPr>
            <w:tcW w:type="dxa" w:w="5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Edges connecting two labelled nodes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36,624</w:t>
            </w:r>
          </w:p>
        </w:tc>
      </w:tr>
      <w:tr>
        <w:tc>
          <w:tcPr>
            <w:tcW w:type="dxa" w:w="5600"/>
            <w:tcBorders>
              <w:top w:val="single" w:color="BFBFBF" w:sz="2"/>
              <w:left w:val="single" w:color="BFBFBF" w:sz="2"/>
              <w:bottom w:val="single" w:color="BFBFBF" w:sz="2"/>
              <w:right w:val="single" w:color="BFBFBF" w:sz="2"/>
            </w:tcBorders>
            <w:shd w:fill="EAF1FB" w:val="clear"/>
            <w:tcMar>
              <w:top w:type="dxa" w:w="80"/>
              <w:left w:type="dxa" w:w="120"/>
              <w:bottom w:type="dxa" w:w="80"/>
              <w:right w:type="dxa" w:w="120"/>
            </w:tcMar>
          </w:tcPr>
          <w:p>
            <w:r>
              <w:rPr>
                <w:color w:val="262626"/>
                <w:sz w:val="20"/>
                <w:szCs w:val="20"/>
              </w:rPr>
              <w:t xml:space="preserve">Illicit nodes (class 1)</w:t>
            </w:r>
          </w:p>
        </w:tc>
        <w:tc>
          <w:tcPr>
            <w:tcW w:type="dxa" w:w="3200"/>
            <w:tcBorders>
              <w:top w:val="single" w:color="BFBFBF" w:sz="2"/>
              <w:left w:val="single" w:color="BFBFBF" w:sz="2"/>
              <w:bottom w:val="single" w:color="BFBFBF" w:sz="2"/>
              <w:right w:val="single" w:color="BFBFBF" w:sz="2"/>
            </w:tcBorders>
            <w:shd w:fill="EAF1FB" w:val="clear"/>
            <w:tcMar>
              <w:top w:type="dxa" w:w="80"/>
              <w:left w:type="dxa" w:w="120"/>
              <w:bottom w:type="dxa" w:w="80"/>
              <w:right w:type="dxa" w:w="120"/>
            </w:tcMar>
          </w:tcPr>
          <w:p>
            <w:r>
              <w:rPr>
                <w:color w:val="262626"/>
                <w:sz w:val="20"/>
                <w:szCs w:val="20"/>
              </w:rPr>
              <w:t xml:space="preserve">4,545 (9.8% of labelled nodes)</w:t>
            </w:r>
          </w:p>
        </w:tc>
      </w:tr>
      <w:tr>
        <w:tc>
          <w:tcPr>
            <w:tcW w:type="dxa" w:w="5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Licit nodes (class 2)</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42,019 (90.2% of labelled nodes)</w:t>
            </w:r>
          </w:p>
        </w:tc>
      </w:tr>
      <w:tr>
        <w:tc>
          <w:tcPr>
            <w:tcW w:type="dxa" w:w="5600"/>
            <w:tcBorders>
              <w:top w:val="single" w:color="BFBFBF" w:sz="2"/>
              <w:left w:val="single" w:color="BFBFBF" w:sz="2"/>
              <w:bottom w:val="single" w:color="BFBFBF" w:sz="2"/>
              <w:right w:val="single" w:color="BFBFBF" w:sz="2"/>
            </w:tcBorders>
            <w:shd w:fill="EAF1FB" w:val="clear"/>
            <w:tcMar>
              <w:top w:type="dxa" w:w="80"/>
              <w:left w:type="dxa" w:w="120"/>
              <w:bottom w:type="dxa" w:w="80"/>
              <w:right w:type="dxa" w:w="120"/>
            </w:tcMar>
          </w:tcPr>
          <w:p>
            <w:r>
              <w:rPr>
                <w:color w:val="262626"/>
                <w:sz w:val="20"/>
                <w:szCs w:val="20"/>
              </w:rPr>
              <w:t xml:space="preserve">Unknown nodes (unlabelled)</w:t>
            </w:r>
          </w:p>
        </w:tc>
        <w:tc>
          <w:tcPr>
            <w:tcW w:type="dxa" w:w="3200"/>
            <w:tcBorders>
              <w:top w:val="single" w:color="BFBFBF" w:sz="2"/>
              <w:left w:val="single" w:color="BFBFBF" w:sz="2"/>
              <w:bottom w:val="single" w:color="BFBFBF" w:sz="2"/>
              <w:right w:val="single" w:color="BFBFBF" w:sz="2"/>
            </w:tcBorders>
            <w:shd w:fill="EAF1FB" w:val="clear"/>
            <w:tcMar>
              <w:top w:type="dxa" w:w="80"/>
              <w:left w:type="dxa" w:w="120"/>
              <w:bottom w:type="dxa" w:w="80"/>
              <w:right w:type="dxa" w:w="120"/>
            </w:tcMar>
          </w:tcPr>
          <w:p>
            <w:r>
              <w:rPr>
                <w:color w:val="262626"/>
                <w:sz w:val="20"/>
                <w:szCs w:val="20"/>
              </w:rPr>
              <w:t xml:space="preserve">157,205</w:t>
            </w:r>
          </w:p>
        </w:tc>
      </w:tr>
      <w:tr>
        <w:tc>
          <w:tcPr>
            <w:tcW w:type="dxa" w:w="5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Time steps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tcPr>
          <w:p>
            <w:r>
              <w:rPr>
                <w:color w:val="262626"/>
                <w:sz w:val="20"/>
                <w:szCs w:val="20"/>
              </w:rPr>
              <w:t xml:space="preserve">49, spaced ~2 weeks apart</w:t>
            </w:r>
          </w:p>
        </w:tc>
      </w:tr>
    </w:tbl>
    <w:p>
      <w:pPr>
        <w:pStyle w:val="Heading1"/>
        <w:pBdr>
          <w:bottom w:val="single" w:color="2E75B6" w:sz="6" w:space="4"/>
        </w:pBdr>
        <w:spacing w:after="160" w:before="360"/>
      </w:pPr>
      <w:r>
        <w:rPr>
          <w:b/>
          <w:bCs/>
          <w:color w:val="1F3864"/>
          <w:sz w:val="28"/>
          <w:szCs w:val="28"/>
        </w:rPr>
        <w:t xml:space="preserve">5. Class Imbalance and Why Accuracy Alone Is Not Sufficient</w:t>
      </w:r>
    </w:p>
    <w:p>
      <w:pPr>
        <w:spacing w:after="160" w:line="300"/>
      </w:pPr>
      <w:r>
        <w:rPr>
          <w:color w:val="262626"/>
          <w:sz w:val="22"/>
          <w:szCs w:val="22"/>
        </w:rPr>
        <w:t xml:space="preserve">Within the labelled subset of 46,564 nodes, only 9.8% are illicit and 90.2% are licit. This is a substantial class imbalance, and it has a direct consequence for how the model must be evaluated.</w:t>
      </w:r>
    </w:p>
    <w:p>
      <w:pPr>
        <w:pStyle w:val="ListParagraph"/>
        <w:numPr>
          <w:ilvl w:val="0"/>
          <w:numId w:val="2"/>
        </w:numPr>
        <w:spacing w:after="90" w:line="290"/>
      </w:pPr>
      <w:r>
        <w:rPr>
          <w:color w:val="262626"/>
          <w:sz w:val="22"/>
          <w:szCs w:val="22"/>
        </w:rPr>
        <w:t xml:space="preserve">A trivial model that predicts "licit" for every single transaction would already be correct about 90.2% of the time, purely because licit transactions dominate the labelled data — without ever detecting a single illicit transaction.</w:t>
      </w:r>
    </w:p>
    <w:p>
      <w:pPr>
        <w:pStyle w:val="ListParagraph"/>
        <w:numPr>
          <w:ilvl w:val="0"/>
          <w:numId w:val="2"/>
        </w:numPr>
        <w:spacing w:after="90" w:line="290"/>
      </w:pPr>
      <w:r>
        <w:rPr>
          <w:color w:val="262626"/>
          <w:sz w:val="22"/>
          <w:szCs w:val="22"/>
        </w:rPr>
        <w:t xml:space="preserve">Accuracy treats every correct prediction as equally valuable, but the two error types are not equally costly here. Missing an illicit transaction (a false negative) lets laundering activity through undetected, while wrongly flagging a licit transaction (a false positive) only costs a human reviewer a few minutes.</w:t>
      </w:r>
    </w:p>
    <w:p>
      <w:pPr>
        <w:pStyle w:val="ListParagraph"/>
        <w:numPr>
          <w:ilvl w:val="0"/>
          <w:numId w:val="2"/>
        </w:numPr>
        <w:spacing w:after="90" w:line="290"/>
      </w:pPr>
      <w:r>
        <w:rPr>
          <w:color w:val="262626"/>
          <w:sz w:val="22"/>
          <w:szCs w:val="22"/>
        </w:rPr>
        <w:t xml:space="preserve">Because of this, TraceNet reports precision, recall, and F1 for the illicit class specifically, and applies a weighted loss during training (a 9.25x penalty for misclassifying illicit transactions (42,019 licit ÷ 4,545 illicit = 9.245x)) so the model is not able to reach a high accuracy simply by defaulting to "licit".</w:t>
      </w:r>
    </w:p>
    <w:p>
      <w:pPr>
        <w:pStyle w:val="ListParagraph"/>
        <w:numPr>
          <w:ilvl w:val="0"/>
          <w:numId w:val="2"/>
        </w:numPr>
        <w:spacing w:after="90" w:line="290"/>
      </w:pPr>
      <w:r>
        <w:rPr>
          <w:color w:val="262626"/>
          <w:sz w:val="22"/>
          <w:szCs w:val="22"/>
        </w:rPr>
        <w:t xml:space="preserve">The three-zone confidence system used for deployment (auto-approve / human review / auto-block) exists for the same reason: a single accuracy number cannot tell us how well the model is balancing missed criminals against wrongly blocked legitimate customers, which is what the business actually cares about.</w:t>
      </w:r>
    </w:p>
    <w:p>
      <w:pPr>
        <w:spacing w:after="160" w:line="300"/>
      </w:pPr>
      <w:r>
        <w:rPr>
          <w:color w:val="262626"/>
          <w:sz w:val="22"/>
          <w:szCs w:val="22"/>
        </w:rPr>
        <w:t xml:space="preserve">In short, accuracy alone would reward a model for ignoring the minority class entirely; recall, precision, and F1 on the illicit class are the metrics that actually reflect whether TraceNet is doing its job.</w:t>
      </w:r>
    </w:p>
    <w:p>
      <w:pPr>
        <w:pStyle w:val="Heading1"/>
        <w:pBdr>
          <w:bottom w:val="single" w:color="2E75B6" w:sz="6" w:space="4"/>
        </w:pBdr>
        <w:spacing w:after="160" w:before="360"/>
      </w:pPr>
      <w:r>
        <w:rPr>
          <w:b/>
          <w:bCs/>
          <w:color w:val="1F3864"/>
          <w:sz w:val="28"/>
          <w:szCs w:val="28"/>
        </w:rPr>
        <w:t xml:space="preserve">6. Dataset Limitations</w:t>
      </w:r>
    </w:p>
    <w:p>
      <w:pPr>
        <w:spacing w:after="160" w:line="300"/>
      </w:pPr>
      <w:r>
        <w:rPr>
          <w:color w:val="262626"/>
          <w:sz w:val="22"/>
          <w:szCs w:val="22"/>
        </w:rPr>
        <w:t xml:space="preserve">The Elliptic dataset is a strong foundation for a first prototype, but it has real limitations that should be documented rather than glossed over.</w:t>
      </w:r>
    </w:p>
    <w:p>
      <w:pPr>
        <w:pStyle w:val="Heading2"/>
        <w:spacing w:after="100" w:before="240"/>
      </w:pPr>
      <w:r>
        <w:rPr>
          <w:b/>
          <w:bCs/>
          <w:color w:val="1F3864"/>
          <w:sz w:val="24"/>
          <w:szCs w:val="24"/>
        </w:rPr>
        <w:t xml:space="preserve">6.1 Cryptocurrency data is not the same as ordinary banking data</w:t>
      </w:r>
    </w:p>
    <w:p>
      <w:pPr>
        <w:pStyle w:val="ListParagraph"/>
        <w:numPr>
          <w:ilvl w:val="0"/>
          <w:numId w:val="2"/>
        </w:numPr>
        <w:spacing w:after="90" w:line="290"/>
      </w:pPr>
      <w:r>
        <w:rPr>
          <w:color w:val="262626"/>
          <w:sz w:val="22"/>
          <w:szCs w:val="22"/>
        </w:rPr>
        <w:t xml:space="preserve">Bitcoin transactions are pseudonymous, not identity-linked: a node in this graph is a transaction, not a bank account or a verified customer, so there is no direct analogue to KYC (know-your-customer) identity fields that a banking AML system would normally have.</w:t>
      </w:r>
    </w:p>
    <w:p>
      <w:pPr>
        <w:pStyle w:val="ListParagraph"/>
        <w:numPr>
          <w:ilvl w:val="0"/>
          <w:numId w:val="2"/>
        </w:numPr>
        <w:spacing w:after="90" w:line="290"/>
      </w:pPr>
      <w:r>
        <w:rPr>
          <w:color w:val="262626"/>
          <w:sz w:val="22"/>
          <w:szCs w:val="22"/>
        </w:rPr>
        <w:t xml:space="preserve">The graph structure itself differs from a banking transaction network: Bitcoin's UTXO (unspent transaction output) model means a single transaction can have many inputs and many outputs, which does not map one-to-one onto a simple "account A pays account B" relationship used in most banking rails.</w:t>
      </w:r>
    </w:p>
    <w:p>
      <w:pPr>
        <w:pStyle w:val="ListParagraph"/>
        <w:numPr>
          <w:ilvl w:val="0"/>
          <w:numId w:val="2"/>
        </w:numPr>
        <w:spacing w:after="90" w:line="290"/>
      </w:pPr>
      <w:r>
        <w:rPr>
          <w:color w:val="262626"/>
          <w:sz w:val="22"/>
          <w:szCs w:val="22"/>
        </w:rPr>
        <w:t xml:space="preserve">Blockchain transactions are public and immutable by design, whereas banking transactions are private and can, in some cases, be reversed or amended — this changes both what evidence a model can use and how conservative a wrong prediction needs to be.</w:t>
      </w:r>
    </w:p>
    <w:p>
      <w:pPr>
        <w:pStyle w:val="ListParagraph"/>
        <w:numPr>
          <w:ilvl w:val="0"/>
          <w:numId w:val="2"/>
        </w:numPr>
        <w:spacing w:after="90" w:line="290"/>
      </w:pPr>
      <w:r>
        <w:rPr>
          <w:color w:val="262626"/>
          <w:sz w:val="22"/>
          <w:szCs w:val="22"/>
        </w:rPr>
        <w:t xml:space="preserve">Bitcoin activity patterns (fee dynamics, transaction batching, time-step clustering approximately every two weeks) are specific to how the Bitcoin network and this dataset were constructed, and should not be assumed to transfer directly to other cryptocurrencies or to fiat banking rails without validation.</w:t>
      </w:r>
    </w:p>
    <w:p>
      <w:pPr>
        <w:pStyle w:val="Heading2"/>
        <w:spacing w:after="100" w:before="240"/>
      </w:pPr>
      <w:r>
        <w:rPr>
          <w:b/>
          <w:bCs/>
          <w:color w:val="1F3864"/>
          <w:sz w:val="24"/>
          <w:szCs w:val="24"/>
        </w:rPr>
        <w:t xml:space="preserve">6.2 Labelling and coverage limitations</w:t>
      </w:r>
    </w:p>
    <w:p>
      <w:pPr>
        <w:pStyle w:val="ListParagraph"/>
        <w:numPr>
          <w:ilvl w:val="0"/>
          <w:numId w:val="2"/>
        </w:numPr>
        <w:spacing w:after="90" w:line="290"/>
      </w:pPr>
      <w:r>
        <w:rPr>
          <w:color w:val="262626"/>
          <w:sz w:val="22"/>
          <w:szCs w:val="22"/>
        </w:rPr>
        <w:t xml:space="preserve">Only 46,564 of 203,769 nodes (about 23%) carry a confirmed label; the remaining 77% are unknown, not confirmed-licit. Treating "unknown" as "probably licit" during evaluation would misrepresent the model's real-world performance and is deliberately avoided by training and testing only on labelled nodes.</w:t>
      </w:r>
    </w:p>
    <w:p>
      <w:pPr>
        <w:pStyle w:val="ListParagraph"/>
        <w:numPr>
          <w:ilvl w:val="0"/>
          <w:numId w:val="2"/>
        </w:numPr>
        <w:spacing w:after="90" w:line="290"/>
      </w:pPr>
      <w:r>
        <w:rPr>
          <w:color w:val="262626"/>
          <w:sz w:val="22"/>
          <w:szCs w:val="22"/>
        </w:rPr>
        <w:t xml:space="preserve">The illicit/licit labels reflect determinations made by Elliptic's analysts at the time the dataset was built; they are not a live ground truth and will not reflect laundering techniques, actors, or services that emerged after the dataset was published.</w:t>
      </w:r>
    </w:p>
    <w:p>
      <w:pPr>
        <w:pStyle w:val="ListParagraph"/>
        <w:numPr>
          <w:ilvl w:val="0"/>
          <w:numId w:val="2"/>
        </w:numPr>
        <w:spacing w:after="90" w:line="290"/>
      </w:pPr>
      <w:r>
        <w:rPr>
          <w:color w:val="262626"/>
          <w:sz w:val="22"/>
          <w:szCs w:val="22"/>
        </w:rPr>
        <w:t xml:space="preserve">No edges exist across time steps, so any laundering pattern that plays out over a period longer than a single ~3-hour window within a time step is not fully captured in the graph structure as provided.</w:t>
      </w:r>
    </w:p>
    <w:p>
      <w:pPr>
        <w:pStyle w:val="Heading2"/>
        <w:spacing w:after="100" w:before="240"/>
      </w:pPr>
      <w:r>
        <w:rPr>
          <w:b/>
          <w:bCs/>
          <w:color w:val="1F3864"/>
          <w:sz w:val="24"/>
          <w:szCs w:val="24"/>
        </w:rPr>
        <w:t xml:space="preserve">6.3 Feature limitations</w:t>
      </w:r>
    </w:p>
    <w:p>
      <w:pPr>
        <w:pStyle w:val="ListParagraph"/>
        <w:numPr>
          <w:ilvl w:val="0"/>
          <w:numId w:val="2"/>
        </w:numPr>
        <w:spacing w:after="90" w:line="290"/>
      </w:pPr>
      <w:r>
        <w:rPr>
          <w:color w:val="262626"/>
          <w:sz w:val="22"/>
          <w:szCs w:val="22"/>
        </w:rPr>
        <w:t xml:space="preserve">Because Elliptic does not publicly document the exact meaning of each of the 166 features, TraceNet cannot currently produce a feature-level explanation of a prediction (e.g. "flagged because of unusually high fan-out") without first verifying that interpretation against Elliptic's documented feature categories — this report does not assert any such interpretation as fact.</w:t>
      </w:r>
    </w:p>
    <w:p>
      <w:pPr>
        <w:pStyle w:val="ListParagraph"/>
        <w:numPr>
          <w:ilvl w:val="0"/>
          <w:numId w:val="2"/>
        </w:numPr>
        <w:spacing w:after="90" w:line="290"/>
      </w:pPr>
      <w:r>
        <w:rPr>
          <w:color w:val="262626"/>
          <w:sz w:val="22"/>
          <w:szCs w:val="22"/>
        </w:rPr>
        <w:t xml:space="preserve">Any additional feature engineering built on top of the raw 166 columns is necessarily built on categories (local vs. aggregated), not on verified per-column meaning, and must be presented as a modelling assumption in later reports, not as a documented dataset property.</w:t>
      </w:r>
    </w:p>
    <w:tbl>
      <w:tblPr>
        <w:tblW w:type="pct" w:w="100%"/>
        <w:tblBorders>
          <w:top w:val="single" w:color="2E75B6" w:sz="8"/>
          <w:left w:val="single" w:color="2E75B6" w:sz="8"/>
          <w:bottom w:val="single" w:color="2E75B6" w:sz="8"/>
          <w:right w:val="single" w:color="2E75B6" w:sz="8"/>
          <w:insideH w:val="none" w:color="FFFFFF" w:sz="0"/>
          <w:insideV w:val="none" w:color="FFFFFF" w:sz="0"/>
        </w:tblBorders>
      </w:tblPr>
      <w:tblGrid>
        <w:gridCol w:w="100"/>
      </w:tblGrid>
      <w:tr>
        <w:tc>
          <w:tcPr>
            <w:shd w:fill="EAF1FB" w:val="clear"/>
            <w:tcMar>
              <w:top w:type="dxa" w:w="160"/>
              <w:left w:type="dxa" w:w="200"/>
              <w:bottom w:type="dxa" w:w="160"/>
              <w:right w:type="dxa" w:w="200"/>
            </w:tcMar>
          </w:tcPr>
          <w:p>
            <w:pPr>
              <w:spacing w:after="100"/>
            </w:pPr>
            <w:r>
              <w:rPr>
                <w:b/>
                <w:bCs/>
                <w:color w:val="1F3864"/>
                <w:sz w:val="22"/>
                <w:szCs w:val="22"/>
              </w:rPr>
              <w:t xml:space="preserve">Summary — what is verified vs. assumed in this report</w:t>
            </w:r>
          </w:p>
          <w:p>
            <w:pPr>
              <w:spacing w:after="60" w:line="280"/>
            </w:pPr>
            <w:r>
              <w:rPr>
                <w:color w:val="262626"/>
                <w:sz w:val="21"/>
                <w:szCs w:val="21"/>
              </w:rPr>
              <w:t xml:space="preserve">•  Verified (from Elliptic's published documentation and our own data-loading output): node count, edge count, feature count, label counts and proportions, number of time steps, time-step spacing, absence of cross-time-step edges, and the broad local/aggregated feature categorisation.</w:t>
            </w:r>
          </w:p>
          <w:p>
            <w:pPr>
              <w:spacing w:after="60" w:line="280"/>
            </w:pPr>
            <w:r>
              <w:rPr>
                <w:color w:val="262626"/>
                <w:sz w:val="21"/>
                <w:szCs w:val="21"/>
              </w:rPr>
              <w:t xml:space="preserve">•  Assumed / interpretive (clearly flagged wherever it appears): any claim about what a specific anonymized feature measures, and any statement about how far Bitcoin-specific patterns generalise to other cryptocurrencies or to traditional banking data.</w:t>
            </w:r>
          </w:p>
          <w:p>
            <w:pPr>
              <w:spacing w:after="60" w:line="280"/>
            </w:pPr>
            <w:r>
              <w:rPr>
                <w:color w:val="262626"/>
                <w:sz w:val="21"/>
                <w:szCs w:val="21"/>
              </w:rPr>
              <w:t xml:space="preserve">•  Not yet done: no feature-level semantic labelling or cross-domain (banking) validation has been performed for this prototype; both are listed here as future work, not as capabilities of the current model.</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VIT Bhopal  •  DSN2098  •  August 2026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TraceNet v2  |  Problem Definition &amp; Dataset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2026-08-29T09:04:42.778Z</dcterms:created>
  <dcterms:modified xsi:type="dcterms:W3CDTF">2026-08-29T09:04:42.789Z</dcterms:modified>
</cp:coreProperties>
</file>

<file path=docProps/custom.xml><?xml version="1.0" encoding="utf-8"?>
<Properties xmlns="http://schemas.openxmlformats.org/officeDocument/2006/custom-properties" xmlns:vt="http://schemas.openxmlformats.org/officeDocument/2006/docPropsVTypes"/>
</file>