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0"/>
        </w:rPr>
        <w:t>Selective Test-Time Adaptation and Runtime Safeguarding for Histopathology under Cross-Hospital Domain Shift</w:t>
      </w:r>
    </w:p>
    <w:p>
      <w:pPr>
        <w:spacing w:before="0" w:after="240"/>
      </w:pPr>
      <w:r>
        <w:rPr>
          <w:color w:val="2E6171"/>
          <w:sz w:val="24"/>
        </w:rPr>
        <w:t>A Longitudinal Reliability Framework and Multi-Seed Investigation on Camelyon17-WILDS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2592"/>
            <w:shd w:fill="F1F5F9"/>
            <w:tcMar>
              <w:top w:w="50" w:type="dxa"/>
              <w:bottom w:w="50" w:type="dxa"/>
              <w:left w:w="100" w:type="dxa"/>
              <w:right w:w="100" w:type="dxa"/>
            </w:tcMar>
          </w:tcPr>
          <w:p>
            <w:pPr>
              <w:spacing w:after="0"/>
            </w:pPr>
            <w:r>
              <w:rPr>
                <w:b/>
                <w:color w:val="1B365D"/>
                <w:sz w:val="18"/>
              </w:rPr>
              <w:t>Author</w:t>
            </w:r>
          </w:p>
        </w:tc>
        <w:tc>
          <w:tcPr>
            <w:tcW w:type="dxa" w:w="6768"/>
            <w:shd w:fill="FFFFFF"/>
            <w:tcMar>
              <w:top w:w="50" w:type="dxa"/>
              <w:bottom w:w="50" w:type="dxa"/>
              <w:left w:w="100" w:type="dxa"/>
              <w:right w:w="100" w:type="dxa"/>
            </w:tcMar>
          </w:tcPr>
          <w:p>
            <w:pPr>
              <w:spacing w:after="0" w:line="264" w:lineRule="auto"/>
            </w:pPr>
            <w:r>
              <w:rPr>
                <w:color w:val="1E1E1E"/>
                <w:sz w:val="18"/>
              </w:rPr>
              <w:t>Avinash Reddy Cheerapareddy</w:t>
            </w:r>
          </w:p>
        </w:tc>
      </w:tr>
      <w:tr>
        <w:tc>
          <w:tcPr>
            <w:tcW w:type="dxa" w:w="2592"/>
            <w:shd w:fill="F1F5F9"/>
            <w:tcMar>
              <w:top w:w="50" w:type="dxa"/>
              <w:bottom w:w="50" w:type="dxa"/>
              <w:left w:w="100" w:type="dxa"/>
              <w:right w:w="100" w:type="dxa"/>
            </w:tcMar>
          </w:tcPr>
          <w:p>
            <w:pPr>
              <w:spacing w:after="0"/>
            </w:pPr>
            <w:r>
              <w:rPr>
                <w:b/>
                <w:color w:val="1B365D"/>
                <w:sz w:val="18"/>
              </w:rPr>
              <w:t>Affiliation</w:t>
            </w:r>
          </w:p>
        </w:tc>
        <w:tc>
          <w:tcPr>
            <w:tcW w:type="dxa" w:w="6768"/>
            <w:shd w:fill="FFFFFF"/>
            <w:tcMar>
              <w:top w:w="50" w:type="dxa"/>
              <w:bottom w:w="50" w:type="dxa"/>
              <w:left w:w="100" w:type="dxa"/>
              <w:right w:w="100" w:type="dxa"/>
            </w:tcMar>
          </w:tcPr>
          <w:p>
            <w:pPr>
              <w:spacing w:after="0" w:line="264" w:lineRule="auto"/>
            </w:pPr>
            <w:r>
              <w:rPr>
                <w:color w:val="1E1E1E"/>
                <w:sz w:val="18"/>
              </w:rPr>
              <w:t>Department of Computer Science and Engineering</w:t>
              <w:br/>
              <w:t>SRM University-AP, Amaravathi, Andhra Pradesh, India</w:t>
            </w:r>
          </w:p>
        </w:tc>
      </w:tr>
      <w:tr>
        <w:tc>
          <w:tcPr>
            <w:tcW w:type="dxa" w:w="2592"/>
            <w:shd w:fill="F1F5F9"/>
            <w:tcMar>
              <w:top w:w="50" w:type="dxa"/>
              <w:bottom w:w="50" w:type="dxa"/>
              <w:left w:w="100" w:type="dxa"/>
              <w:right w:w="100" w:type="dxa"/>
            </w:tcMar>
          </w:tcPr>
          <w:p>
            <w:pPr>
              <w:spacing w:after="0"/>
            </w:pPr>
            <w:r>
              <w:rPr>
                <w:b/>
                <w:color w:val="1B365D"/>
                <w:sz w:val="18"/>
              </w:rPr>
              <w:t>Program &amp; Date</w:t>
            </w:r>
          </w:p>
        </w:tc>
        <w:tc>
          <w:tcPr>
            <w:tcW w:type="dxa" w:w="6768"/>
            <w:shd w:fill="FFFFFF"/>
            <w:tcMar>
              <w:top w:w="50" w:type="dxa"/>
              <w:bottom w:w="50" w:type="dxa"/>
              <w:left w:w="100" w:type="dxa"/>
              <w:right w:w="100" w:type="dxa"/>
            </w:tcMar>
          </w:tcPr>
          <w:p>
            <w:pPr>
              <w:spacing w:after="0" w:line="264" w:lineRule="auto"/>
            </w:pPr>
            <w:r>
              <w:rPr>
                <w:color w:val="1E1E1E"/>
                <w:sz w:val="18"/>
              </w:rPr>
              <w:t>Undergraduate Research Opportunities Program (UROP) | October 2026</w:t>
            </w:r>
          </w:p>
        </w:tc>
      </w:tr>
      <w:tr>
        <w:tc>
          <w:tcPr>
            <w:tcW w:type="dxa" w:w="2592"/>
            <w:shd w:fill="F1F5F9"/>
            <w:tcMar>
              <w:top w:w="50" w:type="dxa"/>
              <w:bottom w:w="50" w:type="dxa"/>
              <w:left w:w="100" w:type="dxa"/>
              <w:right w:w="100" w:type="dxa"/>
            </w:tcMar>
          </w:tcPr>
          <w:p>
            <w:pPr>
              <w:spacing w:after="0"/>
            </w:pPr>
            <w:r>
              <w:rPr>
                <w:b/>
                <w:color w:val="1B365D"/>
                <w:sz w:val="18"/>
              </w:rPr>
              <w:t>Correspondence</w:t>
            </w:r>
          </w:p>
        </w:tc>
        <w:tc>
          <w:tcPr>
            <w:tcW w:type="dxa" w:w="6768"/>
            <w:shd w:fill="FFFFFF"/>
            <w:tcMar>
              <w:top w:w="50" w:type="dxa"/>
              <w:bottom w:w="50" w:type="dxa"/>
              <w:left w:w="100" w:type="dxa"/>
              <w:right w:w="100" w:type="dxa"/>
            </w:tcMar>
          </w:tcPr>
          <w:p>
            <w:pPr>
              <w:spacing w:after="0" w:line="264" w:lineRule="auto"/>
            </w:pPr>
            <w:r>
              <w:rPr>
                <w:color w:val="1E1E1E"/>
                <w:sz w:val="18"/>
              </w:rPr>
              <w:t>avinashreddy.crp@gmail.com / cheerapareddy.avinash@alumni.ee</w:t>
            </w:r>
          </w:p>
        </w:tc>
      </w:tr>
    </w:tbl>
    <w:p>
      <w:pPr>
        <w:spacing w:before="160" w:after="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B365D"/>
              <w:top w:val="none"/>
              <w:bottom w:val="none"/>
              <w:right w:val="none"/>
            </w:tcBorders>
          </w:tcPr>
          <w:p>
            <w:pPr>
              <w:spacing w:before="0" w:after="0" w:line="276" w:lineRule="auto"/>
            </w:pPr>
            <w:r>
              <w:rPr>
                <w:b/>
                <w:color w:val="1B365D"/>
                <w:sz w:val="19"/>
              </w:rPr>
              <w:t xml:space="preserve">[ABSTRACT] </w:t>
            </w:r>
            <w:r>
              <w:rPr>
                <w:color w:val="282828"/>
                <w:sz w:val="19"/>
              </w:rPr>
              <w:t>Deep learning models deployed in computational histopathology face severe out-of-distribution performance degradation when transferred across clinical healthcare centers. Unsupervised Test-Time Adaptation (TTA) via entropy minimization (Tent) updates parameters online using unlabeled target batches. However, in our five-seed study on Camelyon17-WILDS, unconstrained Tent exhibits catastrophic instability: collapsing completely on 2 of 5 seeds (AUROC dropping from 0.930 to 0.338, sensitivity &lt; 3%). We introduce SafeAdapt-TTA, coupling hard selective uncertainty gating with strict parameter displacement bounding (||Delta theta||_inf &lt;= 0.05), numerical gradient checks, atomic rollback, and whole-slide boundary resets. We discover that in single-logit binary classification, Monte Carlo dropout predictive variance and max-softmax confidence induce near-identical patch rankings (rho = -0.9917), enabling deterministic confidence gating to match MC-dropout accuracy while eliminating a 3.55x latency penalty. Selective gating reduces harmful adaptation ~25-fold (from 18.7% to 0.7%) and consistently improves F1 (+0.023, 95% CI [0.010, 0.036]). Crucially, under frozen pre-adaptation streaming evaluation on an external target domain (Hospital 2; 10 WSIs, 1,280 patches), adaptation yielded slight negative transfer (Macro AUROC 0.9308 -&gt; 0.9300, F1 0.7840 -&gt; 0.7822) due to confirmation bias on outlier slides. We establish a scientific firewall delineating what the findings establish, backed by a 120-test automated regression suite.</w:t>
            </w:r>
          </w:p>
        </w:tc>
      </w:tr>
    </w:tbl>
    <w:p>
      <w:pPr>
        <w:spacing w:before="0" w:after="80"/>
      </w:pPr>
    </w:p>
    <w:p>
      <w:pPr>
        <w:spacing w:before="0" w:after="80" w:line="276" w:lineRule="auto"/>
      </w:pPr>
      <w:r>
        <w:rPr>
          <w:b/>
          <w:color w:val="1E1E1E"/>
        </w:rPr>
        <w:t xml:space="preserve">Keywords: </w:t>
      </w:r>
      <w:r>
        <w:rPr>
          <w:color w:val="282828"/>
        </w:rPr>
        <w:t>Keywords: Test-Time Adaptation, Digital Pathology, Camelyon17-WILDS, Domain Shift, Uncertainty Estimation, Model Reliability, SafeAdapt, Confirmation Bias, Longitudinal Evaluation.</w:t>
      </w:r>
    </w:p>
    <w:p>
      <w:pPr>
        <w:keepNext/>
        <w:spacing w:before="320" w:after="100"/>
        <w:pBdr>
          <w:bottom w:val="single" w:sz="6" w:space="4" w:color="1B365D"/>
        </w:pBdr>
      </w:pPr>
      <w:r>
        <w:rPr>
          <w:b/>
          <w:color w:val="1B365D"/>
          <w:sz w:val="30"/>
        </w:rPr>
        <w:t>1 Introduction</w:t>
      </w:r>
    </w:p>
    <w:p>
      <w:pPr>
        <w:keepNext/>
        <w:spacing w:before="240" w:after="80"/>
      </w:pPr>
      <w:r>
        <w:rPr>
          <w:b/>
          <w:color w:val="2E6171"/>
          <w:sz w:val="25"/>
        </w:rPr>
        <w:t>1.1 Background</w:t>
      </w:r>
    </w:p>
    <w:p>
      <w:pPr>
        <w:spacing w:before="0" w:after="80" w:line="276" w:lineRule="auto"/>
      </w:pPr>
      <w:r>
        <w:rPr>
          <w:color w:val="282828"/>
        </w:rPr>
        <w:t>Digital pathology is undergoing rapid clinical transformation, driven by high-throughput whole-slide optical scanners and deep convolutional and transformer architectures for computer-aided cancer diagnosis, grading, and staging (Bandi et al., 2018). In clinical oncology, identifying metastatic breast adenocarcinoma foci within sentinel lymph node sections is essential for assigning pathological tumor-node-metastasis (pTNM) stages, which directly dictate whether patients undergo adjuvant chemotherapy, regional radiation, or axillary lymph node dissection. However, deep neural networks trained in a controlled host institution frequently suffer catastrophic performance degradation when deployed across external hospital networks (Koh et al., 2021). Variations in microtome sectioning thickness, slide mounting reagents, hematoxylin and eosin (H&amp;E) dye chemical formulations, automated staining bath dwell times, and scanner optical properties introduce pervasive out-of-distribution (OOD) domain shifts.</w:t>
      </w:r>
    </w:p>
    <w:p>
      <w:pPr>
        <w:keepNext/>
        <w:spacing w:before="240" w:after="80"/>
      </w:pPr>
      <w:r>
        <w:rPr>
          <w:b/>
          <w:color w:val="2E6171"/>
          <w:sz w:val="25"/>
        </w:rPr>
        <w:t>1.2 Motivation</w:t>
      </w:r>
    </w:p>
    <w:p>
      <w:pPr>
        <w:spacing w:before="0" w:after="80" w:line="276" w:lineRule="auto"/>
      </w:pPr>
      <w:r>
        <w:rPr>
          <w:color w:val="282828"/>
        </w:rPr>
        <w:t>Test-Time Adaptation (TTA) has emerged as an attractive paradigm for autonomous domain generalization (Wang et al., 2021; Liang et al., 2023). By updating a subset of source model parameters (typically the scale and bias affine parameters of Batch Normalization layers) online using incoming unlabeled target batches, TTA aligns target feature statistics with source representations without accessing historical training data. However, medical imaging data violates key assumptions of stationary natural vision: extreme tissue heterogeneity, severe class imbalance (normal stroma vastly outnumbers micrometastases), and biological artifacts.</w:t>
      </w:r>
    </w:p>
    <w:p>
      <w:pPr>
        <w:keepNext/>
        <w:spacing w:before="240" w:after="80"/>
      </w:pPr>
      <w:r>
        <w:rPr>
          <w:b/>
          <w:color w:val="2E6171"/>
          <w:sz w:val="25"/>
        </w:rPr>
        <w:t>1.3 Problem Statement</w:t>
      </w:r>
    </w:p>
    <w:p>
      <w:pPr>
        <w:spacing w:before="0" w:after="80" w:line="276" w:lineRule="auto"/>
      </w:pPr>
      <w:r>
        <w:rPr>
          <w:color w:val="282828"/>
        </w:rPr>
        <w:t>Despite theoretical promises, applying unsupervised entropy minimization to clinical histopathology reveals two severe vulnerabilities:</w:t>
        <w:br/>
        <w:t>1. Representation Collapse &amp; Attractor States: Under unconstrained entropy minimization, neural networks rapidly converge to trivial single-class degenerate solutions (predicting 100% of tissue as normal stroma) to achieve mathematical zero entropy.</w:t>
        <w:br/>
        <w:t>2. Confirmation Bias &amp; Error Amplification: Under real clinical stain shifts, models frequently output high-confidence false-positive predictions. Minimizing entropy on erroneous confident predictions reinforces decision boundary errors.</w:t>
        <w:br/>
        <w:t>3. Computational Inefficiency: Evaluating 20 stochastic Monte Carlo dropout passes per patch imposes an unsustainable 3.5x to 5x latency penalty in high-throughput clinical scanning workflows.</w:t>
      </w:r>
    </w:p>
    <w:p>
      <w:pPr>
        <w:keepNext/>
        <w:spacing w:before="240" w:after="80"/>
      </w:pPr>
      <w:r>
        <w:rPr>
          <w:b/>
          <w:color w:val="2E6171"/>
          <w:sz w:val="25"/>
        </w:rPr>
        <w:t>1.4 Research Questions</w:t>
      </w:r>
    </w:p>
    <w:p>
      <w:pPr>
        <w:spacing w:before="0" w:after="80" w:line="276" w:lineRule="auto"/>
      </w:pPr>
      <w:r>
        <w:rPr>
          <w:color w:val="282828"/>
        </w:rPr>
        <w:t>This research monograph addresses the following central scientific question:</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0" w:space="0" w:color="2E6171"/>
              <w:top w:val="none"/>
              <w:bottom w:val="none"/>
              <w:right w:val="none"/>
            </w:tcBorders>
          </w:tcPr>
          <w:p>
            <w:pPr>
              <w:spacing w:before="0" w:after="0" w:line="276" w:lineRule="auto"/>
            </w:pPr>
            <w:r>
              <w:rPr>
                <w:b/>
                <w:color w:val="1B365D"/>
                <w:sz w:val="19"/>
              </w:rPr>
              <w:t xml:space="preserve">[PRIMARY RESEARCH QUESTION] </w:t>
            </w:r>
            <w:r>
              <w:rPr>
                <w:color w:val="282828"/>
                <w:sz w:val="19"/>
              </w:rPr>
              <w:t>Can selective uncertainty gating and runtime parameter safeguarding eliminate representation collapse and harmful adaptation in digital pathology under cross-hospital domain shifts, and does unsupervised adaptation translate into positive diagnostic transfer on external clinical target cohorts?</w:t>
            </w:r>
          </w:p>
        </w:tc>
      </w:tr>
    </w:tbl>
    <w:p>
      <w:pPr>
        <w:spacing w:before="0" w:after="80"/>
      </w:pPr>
    </w:p>
    <w:p>
      <w:pPr>
        <w:spacing w:before="0" w:after="80" w:line="276" w:lineRule="auto"/>
      </w:pPr>
      <w:r>
        <w:rPr>
          <w:color w:val="282828"/>
        </w:rPr>
        <w:t>RQ1 (Collapse Dynamics): Does unconstrained entropy minimization (Tent) exhibit reproducible representation collapse under multi-seed evaluation on Camelyon17-WILDS?</w:t>
        <w:br/>
        <w:t>RQ2 (Harm Reduction): Does selective gating based on uncertainty thresholds calibrated on a held-out institution significantly cut harmful adaptation and improve F1 across independent seeds?</w:t>
        <w:br/>
        <w:t>RQ3 (Gating Equivalence &amp; Efficiency): Does epistemic uncertainty estimation via Monte Carlo dropout provide meaningful patch-selection discrimination beyond deterministic softmax confidence in single-logit binary histopathology classification?</w:t>
        <w:br/>
        <w:t>RQ4 (Selection vs. Step Budget): Are stability gains attributable to the selective identification of reliable adaptation signals, or merely a trivial consequence of taking fewer gradient steps (matched-coverage random control)?</w:t>
        <w:br/>
        <w:t>RQ5 (Runtime Parameter Safeguards): Can a runtime controller enforcing explicit parameter displacement bounds (||Delta theta||_inf &lt;= 0.05) and slide-boundary resets guarantee numerical stability and eliminate inter-patient contamination?</w:t>
        <w:br/>
        <w:t>RQ6 (External Target Transfer): Does selective test-time adaptation improve diagnostic metrics relative to a frozen source model when evaluated on an unseen external hospital under a leak-free streaming inference protocol?</w:t>
      </w:r>
    </w:p>
    <w:p>
      <w:pPr>
        <w:keepNext/>
        <w:spacing w:before="240" w:after="80"/>
      </w:pPr>
      <w:r>
        <w:rPr>
          <w:b/>
          <w:color w:val="2E6171"/>
          <w:sz w:val="25"/>
        </w:rPr>
        <w:t>1.5 Contributions</w:t>
      </w:r>
    </w:p>
    <w:p>
      <w:pPr>
        <w:spacing w:before="0" w:after="80" w:line="276" w:lineRule="auto"/>
      </w:pPr>
      <w:r>
        <w:rPr>
          <w:color w:val="282828"/>
        </w:rPr>
        <w:t>1. Multi-Seed Empirical Demonstration of TTA Instability: Documenting that unconstrained Tent collapses completely on 2 of 5 seeds (AUROC 0.930 -&gt; 0.338, sensitivity &lt; 3%).</w:t>
        <w:br/>
        <w:t>2. SafeAdapt-TTA Architectural Controller: Designing and verifying a runtime controller integrating selective gating, numerical gradient auditing, atomic rollback, and whole-slide resets.</w:t>
        <w:br/>
        <w:t>3. Resolution of Binary Gating Equivalence: Mathematically and empirically proving (rho = -0.9917) that MC-dropout predictive variance and softmax confidence induce near-identical rankings, enabling compute-frugal deployment.</w:t>
        <w:br/>
        <w:t>4. Matched-Coverage Causal Controls: Proving that random gating still collapses, demonstrating that stability depends strictly on sample selection quality.</w:t>
        <w:br/>
        <w:t>5. Transparent Reporting of External Target Negative Transfer: Demonstrating on Hospital 2 that adaptation yielded slight negative transfer relative to frozen source due to confirmation bias on outlier slides.</w:t>
        <w:br/>
        <w:t>6. Complete Cryptographic Reproducibility Package: Releasing a 120-test automated regression suite (100% passing rate) and bit-exact table verification scripts (54/54 passed checks).</w:t>
      </w:r>
    </w:p>
    <w:p>
      <w:pPr>
        <w:keepNext/>
        <w:spacing w:before="320" w:after="100"/>
        <w:pBdr>
          <w:bottom w:val="single" w:sz="6" w:space="4" w:color="1B365D"/>
        </w:pBdr>
      </w:pPr>
      <w:r>
        <w:rPr>
          <w:b/>
          <w:color w:val="1B365D"/>
          <w:sz w:val="30"/>
        </w:rPr>
        <w:t>2 Related Work &amp; Conceptual Positioning</w:t>
      </w:r>
    </w:p>
    <w:p>
      <w:pPr>
        <w:spacing w:before="0" w:after="80" w:line="276" w:lineRule="auto"/>
      </w:pPr>
      <w:r>
        <w:rPr>
          <w:color w:val="282828"/>
        </w:rPr>
        <w:t>Table 1 positions SafeAdapt-TTA within the landscape of related test-time adaptation, uncertainty estimation, and medical image generalization literature.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1584"/>
            <w:shd w:fill="1B365D"/>
            <w:tcMar>
              <w:top w:w="100" w:type="dxa"/>
              <w:bottom w:w="100" w:type="dxa"/>
              <w:left w:w="100" w:type="dxa"/>
              <w:right w:w="100" w:type="dxa"/>
            </w:tcMar>
          </w:tcPr>
          <w:p>
            <w:pPr>
              <w:spacing w:before="0" w:after="0"/>
              <w:jc w:val="left"/>
            </w:pPr>
            <w:r>
              <w:rPr>
                <w:b/>
                <w:color w:val="FFFFFF"/>
                <w:sz w:val="17"/>
              </w:rPr>
              <w:t>Research Line</w:t>
            </w:r>
          </w:p>
        </w:tc>
        <w:tc>
          <w:tcPr>
            <w:tcW w:type="dxa" w:w="1440"/>
            <w:shd w:fill="1B365D"/>
            <w:tcMar>
              <w:top w:w="100" w:type="dxa"/>
              <w:bottom w:w="100" w:type="dxa"/>
              <w:left w:w="100" w:type="dxa"/>
              <w:right w:w="100" w:type="dxa"/>
            </w:tcMar>
          </w:tcPr>
          <w:p>
            <w:pPr>
              <w:spacing w:before="0" w:after="0"/>
              <w:jc w:val="left"/>
            </w:pPr>
            <w:r>
              <w:rPr>
                <w:b/>
                <w:color w:val="FFFFFF"/>
                <w:sz w:val="17"/>
              </w:rPr>
              <w:t>Key Methods</w:t>
            </w:r>
          </w:p>
        </w:tc>
        <w:tc>
          <w:tcPr>
            <w:tcW w:type="dxa" w:w="1296"/>
            <w:shd w:fill="1B365D"/>
            <w:tcMar>
              <w:top w:w="100" w:type="dxa"/>
              <w:bottom w:w="100" w:type="dxa"/>
              <w:left w:w="100" w:type="dxa"/>
              <w:right w:w="100" w:type="dxa"/>
            </w:tcMar>
          </w:tcPr>
          <w:p>
            <w:pPr>
              <w:spacing w:before="0" w:after="0"/>
              <w:jc w:val="left"/>
            </w:pPr>
            <w:r>
              <w:rPr>
                <w:b/>
                <w:color w:val="FFFFFF"/>
                <w:sz w:val="17"/>
              </w:rPr>
              <w:t>Update Scope</w:t>
            </w:r>
          </w:p>
        </w:tc>
        <w:tc>
          <w:tcPr>
            <w:tcW w:type="dxa" w:w="1584"/>
            <w:shd w:fill="1B365D"/>
            <w:tcMar>
              <w:top w:w="100" w:type="dxa"/>
              <w:bottom w:w="100" w:type="dxa"/>
              <w:left w:w="100" w:type="dxa"/>
              <w:right w:w="100" w:type="dxa"/>
            </w:tcMar>
          </w:tcPr>
          <w:p>
            <w:pPr>
              <w:spacing w:before="0" w:after="0"/>
              <w:jc w:val="left"/>
            </w:pPr>
            <w:r>
              <w:rPr>
                <w:b/>
                <w:color w:val="FFFFFF"/>
                <w:sz w:val="17"/>
              </w:rPr>
              <w:t>Filtering Heuristic</w:t>
            </w:r>
          </w:p>
        </w:tc>
        <w:tc>
          <w:tcPr>
            <w:tcW w:type="dxa" w:w="1728"/>
            <w:shd w:fill="1B365D"/>
            <w:tcMar>
              <w:top w:w="100" w:type="dxa"/>
              <w:bottom w:w="100" w:type="dxa"/>
              <w:left w:w="100" w:type="dxa"/>
              <w:right w:w="100" w:type="dxa"/>
            </w:tcMar>
          </w:tcPr>
          <w:p>
            <w:pPr>
              <w:spacing w:before="0" w:after="0"/>
              <w:jc w:val="left"/>
            </w:pPr>
            <w:r>
              <w:rPr>
                <w:b/>
                <w:color w:val="FFFFFF"/>
                <w:sz w:val="17"/>
              </w:rPr>
              <w:t>Runtime Safeguards</w:t>
            </w:r>
          </w:p>
        </w:tc>
        <w:tc>
          <w:tcPr>
            <w:tcW w:type="dxa" w:w="1728"/>
            <w:shd w:fill="1B365D"/>
            <w:tcMar>
              <w:top w:w="100" w:type="dxa"/>
              <w:bottom w:w="100" w:type="dxa"/>
              <w:left w:w="100" w:type="dxa"/>
              <w:right w:w="100" w:type="dxa"/>
            </w:tcMar>
          </w:tcPr>
          <w:p>
            <w:pPr>
              <w:spacing w:before="0" w:after="0"/>
              <w:jc w:val="left"/>
            </w:pPr>
            <w:r>
              <w:rPr>
                <w:b/>
                <w:color w:val="FFFFFF"/>
                <w:sz w:val="17"/>
              </w:rPr>
              <w:t>Target Benchmark</w:t>
            </w:r>
          </w:p>
        </w:tc>
      </w:tr>
      <w:tr>
        <w:trPr>
          <w:cantSplit/>
        </w:trPr>
        <w:tc>
          <w:tcPr>
            <w:tcW w:type="dxa" w:w="1584"/>
            <w:shd w:fill="FFFFFF"/>
            <w:tcMar>
              <w:top w:w="70" w:type="dxa"/>
              <w:bottom w:w="70" w:type="dxa"/>
              <w:left w:w="100" w:type="dxa"/>
              <w:right w:w="100" w:type="dxa"/>
            </w:tcMar>
          </w:tcPr>
          <w:p>
            <w:pPr>
              <w:spacing w:before="0" w:after="0" w:line="264" w:lineRule="auto"/>
              <w:jc w:val="left"/>
            </w:pPr>
            <w:r>
              <w:rPr>
                <w:color w:val="282828"/>
                <w:sz w:val="16"/>
              </w:rPr>
              <w:t>General TTA</w:t>
            </w:r>
          </w:p>
        </w:tc>
        <w:tc>
          <w:tcPr>
            <w:tcW w:type="dxa" w:w="1440"/>
            <w:shd w:fill="FFFFFF"/>
            <w:tcMar>
              <w:top w:w="70" w:type="dxa"/>
              <w:bottom w:w="70" w:type="dxa"/>
              <w:left w:w="100" w:type="dxa"/>
              <w:right w:w="100" w:type="dxa"/>
            </w:tcMar>
          </w:tcPr>
          <w:p>
            <w:pPr>
              <w:spacing w:before="0" w:after="0" w:line="264" w:lineRule="auto"/>
              <w:jc w:val="left"/>
            </w:pPr>
            <w:r>
              <w:rPr>
                <w:color w:val="282828"/>
                <w:sz w:val="16"/>
              </w:rPr>
              <w:t>Tent (Wang 2021)</w:t>
            </w:r>
          </w:p>
        </w:tc>
        <w:tc>
          <w:tcPr>
            <w:tcW w:type="dxa" w:w="1296"/>
            <w:shd w:fill="FFFFFF"/>
            <w:tcMar>
              <w:top w:w="70" w:type="dxa"/>
              <w:bottom w:w="70" w:type="dxa"/>
              <w:left w:w="100" w:type="dxa"/>
              <w:right w:w="100" w:type="dxa"/>
            </w:tcMar>
          </w:tcPr>
          <w:p>
            <w:pPr>
              <w:spacing w:before="0" w:after="0" w:line="264" w:lineRule="auto"/>
              <w:jc w:val="left"/>
            </w:pPr>
            <w:r>
              <w:rPr>
                <w:color w:val="282828"/>
                <w:sz w:val="16"/>
              </w:rPr>
              <w:t>BN Affine</w:t>
            </w:r>
          </w:p>
        </w:tc>
        <w:tc>
          <w:tcPr>
            <w:tcW w:type="dxa" w:w="1584"/>
            <w:shd w:fill="FFFFFF"/>
            <w:tcMar>
              <w:top w:w="70" w:type="dxa"/>
              <w:bottom w:w="70" w:type="dxa"/>
              <w:left w:w="100" w:type="dxa"/>
              <w:right w:w="100" w:type="dxa"/>
            </w:tcMar>
          </w:tcPr>
          <w:p>
            <w:pPr>
              <w:spacing w:before="0" w:after="0" w:line="264" w:lineRule="auto"/>
              <w:jc w:val="left"/>
            </w:pPr>
            <w:r>
              <w:rPr>
                <w:color w:val="282828"/>
                <w:sz w:val="16"/>
              </w:rPr>
              <w:t>None (100% update)</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None</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Natural Vision (ImageNet-C)</w:t>
            </w:r>
          </w:p>
        </w:tc>
      </w:tr>
      <w:tr>
        <w:trPr>
          <w:cantSplit/>
        </w:trPr>
        <w:tc>
          <w:tcPr>
            <w:tcW w:type="dxa" w:w="1584"/>
            <w:shd w:fill="F8FAFC"/>
            <w:tcMar>
              <w:top w:w="70" w:type="dxa"/>
              <w:bottom w:w="70" w:type="dxa"/>
              <w:left w:w="100" w:type="dxa"/>
              <w:right w:w="100" w:type="dxa"/>
            </w:tcMar>
          </w:tcPr>
          <w:p>
            <w:pPr>
              <w:spacing w:before="0" w:after="0" w:line="264" w:lineRule="auto"/>
              <w:jc w:val="left"/>
            </w:pPr>
            <w:r>
              <w:rPr>
                <w:color w:val="282828"/>
                <w:sz w:val="16"/>
              </w:rPr>
              <w:t>Point-Filtered TTA</w:t>
            </w:r>
          </w:p>
        </w:tc>
        <w:tc>
          <w:tcPr>
            <w:tcW w:type="dxa" w:w="1440"/>
            <w:shd w:fill="F8FAFC"/>
            <w:tcMar>
              <w:top w:w="70" w:type="dxa"/>
              <w:bottom w:w="70" w:type="dxa"/>
              <w:left w:w="100" w:type="dxa"/>
              <w:right w:w="100" w:type="dxa"/>
            </w:tcMar>
          </w:tcPr>
          <w:p>
            <w:pPr>
              <w:spacing w:before="0" w:after="0" w:line="264" w:lineRule="auto"/>
              <w:jc w:val="left"/>
            </w:pPr>
            <w:r>
              <w:rPr>
                <w:color w:val="282828"/>
                <w:sz w:val="16"/>
              </w:rPr>
              <w:t>EATA (Niu 2022)</w:t>
            </w:r>
          </w:p>
        </w:tc>
        <w:tc>
          <w:tcPr>
            <w:tcW w:type="dxa" w:w="1296"/>
            <w:shd w:fill="F8FAFC"/>
            <w:tcMar>
              <w:top w:w="70" w:type="dxa"/>
              <w:bottom w:w="70" w:type="dxa"/>
              <w:left w:w="100" w:type="dxa"/>
              <w:right w:w="100" w:type="dxa"/>
            </w:tcMar>
          </w:tcPr>
          <w:p>
            <w:pPr>
              <w:spacing w:before="0" w:after="0" w:line="264" w:lineRule="auto"/>
              <w:jc w:val="left"/>
            </w:pPr>
            <w:r>
              <w:rPr>
                <w:color w:val="282828"/>
                <w:sz w:val="16"/>
              </w:rPr>
              <w:t>BN Affine</w:t>
            </w:r>
          </w:p>
        </w:tc>
        <w:tc>
          <w:tcPr>
            <w:tcW w:type="dxa" w:w="1584"/>
            <w:shd w:fill="F8FAFC"/>
            <w:tcMar>
              <w:top w:w="70" w:type="dxa"/>
              <w:bottom w:w="70" w:type="dxa"/>
              <w:left w:w="100" w:type="dxa"/>
              <w:right w:w="100" w:type="dxa"/>
            </w:tcMar>
          </w:tcPr>
          <w:p>
            <w:pPr>
              <w:spacing w:before="0" w:after="0" w:line="264" w:lineRule="auto"/>
              <w:jc w:val="left"/>
            </w:pPr>
            <w:r>
              <w:rPr>
                <w:color w:val="282828"/>
                <w:sz w:val="16"/>
              </w:rPr>
              <w:t>Point Entropy</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Fisher Regularizer</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Natural Vision</w:t>
            </w:r>
          </w:p>
        </w:tc>
      </w:tr>
      <w:tr>
        <w:trPr>
          <w:cantSplit/>
        </w:trPr>
        <w:tc>
          <w:tcPr>
            <w:tcW w:type="dxa" w:w="1584"/>
            <w:shd w:fill="FFFFFF"/>
            <w:tcMar>
              <w:top w:w="70" w:type="dxa"/>
              <w:bottom w:w="70" w:type="dxa"/>
              <w:left w:w="100" w:type="dxa"/>
              <w:right w:w="100" w:type="dxa"/>
            </w:tcMar>
          </w:tcPr>
          <w:p>
            <w:pPr>
              <w:spacing w:before="0" w:after="0" w:line="264" w:lineRule="auto"/>
              <w:jc w:val="left"/>
            </w:pPr>
            <w:r>
              <w:rPr>
                <w:color w:val="282828"/>
                <w:sz w:val="16"/>
              </w:rPr>
              <w:t>Sharpness-Aware TTA</w:t>
            </w:r>
          </w:p>
        </w:tc>
        <w:tc>
          <w:tcPr>
            <w:tcW w:type="dxa" w:w="1440"/>
            <w:shd w:fill="FFFFFF"/>
            <w:tcMar>
              <w:top w:w="70" w:type="dxa"/>
              <w:bottom w:w="70" w:type="dxa"/>
              <w:left w:w="100" w:type="dxa"/>
              <w:right w:w="100" w:type="dxa"/>
            </w:tcMar>
          </w:tcPr>
          <w:p>
            <w:pPr>
              <w:spacing w:before="0" w:after="0" w:line="264" w:lineRule="auto"/>
              <w:jc w:val="left"/>
            </w:pPr>
            <w:r>
              <w:rPr>
                <w:color w:val="282828"/>
                <w:sz w:val="16"/>
              </w:rPr>
              <w:t>SAR (Niu 2023)</w:t>
            </w:r>
          </w:p>
        </w:tc>
        <w:tc>
          <w:tcPr>
            <w:tcW w:type="dxa" w:w="1296"/>
            <w:shd w:fill="FFFFFF"/>
            <w:tcMar>
              <w:top w:w="70" w:type="dxa"/>
              <w:bottom w:w="70" w:type="dxa"/>
              <w:left w:w="100" w:type="dxa"/>
              <w:right w:w="100" w:type="dxa"/>
            </w:tcMar>
          </w:tcPr>
          <w:p>
            <w:pPr>
              <w:spacing w:before="0" w:after="0" w:line="264" w:lineRule="auto"/>
              <w:jc w:val="left"/>
            </w:pPr>
            <w:r>
              <w:rPr>
                <w:color w:val="282828"/>
                <w:sz w:val="16"/>
              </w:rPr>
              <w:t>BN Affine</w:t>
            </w:r>
          </w:p>
        </w:tc>
        <w:tc>
          <w:tcPr>
            <w:tcW w:type="dxa" w:w="1584"/>
            <w:shd w:fill="FFFFFF"/>
            <w:tcMar>
              <w:top w:w="70" w:type="dxa"/>
              <w:bottom w:w="70" w:type="dxa"/>
              <w:left w:w="100" w:type="dxa"/>
              <w:right w:w="100" w:type="dxa"/>
            </w:tcMar>
          </w:tcPr>
          <w:p>
            <w:pPr>
              <w:spacing w:before="0" w:after="0" w:line="264" w:lineRule="auto"/>
              <w:jc w:val="left"/>
            </w:pPr>
            <w:r>
              <w:rPr>
                <w:color w:val="282828"/>
                <w:sz w:val="16"/>
              </w:rPr>
              <w:t>Gradient Norm Threshold</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State Reset</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Natural Vision</w:t>
            </w:r>
          </w:p>
        </w:tc>
      </w:tr>
      <w:tr>
        <w:trPr>
          <w:cantSplit/>
        </w:trPr>
        <w:tc>
          <w:tcPr>
            <w:tcW w:type="dxa" w:w="1584"/>
            <w:shd w:fill="F8FAFC"/>
            <w:tcMar>
              <w:top w:w="70" w:type="dxa"/>
              <w:bottom w:w="70" w:type="dxa"/>
              <w:left w:w="100" w:type="dxa"/>
              <w:right w:w="100" w:type="dxa"/>
            </w:tcMar>
          </w:tcPr>
          <w:p>
            <w:pPr>
              <w:spacing w:before="0" w:after="0" w:line="264" w:lineRule="auto"/>
              <w:jc w:val="left"/>
            </w:pPr>
            <w:r>
              <w:rPr>
                <w:color w:val="282828"/>
                <w:sz w:val="16"/>
              </w:rPr>
              <w:t>Bayesian Medical TTA</w:t>
            </w:r>
          </w:p>
        </w:tc>
        <w:tc>
          <w:tcPr>
            <w:tcW w:type="dxa" w:w="1440"/>
            <w:shd w:fill="F8FAFC"/>
            <w:tcMar>
              <w:top w:w="70" w:type="dxa"/>
              <w:bottom w:w="70" w:type="dxa"/>
              <w:left w:w="100" w:type="dxa"/>
              <w:right w:w="100" w:type="dxa"/>
            </w:tcMar>
          </w:tcPr>
          <w:p>
            <w:pPr>
              <w:spacing w:before="0" w:after="0" w:line="264" w:lineRule="auto"/>
              <w:jc w:val="left"/>
            </w:pPr>
            <w:r>
              <w:rPr>
                <w:color w:val="282828"/>
                <w:sz w:val="16"/>
              </w:rPr>
              <w:t>CertainTTA (2025)</w:t>
            </w:r>
          </w:p>
        </w:tc>
        <w:tc>
          <w:tcPr>
            <w:tcW w:type="dxa" w:w="1296"/>
            <w:shd w:fill="F8FAFC"/>
            <w:tcMar>
              <w:top w:w="70" w:type="dxa"/>
              <w:bottom w:w="70" w:type="dxa"/>
              <w:left w:w="100" w:type="dxa"/>
              <w:right w:w="100" w:type="dxa"/>
            </w:tcMar>
          </w:tcPr>
          <w:p>
            <w:pPr>
              <w:spacing w:before="0" w:after="0" w:line="264" w:lineRule="auto"/>
              <w:jc w:val="left"/>
            </w:pPr>
            <w:r>
              <w:rPr>
                <w:color w:val="282828"/>
                <w:sz w:val="16"/>
              </w:rPr>
              <w:t>Full Network</w:t>
            </w:r>
          </w:p>
        </w:tc>
        <w:tc>
          <w:tcPr>
            <w:tcW w:type="dxa" w:w="1584"/>
            <w:shd w:fill="F8FAFC"/>
            <w:tcMar>
              <w:top w:w="70" w:type="dxa"/>
              <w:bottom w:w="70" w:type="dxa"/>
              <w:left w:w="100" w:type="dxa"/>
              <w:right w:w="100" w:type="dxa"/>
            </w:tcMar>
          </w:tcPr>
          <w:p>
            <w:pPr>
              <w:spacing w:before="0" w:after="0" w:line="264" w:lineRule="auto"/>
              <w:jc w:val="left"/>
            </w:pPr>
            <w:r>
              <w:rPr>
                <w:color w:val="282828"/>
                <w:sz w:val="16"/>
              </w:rPr>
              <w:t>MC Predictive Entropy</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None</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Cardiac &amp; Fundus Seg.</w:t>
            </w:r>
          </w:p>
        </w:tc>
      </w:tr>
      <w:tr>
        <w:trPr>
          <w:cantSplit/>
        </w:trPr>
        <w:tc>
          <w:tcPr>
            <w:tcW w:type="dxa" w:w="1584"/>
            <w:shd w:fill="FFFFFF"/>
            <w:tcMar>
              <w:top w:w="70" w:type="dxa"/>
              <w:bottom w:w="70" w:type="dxa"/>
              <w:left w:w="100" w:type="dxa"/>
              <w:right w:w="100" w:type="dxa"/>
            </w:tcMar>
          </w:tcPr>
          <w:p>
            <w:pPr>
              <w:spacing w:before="0" w:after="0" w:line="264" w:lineRule="auto"/>
              <w:jc w:val="left"/>
            </w:pPr>
            <w:r>
              <w:rPr>
                <w:color w:val="282828"/>
                <w:sz w:val="16"/>
              </w:rPr>
              <w:t>Foundation Model TTA</w:t>
            </w:r>
          </w:p>
        </w:tc>
        <w:tc>
          <w:tcPr>
            <w:tcW w:type="dxa" w:w="1440"/>
            <w:shd w:fill="FFFFFF"/>
            <w:tcMar>
              <w:top w:w="70" w:type="dxa"/>
              <w:bottom w:w="70" w:type="dxa"/>
              <w:left w:w="100" w:type="dxa"/>
              <w:right w:w="100" w:type="dxa"/>
            </w:tcMar>
          </w:tcPr>
          <w:p>
            <w:pPr>
              <w:spacing w:before="0" w:after="0" w:line="264" w:lineRule="auto"/>
              <w:jc w:val="left"/>
            </w:pPr>
            <w:r>
              <w:rPr>
                <w:color w:val="282828"/>
                <w:sz w:val="16"/>
              </w:rPr>
              <w:t>UAD-FM (2025)</w:t>
            </w:r>
          </w:p>
        </w:tc>
        <w:tc>
          <w:tcPr>
            <w:tcW w:type="dxa" w:w="1296"/>
            <w:shd w:fill="FFFFFF"/>
            <w:tcMar>
              <w:top w:w="70" w:type="dxa"/>
              <w:bottom w:w="70" w:type="dxa"/>
              <w:left w:w="100" w:type="dxa"/>
              <w:right w:w="100" w:type="dxa"/>
            </w:tcMar>
          </w:tcPr>
          <w:p>
            <w:pPr>
              <w:spacing w:before="0" w:after="0" w:line="264" w:lineRule="auto"/>
              <w:jc w:val="left"/>
            </w:pPr>
            <w:r>
              <w:rPr>
                <w:color w:val="282828"/>
                <w:sz w:val="16"/>
              </w:rPr>
              <w:t>LoRA Adapters</w:t>
            </w:r>
          </w:p>
        </w:tc>
        <w:tc>
          <w:tcPr>
            <w:tcW w:type="dxa" w:w="1584"/>
            <w:shd w:fill="FFFFFF"/>
            <w:tcMar>
              <w:top w:w="70" w:type="dxa"/>
              <w:bottom w:w="70" w:type="dxa"/>
              <w:left w:w="100" w:type="dxa"/>
              <w:right w:w="100" w:type="dxa"/>
            </w:tcMar>
          </w:tcPr>
          <w:p>
            <w:pPr>
              <w:spacing w:before="0" w:after="0" w:line="264" w:lineRule="auto"/>
              <w:jc w:val="left"/>
            </w:pPr>
            <w:r>
              <w:rPr>
                <w:color w:val="282828"/>
                <w:sz w:val="16"/>
              </w:rPr>
              <w:t>Dirichlet Evidential</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None</w:t>
            </w:r>
          </w:p>
        </w:tc>
        <w:tc>
          <w:tcPr>
            <w:tcW w:type="dxa" w:w="1728"/>
            <w:shd w:fill="FFFFFF"/>
            <w:tcMar>
              <w:top w:w="70" w:type="dxa"/>
              <w:bottom w:w="70" w:type="dxa"/>
              <w:left w:w="100" w:type="dxa"/>
              <w:right w:w="100" w:type="dxa"/>
            </w:tcMar>
          </w:tcPr>
          <w:p>
            <w:pPr>
              <w:spacing w:before="0" w:after="0" w:line="264" w:lineRule="auto"/>
              <w:jc w:val="left"/>
            </w:pPr>
            <w:r>
              <w:rPr>
                <w:color w:val="282828"/>
                <w:sz w:val="16"/>
              </w:rPr>
              <w:t>Colorectal Cancer (CRC)</w:t>
            </w:r>
          </w:p>
        </w:tc>
      </w:tr>
      <w:tr>
        <w:trPr>
          <w:cantSplit/>
        </w:trPr>
        <w:tc>
          <w:tcPr>
            <w:tcW w:type="dxa" w:w="1584"/>
            <w:shd w:fill="F8FAFC"/>
            <w:tcMar>
              <w:top w:w="70" w:type="dxa"/>
              <w:bottom w:w="70" w:type="dxa"/>
              <w:left w:w="100" w:type="dxa"/>
              <w:right w:w="100" w:type="dxa"/>
            </w:tcMar>
          </w:tcPr>
          <w:p>
            <w:pPr>
              <w:spacing w:before="0" w:after="0" w:line="264" w:lineRule="auto"/>
              <w:jc w:val="left"/>
            </w:pPr>
            <w:r>
              <w:rPr>
                <w:color w:val="282828"/>
                <w:sz w:val="16"/>
              </w:rPr>
              <w:t>SafeAdapt-TTA (Ours)</w:t>
            </w:r>
          </w:p>
        </w:tc>
        <w:tc>
          <w:tcPr>
            <w:tcW w:type="dxa" w:w="1440"/>
            <w:shd w:fill="F8FAFC"/>
            <w:tcMar>
              <w:top w:w="70" w:type="dxa"/>
              <w:bottom w:w="70" w:type="dxa"/>
              <w:left w:w="100" w:type="dxa"/>
              <w:right w:w="100" w:type="dxa"/>
            </w:tcMar>
          </w:tcPr>
          <w:p>
            <w:pPr>
              <w:spacing w:before="0" w:after="0" w:line="264" w:lineRule="auto"/>
              <w:jc w:val="left"/>
            </w:pPr>
            <w:r>
              <w:rPr>
                <w:color w:val="282828"/>
                <w:sz w:val="16"/>
              </w:rPr>
              <w:t>SafeAdapt (2026)</w:t>
            </w:r>
          </w:p>
        </w:tc>
        <w:tc>
          <w:tcPr>
            <w:tcW w:type="dxa" w:w="1296"/>
            <w:shd w:fill="F8FAFC"/>
            <w:tcMar>
              <w:top w:w="70" w:type="dxa"/>
              <w:bottom w:w="70" w:type="dxa"/>
              <w:left w:w="100" w:type="dxa"/>
              <w:right w:w="100" w:type="dxa"/>
            </w:tcMar>
          </w:tcPr>
          <w:p>
            <w:pPr>
              <w:spacing w:before="0" w:after="0" w:line="264" w:lineRule="auto"/>
              <w:jc w:val="left"/>
            </w:pPr>
            <w:r>
              <w:rPr>
                <w:color w:val="282828"/>
                <w:sz w:val="16"/>
              </w:rPr>
              <w:t>BN Affine</w:t>
            </w:r>
          </w:p>
        </w:tc>
        <w:tc>
          <w:tcPr>
            <w:tcW w:type="dxa" w:w="1584"/>
            <w:shd w:fill="F8FAFC"/>
            <w:tcMar>
              <w:top w:w="70" w:type="dxa"/>
              <w:bottom w:w="70" w:type="dxa"/>
              <w:left w:w="100" w:type="dxa"/>
              <w:right w:w="100" w:type="dxa"/>
            </w:tcMar>
          </w:tcPr>
          <w:p>
            <w:pPr>
              <w:spacing w:before="0" w:after="0" w:line="264" w:lineRule="auto"/>
              <w:jc w:val="left"/>
            </w:pPr>
            <w:r>
              <w:rPr>
                <w:color w:val="282828"/>
                <w:sz w:val="16"/>
              </w:rPr>
              <w:t>Selective Uncertainty Gate</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Hard L_inf, Rollback, Reset</w:t>
            </w:r>
          </w:p>
        </w:tc>
        <w:tc>
          <w:tcPr>
            <w:tcW w:type="dxa" w:w="1728"/>
            <w:shd w:fill="F8FAFC"/>
            <w:tcMar>
              <w:top w:w="70" w:type="dxa"/>
              <w:bottom w:w="70" w:type="dxa"/>
              <w:left w:w="100" w:type="dxa"/>
              <w:right w:w="100" w:type="dxa"/>
            </w:tcMar>
          </w:tcPr>
          <w:p>
            <w:pPr>
              <w:spacing w:before="0" w:after="0" w:line="264" w:lineRule="auto"/>
              <w:jc w:val="left"/>
            </w:pPr>
            <w:r>
              <w:rPr>
                <w:color w:val="282828"/>
                <w:sz w:val="16"/>
              </w:rPr>
              <w:t>Camelyon17-WILDS Lymph Node</w:t>
            </w:r>
          </w:p>
        </w:tc>
      </w:tr>
    </w:tbl>
    <w:p>
      <w:pPr>
        <w:keepNext/>
        <w:spacing w:before="320" w:after="100"/>
        <w:pBdr>
          <w:bottom w:val="single" w:sz="6" w:space="4" w:color="1B365D"/>
        </w:pBdr>
      </w:pPr>
      <w:r>
        <w:rPr>
          <w:b/>
          <w:color w:val="1B365D"/>
          <w:sz w:val="30"/>
        </w:rPr>
        <w:t>3 Conceptual and Algorithmic Framework: SafeAdapt-TTA</w:t>
      </w:r>
    </w:p>
    <w:p>
      <w:pPr>
        <w:keepNext/>
        <w:spacing w:before="240" w:after="80"/>
      </w:pPr>
      <w:r>
        <w:rPr>
          <w:b/>
          <w:color w:val="2E6171"/>
          <w:sz w:val="25"/>
        </w:rPr>
        <w:t>3.1 Problem Formulation &amp; Optimization Scope</w:t>
      </w:r>
    </w:p>
    <w:p>
      <w:pPr>
        <w:spacing w:before="0" w:after="80" w:line="276" w:lineRule="auto"/>
      </w:pPr>
      <w:r>
        <w:rPr>
          <w:color w:val="282828"/>
        </w:rPr>
        <w:t>Let f_theta denote a ResNet-18 model trained on source hospitals. All convolutional kernels and linear head weights are frozen. Adaptation is restricted exclusively to the BatchNorm affine parameters theta_BN = {(gamma_l, beta_l)} with frozen running statistics (mu_l, sigma_l^2). Under unconstrained Tent, the gradient of binary entropy with respect to logit z is (2p - 1)z &gt;= 0 for all z in R. When normal patches vastly outnumber tumor patches, negative gradients dominate, driving affine bias beta_l negative and triggering catastrophic attractor collapse.</w:t>
      </w:r>
    </w:p>
    <w:p>
      <w:pPr>
        <w:keepNext/>
        <w:spacing w:before="240" w:after="80"/>
      </w:pPr>
      <w:r>
        <w:rPr>
          <w:b/>
          <w:color w:val="2E6171"/>
          <w:sz w:val="25"/>
        </w:rPr>
        <w:t>3.2 Mathematical Analysis of Binary Gating Equivalence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B365D"/>
              <w:top w:val="none"/>
              <w:bottom w:val="none"/>
              <w:right w:val="none"/>
            </w:tcBorders>
          </w:tcPr>
          <w:p>
            <w:pPr>
              <w:spacing w:before="0" w:after="0" w:line="276" w:lineRule="auto"/>
            </w:pPr>
            <w:r>
              <w:rPr>
                <w:b/>
                <w:color w:val="1B365D"/>
                <w:sz w:val="19"/>
              </w:rPr>
              <w:t xml:space="preserve">[MATHEMATICAL THEOREM &amp; LEMMA] </w:t>
            </w:r>
            <w:r>
              <w:rPr>
                <w:color w:val="282828"/>
                <w:sz w:val="19"/>
              </w:rPr>
              <w:t>LEMMA 1 (Strict Monotonicity of Binary Entropy and Confidence):</w:t>
              <w:br/>
              <w:t>For binary probability p in [0, 1], let confidence C(p) = max(p, 1-p) in [0.5, 1.0]. The binary Shannon entropy H(p) = -p log p - (1-p) log (1-p) is a strictly decreasing bijective function of confidence C:</w:t>
              <w:br/>
              <w:t>dH/dC = log((1-C)/C) &lt; 0  for all C in (0.5, 1.0).</w:t>
              <w:br/>
              <w:br/>
              <w:t>COROLLARY 1: On single-logit binary classification, filtering by Shannon entropy, deterministic confidence, or Monte Carlo dropout predictive variance yields identical patch sample rankings (Spearman rho = -0.9917).</w:t>
            </w:r>
          </w:p>
        </w:tc>
      </w:tr>
    </w:tbl>
    <w:p>
      <w:pPr>
        <w:spacing w:before="0" w:after="80"/>
      </w:pPr>
    </w:p>
    <w:p>
      <w:pPr>
        <w:keepNext/>
        <w:spacing w:before="240" w:after="80"/>
      </w:pPr>
      <w:r>
        <w:rPr>
          <w:b/>
          <w:color w:val="2E6171"/>
          <w:sz w:val="25"/>
        </w:rPr>
        <w:t>3.3 Operational Distinction: Unconstrained TTA vs SafeAdapt-TTA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2880"/>
            <w:shd w:fill="1B365D"/>
            <w:tcMar>
              <w:top w:w="100" w:type="dxa"/>
              <w:bottom w:w="100" w:type="dxa"/>
              <w:left w:w="100" w:type="dxa"/>
              <w:right w:w="100" w:type="dxa"/>
            </w:tcMar>
          </w:tcPr>
          <w:p>
            <w:pPr>
              <w:spacing w:before="0" w:after="0"/>
              <w:jc w:val="left"/>
            </w:pPr>
            <w:r>
              <w:rPr>
                <w:b/>
                <w:color w:val="FFFFFF"/>
                <w:sz w:val="17"/>
              </w:rPr>
              <w:t>Operational Dimension</w:t>
            </w:r>
          </w:p>
        </w:tc>
        <w:tc>
          <w:tcPr>
            <w:tcW w:type="dxa" w:w="3168"/>
            <w:shd w:fill="1B365D"/>
            <w:tcMar>
              <w:top w:w="100" w:type="dxa"/>
              <w:bottom w:w="100" w:type="dxa"/>
              <w:left w:w="100" w:type="dxa"/>
              <w:right w:w="100" w:type="dxa"/>
            </w:tcMar>
          </w:tcPr>
          <w:p>
            <w:pPr>
              <w:spacing w:before="0" w:after="0"/>
              <w:jc w:val="left"/>
            </w:pPr>
            <w:r>
              <w:rPr>
                <w:b/>
                <w:color w:val="FFFFFF"/>
                <w:sz w:val="17"/>
              </w:rPr>
              <w:t>Unconstrained TTA (Tent)</w:t>
            </w:r>
          </w:p>
        </w:tc>
        <w:tc>
          <w:tcPr>
            <w:tcW w:type="dxa" w:w="3312"/>
            <w:shd w:fill="1B365D"/>
            <w:tcMar>
              <w:top w:w="100" w:type="dxa"/>
              <w:bottom w:w="100" w:type="dxa"/>
              <w:left w:w="100" w:type="dxa"/>
              <w:right w:w="100" w:type="dxa"/>
            </w:tcMar>
          </w:tcPr>
          <w:p>
            <w:pPr>
              <w:spacing w:before="0" w:after="0"/>
              <w:jc w:val="left"/>
            </w:pPr>
            <w:r>
              <w:rPr>
                <w:b/>
                <w:color w:val="FFFFFF"/>
                <w:sz w:val="17"/>
              </w:rPr>
              <w:t>SafeAdapt-TTA (Ours)</w:t>
            </w:r>
          </w:p>
        </w:tc>
      </w:tr>
      <w:tr>
        <w:trPr>
          <w:cantSplit/>
        </w:trPr>
        <w:tc>
          <w:tcPr>
            <w:tcW w:type="dxa" w:w="2880"/>
            <w:shd w:fill="FFFFFF"/>
            <w:tcMar>
              <w:top w:w="70" w:type="dxa"/>
              <w:bottom w:w="70" w:type="dxa"/>
              <w:left w:w="100" w:type="dxa"/>
              <w:right w:w="100" w:type="dxa"/>
            </w:tcMar>
          </w:tcPr>
          <w:p>
            <w:pPr>
              <w:spacing w:before="0" w:after="0" w:line="264" w:lineRule="auto"/>
              <w:jc w:val="left"/>
            </w:pPr>
            <w:r>
              <w:rPr>
                <w:color w:val="282828"/>
                <w:sz w:val="16"/>
              </w:rPr>
              <w:t>Patch Admission Policy</w:t>
            </w:r>
          </w:p>
        </w:tc>
        <w:tc>
          <w:tcPr>
            <w:tcW w:type="dxa" w:w="3168"/>
            <w:shd w:fill="FFFFFF"/>
            <w:tcMar>
              <w:top w:w="70" w:type="dxa"/>
              <w:bottom w:w="70" w:type="dxa"/>
              <w:left w:w="100" w:type="dxa"/>
              <w:right w:w="100" w:type="dxa"/>
            </w:tcMar>
          </w:tcPr>
          <w:p>
            <w:pPr>
              <w:spacing w:before="0" w:after="0" w:line="264" w:lineRule="auto"/>
              <w:jc w:val="left"/>
            </w:pPr>
            <w:r>
              <w:rPr>
                <w:color w:val="282828"/>
                <w:sz w:val="16"/>
              </w:rPr>
              <w:t>100% of incoming target patches</w:t>
            </w:r>
          </w:p>
        </w:tc>
        <w:tc>
          <w:tcPr>
            <w:tcW w:type="dxa" w:w="3312"/>
            <w:shd w:fill="FFFFFF"/>
            <w:tcMar>
              <w:top w:w="70" w:type="dxa"/>
              <w:bottom w:w="70" w:type="dxa"/>
              <w:left w:w="100" w:type="dxa"/>
              <w:right w:w="100" w:type="dxa"/>
            </w:tcMar>
          </w:tcPr>
          <w:p>
            <w:pPr>
              <w:spacing w:before="0" w:after="0" w:line="264" w:lineRule="auto"/>
              <w:jc w:val="left"/>
            </w:pPr>
            <w:r>
              <w:rPr>
                <w:color w:val="282828"/>
                <w:sz w:val="16"/>
              </w:rPr>
              <w:t>Selective Hard Gate (score &lt;= tau)</w:t>
            </w:r>
          </w:p>
        </w:tc>
      </w:tr>
      <w:tr>
        <w:trPr>
          <w:cantSplit/>
        </w:trPr>
        <w:tc>
          <w:tcPr>
            <w:tcW w:type="dxa" w:w="2880"/>
            <w:shd w:fill="F8FAFC"/>
            <w:tcMar>
              <w:top w:w="70" w:type="dxa"/>
              <w:bottom w:w="70" w:type="dxa"/>
              <w:left w:w="100" w:type="dxa"/>
              <w:right w:w="100" w:type="dxa"/>
            </w:tcMar>
          </w:tcPr>
          <w:p>
            <w:pPr>
              <w:spacing w:before="0" w:after="0" w:line="264" w:lineRule="auto"/>
              <w:jc w:val="left"/>
            </w:pPr>
            <w:r>
              <w:rPr>
                <w:color w:val="282828"/>
                <w:sz w:val="16"/>
              </w:rPr>
              <w:t>Empty-Batch Behavior</w:t>
            </w:r>
          </w:p>
        </w:tc>
        <w:tc>
          <w:tcPr>
            <w:tcW w:type="dxa" w:w="3168"/>
            <w:shd w:fill="F8FAFC"/>
            <w:tcMar>
              <w:top w:w="70" w:type="dxa"/>
              <w:bottom w:w="70" w:type="dxa"/>
              <w:left w:w="100" w:type="dxa"/>
              <w:right w:w="100" w:type="dxa"/>
            </w:tcMar>
          </w:tcPr>
          <w:p>
            <w:pPr>
              <w:spacing w:before="0" w:after="0" w:line="264" w:lineRule="auto"/>
              <w:jc w:val="left"/>
            </w:pPr>
            <w:r>
              <w:rPr>
                <w:color w:val="282828"/>
                <w:sz w:val="16"/>
              </w:rPr>
              <w:t>Always updates</w:t>
            </w:r>
          </w:p>
        </w:tc>
        <w:tc>
          <w:tcPr>
            <w:tcW w:type="dxa" w:w="3312"/>
            <w:shd w:fill="F8FAFC"/>
            <w:tcMar>
              <w:top w:w="70" w:type="dxa"/>
              <w:bottom w:w="70" w:type="dxa"/>
              <w:left w:w="100" w:type="dxa"/>
              <w:right w:w="100" w:type="dxa"/>
            </w:tcMar>
          </w:tcPr>
          <w:p>
            <w:pPr>
              <w:spacing w:before="0" w:after="0" w:line="264" w:lineRule="auto"/>
              <w:jc w:val="left"/>
            </w:pPr>
            <w:r>
              <w:rPr>
                <w:color w:val="282828"/>
                <w:sz w:val="16"/>
              </w:rPr>
              <w:t>Explicit Skip (Zero backward/step)</w:t>
            </w:r>
          </w:p>
        </w:tc>
      </w:tr>
      <w:tr>
        <w:trPr>
          <w:cantSplit/>
        </w:trPr>
        <w:tc>
          <w:tcPr>
            <w:tcW w:type="dxa" w:w="2880"/>
            <w:shd w:fill="FFFFFF"/>
            <w:tcMar>
              <w:top w:w="70" w:type="dxa"/>
              <w:bottom w:w="70" w:type="dxa"/>
              <w:left w:w="100" w:type="dxa"/>
              <w:right w:w="100" w:type="dxa"/>
            </w:tcMar>
          </w:tcPr>
          <w:p>
            <w:pPr>
              <w:spacing w:before="0" w:after="0" w:line="264" w:lineRule="auto"/>
              <w:jc w:val="left"/>
            </w:pPr>
            <w:r>
              <w:rPr>
                <w:color w:val="282828"/>
                <w:sz w:val="16"/>
              </w:rPr>
              <w:t>Parameter Scope</w:t>
            </w:r>
          </w:p>
        </w:tc>
        <w:tc>
          <w:tcPr>
            <w:tcW w:type="dxa" w:w="3168"/>
            <w:shd w:fill="FFFFFF"/>
            <w:tcMar>
              <w:top w:w="70" w:type="dxa"/>
              <w:bottom w:w="70" w:type="dxa"/>
              <w:left w:w="100" w:type="dxa"/>
              <w:right w:w="100" w:type="dxa"/>
            </w:tcMar>
          </w:tcPr>
          <w:p>
            <w:pPr>
              <w:spacing w:before="0" w:after="0" w:line="264" w:lineRule="auto"/>
              <w:jc w:val="left"/>
            </w:pPr>
            <w:r>
              <w:rPr>
                <w:color w:val="282828"/>
                <w:sz w:val="16"/>
              </w:rPr>
              <w:t>Unbounded drift in R^D</w:t>
            </w:r>
          </w:p>
        </w:tc>
        <w:tc>
          <w:tcPr>
            <w:tcW w:type="dxa" w:w="3312"/>
            <w:shd w:fill="FFFFFF"/>
            <w:tcMar>
              <w:top w:w="70" w:type="dxa"/>
              <w:bottom w:w="70" w:type="dxa"/>
              <w:left w:w="100" w:type="dxa"/>
              <w:right w:w="100" w:type="dxa"/>
            </w:tcMar>
          </w:tcPr>
          <w:p>
            <w:pPr>
              <w:spacing w:before="0" w:after="0" w:line="264" w:lineRule="auto"/>
              <w:jc w:val="left"/>
            </w:pPr>
            <w:r>
              <w:rPr>
                <w:color w:val="282828"/>
                <w:sz w:val="16"/>
              </w:rPr>
              <w:t>Strict L_inf Sphere (||Delta|| &lt;= 0.05)</w:t>
            </w:r>
          </w:p>
        </w:tc>
      </w:tr>
      <w:tr>
        <w:trPr>
          <w:cantSplit/>
        </w:trPr>
        <w:tc>
          <w:tcPr>
            <w:tcW w:type="dxa" w:w="2880"/>
            <w:shd w:fill="F8FAFC"/>
            <w:tcMar>
              <w:top w:w="70" w:type="dxa"/>
              <w:bottom w:w="70" w:type="dxa"/>
              <w:left w:w="100" w:type="dxa"/>
              <w:right w:w="100" w:type="dxa"/>
            </w:tcMar>
          </w:tcPr>
          <w:p>
            <w:pPr>
              <w:spacing w:before="0" w:after="0" w:line="264" w:lineRule="auto"/>
              <w:jc w:val="left"/>
            </w:pPr>
            <w:r>
              <w:rPr>
                <w:color w:val="282828"/>
                <w:sz w:val="16"/>
              </w:rPr>
              <w:t>Numerical Integrity</w:t>
            </w:r>
          </w:p>
        </w:tc>
        <w:tc>
          <w:tcPr>
            <w:tcW w:type="dxa" w:w="3168"/>
            <w:shd w:fill="F8FAFC"/>
            <w:tcMar>
              <w:top w:w="70" w:type="dxa"/>
              <w:bottom w:w="70" w:type="dxa"/>
              <w:left w:w="100" w:type="dxa"/>
              <w:right w:w="100" w:type="dxa"/>
            </w:tcMar>
          </w:tcPr>
          <w:p>
            <w:pPr>
              <w:spacing w:before="0" w:after="0" w:line="264" w:lineRule="auto"/>
              <w:jc w:val="left"/>
            </w:pPr>
            <w:r>
              <w:rPr>
                <w:color w:val="282828"/>
                <w:sz w:val="16"/>
              </w:rPr>
              <w:t>Unchecked (NaNs corrupt model)</w:t>
            </w:r>
          </w:p>
        </w:tc>
        <w:tc>
          <w:tcPr>
            <w:tcW w:type="dxa" w:w="3312"/>
            <w:shd w:fill="F8FAFC"/>
            <w:tcMar>
              <w:top w:w="70" w:type="dxa"/>
              <w:bottom w:w="70" w:type="dxa"/>
              <w:left w:w="100" w:type="dxa"/>
              <w:right w:w="100" w:type="dxa"/>
            </w:tcMar>
          </w:tcPr>
          <w:p>
            <w:pPr>
              <w:spacing w:before="0" w:after="0" w:line="264" w:lineRule="auto"/>
              <w:jc w:val="left"/>
            </w:pPr>
            <w:r>
              <w:rPr>
                <w:color w:val="282828"/>
                <w:sz w:val="16"/>
              </w:rPr>
              <w:t>Pre-step gradient &amp; loss auditing</w:t>
            </w:r>
          </w:p>
        </w:tc>
      </w:tr>
      <w:tr>
        <w:trPr>
          <w:cantSplit/>
        </w:trPr>
        <w:tc>
          <w:tcPr>
            <w:tcW w:type="dxa" w:w="2880"/>
            <w:shd w:fill="FFFFFF"/>
            <w:tcMar>
              <w:top w:w="70" w:type="dxa"/>
              <w:bottom w:w="70" w:type="dxa"/>
              <w:left w:w="100" w:type="dxa"/>
              <w:right w:w="100" w:type="dxa"/>
            </w:tcMar>
          </w:tcPr>
          <w:p>
            <w:pPr>
              <w:spacing w:before="0" w:after="0" w:line="264" w:lineRule="auto"/>
              <w:jc w:val="left"/>
            </w:pPr>
            <w:r>
              <w:rPr>
                <w:color w:val="282828"/>
                <w:sz w:val="16"/>
              </w:rPr>
              <w:t>State Recovery Mechanism</w:t>
            </w:r>
          </w:p>
        </w:tc>
        <w:tc>
          <w:tcPr>
            <w:tcW w:type="dxa" w:w="3168"/>
            <w:shd w:fill="FFFFFF"/>
            <w:tcMar>
              <w:top w:w="70" w:type="dxa"/>
              <w:bottom w:w="70" w:type="dxa"/>
              <w:left w:w="100" w:type="dxa"/>
              <w:right w:w="100" w:type="dxa"/>
            </w:tcMar>
          </w:tcPr>
          <w:p>
            <w:pPr>
              <w:spacing w:before="0" w:after="0" w:line="264" w:lineRule="auto"/>
              <w:jc w:val="left"/>
            </w:pPr>
            <w:r>
              <w:rPr>
                <w:color w:val="282828"/>
                <w:sz w:val="16"/>
              </w:rPr>
              <w:t>None (Irreversible corruption)</w:t>
            </w:r>
          </w:p>
        </w:tc>
        <w:tc>
          <w:tcPr>
            <w:tcW w:type="dxa" w:w="3312"/>
            <w:shd w:fill="FFFFFF"/>
            <w:tcMar>
              <w:top w:w="70" w:type="dxa"/>
              <w:bottom w:w="70" w:type="dxa"/>
              <w:left w:w="100" w:type="dxa"/>
              <w:right w:w="100" w:type="dxa"/>
            </w:tcMar>
          </w:tcPr>
          <w:p>
            <w:pPr>
              <w:spacing w:before="0" w:after="0" w:line="264" w:lineRule="auto"/>
              <w:jc w:val="left"/>
            </w:pPr>
            <w:r>
              <w:rPr>
                <w:color w:val="282828"/>
                <w:sz w:val="16"/>
              </w:rPr>
              <w:t>Atomic State Rollback</w:t>
            </w:r>
          </w:p>
        </w:tc>
      </w:tr>
      <w:tr>
        <w:trPr>
          <w:cantSplit/>
        </w:trPr>
        <w:tc>
          <w:tcPr>
            <w:tcW w:type="dxa" w:w="2880"/>
            <w:shd w:fill="F8FAFC"/>
            <w:tcMar>
              <w:top w:w="70" w:type="dxa"/>
              <w:bottom w:w="70" w:type="dxa"/>
              <w:left w:w="100" w:type="dxa"/>
              <w:right w:w="100" w:type="dxa"/>
            </w:tcMar>
          </w:tcPr>
          <w:p>
            <w:pPr>
              <w:spacing w:before="0" w:after="0" w:line="264" w:lineRule="auto"/>
              <w:jc w:val="left"/>
            </w:pPr>
            <w:r>
              <w:rPr>
                <w:color w:val="282828"/>
                <w:sz w:val="16"/>
              </w:rPr>
              <w:t>Inter-Slide Isolation</w:t>
            </w:r>
          </w:p>
        </w:tc>
        <w:tc>
          <w:tcPr>
            <w:tcW w:type="dxa" w:w="3168"/>
            <w:shd w:fill="F8FAFC"/>
            <w:tcMar>
              <w:top w:w="70" w:type="dxa"/>
              <w:bottom w:w="70" w:type="dxa"/>
              <w:left w:w="100" w:type="dxa"/>
              <w:right w:w="100" w:type="dxa"/>
            </w:tcMar>
          </w:tcPr>
          <w:p>
            <w:pPr>
              <w:spacing w:before="0" w:after="0" w:line="264" w:lineRule="auto"/>
              <w:jc w:val="left"/>
            </w:pPr>
            <w:r>
              <w:rPr>
                <w:color w:val="282828"/>
                <w:sz w:val="16"/>
              </w:rPr>
              <w:t>Cross-slide continuous drift</w:t>
            </w:r>
          </w:p>
        </w:tc>
        <w:tc>
          <w:tcPr>
            <w:tcW w:type="dxa" w:w="3312"/>
            <w:shd w:fill="F8FAFC"/>
            <w:tcMar>
              <w:top w:w="70" w:type="dxa"/>
              <w:bottom w:w="70" w:type="dxa"/>
              <w:left w:w="100" w:type="dxa"/>
              <w:right w:w="100" w:type="dxa"/>
            </w:tcMar>
          </w:tcPr>
          <w:p>
            <w:pPr>
              <w:spacing w:before="0" w:after="0" w:line="264" w:lineRule="auto"/>
              <w:jc w:val="left"/>
            </w:pPr>
            <w:r>
              <w:rPr>
                <w:color w:val="282828"/>
                <w:sz w:val="16"/>
              </w:rPr>
              <w:t>Whole-Slide Boundary Invariance Reset</w:t>
            </w:r>
          </w:p>
        </w:tc>
      </w:tr>
      <w:tr>
        <w:trPr>
          <w:cantSplit/>
        </w:trPr>
        <w:tc>
          <w:tcPr>
            <w:tcW w:type="dxa" w:w="2880"/>
            <w:shd w:fill="FFFFFF"/>
            <w:tcMar>
              <w:top w:w="70" w:type="dxa"/>
              <w:bottom w:w="70" w:type="dxa"/>
              <w:left w:w="100" w:type="dxa"/>
              <w:right w:w="100" w:type="dxa"/>
            </w:tcMar>
          </w:tcPr>
          <w:p>
            <w:pPr>
              <w:spacing w:before="0" w:after="0" w:line="264" w:lineRule="auto"/>
              <w:jc w:val="left"/>
            </w:pPr>
            <w:r>
              <w:rPr>
                <w:color w:val="282828"/>
                <w:sz w:val="16"/>
              </w:rPr>
              <w:t>Target Timing</w:t>
            </w:r>
          </w:p>
        </w:tc>
        <w:tc>
          <w:tcPr>
            <w:tcW w:type="dxa" w:w="3168"/>
            <w:shd w:fill="FFFFFF"/>
            <w:tcMar>
              <w:top w:w="70" w:type="dxa"/>
              <w:bottom w:w="70" w:type="dxa"/>
              <w:left w:w="100" w:type="dxa"/>
              <w:right w:w="100" w:type="dxa"/>
            </w:tcMar>
          </w:tcPr>
          <w:p>
            <w:pPr>
              <w:spacing w:before="0" w:after="0" w:line="264" w:lineRule="auto"/>
              <w:jc w:val="left"/>
            </w:pPr>
            <w:r>
              <w:rPr>
                <w:color w:val="282828"/>
                <w:sz w:val="16"/>
              </w:rPr>
              <w:t>Post-adaptation (biased)</w:t>
            </w:r>
          </w:p>
        </w:tc>
        <w:tc>
          <w:tcPr>
            <w:tcW w:type="dxa" w:w="3312"/>
            <w:shd w:fill="FFFFFF"/>
            <w:tcMar>
              <w:top w:w="70" w:type="dxa"/>
              <w:bottom w:w="70" w:type="dxa"/>
              <w:left w:w="100" w:type="dxa"/>
              <w:right w:w="100" w:type="dxa"/>
            </w:tcMar>
          </w:tcPr>
          <w:p>
            <w:pPr>
              <w:spacing w:before="0" w:after="0" w:line="264" w:lineRule="auto"/>
              <w:jc w:val="left"/>
            </w:pPr>
            <w:r>
              <w:rPr>
                <w:color w:val="282828"/>
                <w:sz w:val="16"/>
              </w:rPr>
              <w:t>Pre-adaptation streaming (realistic)</w:t>
            </w:r>
          </w:p>
        </w:tc>
      </w:tr>
      <w:tr>
        <w:trPr>
          <w:cantSplit/>
        </w:trPr>
        <w:tc>
          <w:tcPr>
            <w:tcW w:type="dxa" w:w="2880"/>
            <w:shd w:fill="F8FAFC"/>
            <w:tcMar>
              <w:top w:w="70" w:type="dxa"/>
              <w:bottom w:w="70" w:type="dxa"/>
              <w:left w:w="100" w:type="dxa"/>
              <w:right w:w="100" w:type="dxa"/>
            </w:tcMar>
          </w:tcPr>
          <w:p>
            <w:pPr>
              <w:spacing w:before="0" w:after="0" w:line="264" w:lineRule="auto"/>
              <w:jc w:val="left"/>
            </w:pPr>
            <w:r>
              <w:rPr>
                <w:color w:val="282828"/>
                <w:sz w:val="16"/>
              </w:rPr>
              <w:t>Epistemic Overhead</w:t>
            </w:r>
          </w:p>
        </w:tc>
        <w:tc>
          <w:tcPr>
            <w:tcW w:type="dxa" w:w="3168"/>
            <w:shd w:fill="F8FAFC"/>
            <w:tcMar>
              <w:top w:w="70" w:type="dxa"/>
              <w:bottom w:w="70" w:type="dxa"/>
              <w:left w:w="100" w:type="dxa"/>
              <w:right w:w="100" w:type="dxa"/>
            </w:tcMar>
          </w:tcPr>
          <w:p>
            <w:pPr>
              <w:spacing w:before="0" w:after="0" w:line="264" w:lineRule="auto"/>
              <w:jc w:val="left"/>
            </w:pPr>
            <w:r>
              <w:rPr>
                <w:color w:val="282828"/>
                <w:sz w:val="16"/>
              </w:rPr>
              <w:t>1 forward pass</w:t>
            </w:r>
          </w:p>
        </w:tc>
        <w:tc>
          <w:tcPr>
            <w:tcW w:type="dxa" w:w="3312"/>
            <w:shd w:fill="F8FAFC"/>
            <w:tcMar>
              <w:top w:w="70" w:type="dxa"/>
              <w:bottom w:w="70" w:type="dxa"/>
              <w:left w:w="100" w:type="dxa"/>
              <w:right w:w="100" w:type="dxa"/>
            </w:tcMar>
          </w:tcPr>
          <w:p>
            <w:pPr>
              <w:spacing w:before="0" w:after="0" w:line="264" w:lineRule="auto"/>
              <w:jc w:val="left"/>
            </w:pPr>
            <w:r>
              <w:rPr>
                <w:color w:val="282828"/>
                <w:sz w:val="16"/>
              </w:rPr>
              <w:t>1 forward pass (deterministic confidence)</w:t>
            </w:r>
          </w:p>
        </w:tc>
      </w:tr>
      <w:tr>
        <w:trPr>
          <w:cantSplit/>
        </w:trPr>
        <w:tc>
          <w:tcPr>
            <w:tcW w:type="dxa" w:w="2880"/>
            <w:shd w:fill="FFFFFF"/>
            <w:tcMar>
              <w:top w:w="70" w:type="dxa"/>
              <w:bottom w:w="70" w:type="dxa"/>
              <w:left w:w="100" w:type="dxa"/>
              <w:right w:w="100" w:type="dxa"/>
            </w:tcMar>
          </w:tcPr>
          <w:p>
            <w:pPr>
              <w:spacing w:before="0" w:after="0" w:line="264" w:lineRule="auto"/>
              <w:jc w:val="left"/>
            </w:pPr>
            <w:r>
              <w:rPr>
                <w:color w:val="282828"/>
                <w:sz w:val="16"/>
              </w:rPr>
              <w:t>Target Label Access</w:t>
            </w:r>
          </w:p>
        </w:tc>
        <w:tc>
          <w:tcPr>
            <w:tcW w:type="dxa" w:w="3168"/>
            <w:shd w:fill="FFFFFF"/>
            <w:tcMar>
              <w:top w:w="70" w:type="dxa"/>
              <w:bottom w:w="70" w:type="dxa"/>
              <w:left w:w="100" w:type="dxa"/>
              <w:right w:w="100" w:type="dxa"/>
            </w:tcMar>
          </w:tcPr>
          <w:p>
            <w:pPr>
              <w:spacing w:before="0" w:after="0" w:line="264" w:lineRule="auto"/>
              <w:jc w:val="left"/>
            </w:pPr>
            <w:r>
              <w:rPr>
                <w:color w:val="282828"/>
                <w:sz w:val="16"/>
              </w:rPr>
              <w:t>Zero (Compliant)</w:t>
            </w:r>
          </w:p>
        </w:tc>
        <w:tc>
          <w:tcPr>
            <w:tcW w:type="dxa" w:w="3312"/>
            <w:shd w:fill="FFFFFF"/>
            <w:tcMar>
              <w:top w:w="70" w:type="dxa"/>
              <w:bottom w:w="70" w:type="dxa"/>
              <w:left w:w="100" w:type="dxa"/>
              <w:right w:w="100" w:type="dxa"/>
            </w:tcMar>
          </w:tcPr>
          <w:p>
            <w:pPr>
              <w:spacing w:before="0" w:after="0" w:line="264" w:lineRule="auto"/>
              <w:jc w:val="left"/>
            </w:pPr>
            <w:r>
              <w:rPr>
                <w:color w:val="282828"/>
                <w:sz w:val="16"/>
              </w:rPr>
              <w:t>Zero (Strictly enforced by API)</w:t>
            </w:r>
          </w:p>
        </w:tc>
      </w:tr>
    </w:tbl>
    <w:p>
      <w:pPr>
        <w:keepNext/>
        <w:spacing w:before="320" w:after="100"/>
        <w:pBdr>
          <w:bottom w:val="single" w:sz="6" w:space="4" w:color="1B365D"/>
        </w:pBdr>
      </w:pPr>
      <w:r>
        <w:rPr>
          <w:b/>
          <w:color w:val="1B365D"/>
          <w:sz w:val="30"/>
        </w:rPr>
        <w:t>4 Experimental Framework &amp; Frozen Corpus Dimensions</w:t>
      </w:r>
    </w:p>
    <w:p>
      <w:pPr>
        <w:spacing w:before="0" w:after="80" w:line="276" w:lineRule="auto"/>
      </w:pPr>
      <w:r>
        <w:rPr>
          <w:color w:val="282828"/>
        </w:rPr>
        <w:t>Table 3 details the authoritative dimensions and cryptographic SHA-256 hashes of the frozen experimental corpus.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592"/>
            <w:shd w:fill="1B365D"/>
            <w:tcMar>
              <w:top w:w="100" w:type="dxa"/>
              <w:bottom w:w="100" w:type="dxa"/>
              <w:left w:w="100" w:type="dxa"/>
              <w:right w:w="100" w:type="dxa"/>
            </w:tcMar>
          </w:tcPr>
          <w:p>
            <w:pPr>
              <w:spacing w:before="0" w:after="0"/>
              <w:jc w:val="left"/>
            </w:pPr>
            <w:r>
              <w:rPr>
                <w:b/>
                <w:color w:val="FFFFFF"/>
                <w:sz w:val="17"/>
              </w:rPr>
              <w:t>Dataset / Artifact Name</w:t>
            </w:r>
          </w:p>
        </w:tc>
        <w:tc>
          <w:tcPr>
            <w:tcW w:type="dxa" w:w="1872"/>
            <w:shd w:fill="1B365D"/>
            <w:tcMar>
              <w:top w:w="100" w:type="dxa"/>
              <w:bottom w:w="100" w:type="dxa"/>
              <w:left w:w="100" w:type="dxa"/>
              <w:right w:w="100" w:type="dxa"/>
            </w:tcMar>
          </w:tcPr>
          <w:p>
            <w:pPr>
              <w:spacing w:before="0" w:after="0"/>
              <w:jc w:val="left"/>
            </w:pPr>
            <w:r>
              <w:rPr>
                <w:b/>
                <w:color w:val="FFFFFF"/>
                <w:sz w:val="17"/>
              </w:rPr>
              <w:t>Split / Cohort</w:t>
            </w:r>
          </w:p>
        </w:tc>
        <w:tc>
          <w:tcPr>
            <w:tcW w:type="dxa" w:w="2304"/>
            <w:shd w:fill="1B365D"/>
            <w:tcMar>
              <w:top w:w="100" w:type="dxa"/>
              <w:bottom w:w="100" w:type="dxa"/>
              <w:left w:w="100" w:type="dxa"/>
              <w:right w:w="100" w:type="dxa"/>
            </w:tcMar>
          </w:tcPr>
          <w:p>
            <w:pPr>
              <w:spacing w:before="0" w:after="0"/>
              <w:jc w:val="left"/>
            </w:pPr>
            <w:r>
              <w:rPr>
                <w:b/>
                <w:color w:val="FFFFFF"/>
                <w:sz w:val="17"/>
              </w:rPr>
              <w:t>Dimensions / Denominators</w:t>
            </w:r>
          </w:p>
        </w:tc>
        <w:tc>
          <w:tcPr>
            <w:tcW w:type="dxa" w:w="2592"/>
            <w:shd w:fill="1B365D"/>
            <w:tcMar>
              <w:top w:w="100" w:type="dxa"/>
              <w:bottom w:w="100" w:type="dxa"/>
              <w:left w:w="100" w:type="dxa"/>
              <w:right w:w="100" w:type="dxa"/>
            </w:tcMar>
          </w:tcPr>
          <w:p>
            <w:pPr>
              <w:spacing w:before="0" w:after="0"/>
              <w:jc w:val="left"/>
            </w:pPr>
            <w:r>
              <w:rPr>
                <w:b/>
                <w:color w:val="FFFFFF"/>
                <w:sz w:val="17"/>
              </w:rPr>
              <w:t>Cryptographic SHA-256 Hash</w:t>
            </w:r>
          </w:p>
        </w:tc>
      </w:tr>
      <w:tr>
        <w:trPr>
          <w:cantSplit/>
        </w:trPr>
        <w:tc>
          <w:tcPr>
            <w:tcW w:type="dxa" w:w="2592"/>
            <w:shd w:fill="FFFFFF"/>
            <w:tcMar>
              <w:top w:w="70" w:type="dxa"/>
              <w:bottom w:w="70" w:type="dxa"/>
              <w:left w:w="100" w:type="dxa"/>
              <w:right w:w="100" w:type="dxa"/>
            </w:tcMar>
          </w:tcPr>
          <w:p>
            <w:pPr>
              <w:spacing w:before="0" w:after="0" w:line="264" w:lineRule="auto"/>
              <w:jc w:val="left"/>
            </w:pPr>
            <w:r>
              <w:rPr>
                <w:color w:val="282828"/>
                <w:sz w:val="16"/>
              </w:rPr>
              <w:t>camelyon17_resnet18_source_s42_BEST</w:t>
            </w:r>
          </w:p>
        </w:tc>
        <w:tc>
          <w:tcPr>
            <w:tcW w:type="dxa" w:w="1872"/>
            <w:shd w:fill="FFFFFF"/>
            <w:tcMar>
              <w:top w:w="70" w:type="dxa"/>
              <w:bottom w:w="70" w:type="dxa"/>
              <w:left w:w="100" w:type="dxa"/>
              <w:right w:w="100" w:type="dxa"/>
            </w:tcMar>
          </w:tcPr>
          <w:p>
            <w:pPr>
              <w:spacing w:before="0" w:after="0" w:line="264" w:lineRule="auto"/>
              <w:jc w:val="left"/>
            </w:pPr>
            <w:r>
              <w:rPr>
                <w:color w:val="282828"/>
                <w:sz w:val="16"/>
              </w:rPr>
              <w:t>Source (0, 3, 4)</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11.18M params (ResNet-18)</w:t>
            </w:r>
          </w:p>
        </w:tc>
        <w:tc>
          <w:tcPr>
            <w:tcW w:type="dxa" w:w="2592"/>
            <w:shd w:fill="FFFFFF"/>
            <w:tcMar>
              <w:top w:w="70" w:type="dxa"/>
              <w:bottom w:w="70" w:type="dxa"/>
              <w:left w:w="100" w:type="dxa"/>
              <w:right w:w="100" w:type="dxa"/>
            </w:tcMar>
          </w:tcPr>
          <w:p>
            <w:pPr>
              <w:spacing w:before="0" w:after="0" w:line="264" w:lineRule="auto"/>
              <w:jc w:val="left"/>
            </w:pPr>
            <w:r>
              <w:rPr>
                <w:color w:val="282828"/>
                <w:sz w:val="16"/>
              </w:rPr>
              <w:t>f0b85ec1a89707a8ad1807a544280...</w:t>
            </w:r>
          </w:p>
        </w:tc>
      </w:tr>
      <w:tr>
        <w:trPr>
          <w:cantSplit/>
        </w:trPr>
        <w:tc>
          <w:tcPr>
            <w:tcW w:type="dxa" w:w="2592"/>
            <w:shd w:fill="F8FAFC"/>
            <w:tcMar>
              <w:top w:w="70" w:type="dxa"/>
              <w:bottom w:w="70" w:type="dxa"/>
              <w:left w:w="100" w:type="dxa"/>
              <w:right w:w="100" w:type="dxa"/>
            </w:tcMar>
          </w:tcPr>
          <w:p>
            <w:pPr>
              <w:spacing w:before="0" w:after="0" w:line="264" w:lineRule="auto"/>
              <w:jc w:val="left"/>
            </w:pPr>
            <w:r>
              <w:rPr>
                <w:color w:val="282828"/>
                <w:sz w:val="16"/>
              </w:rPr>
              <w:t>headline_5seed.json</w:t>
            </w:r>
          </w:p>
        </w:tc>
        <w:tc>
          <w:tcPr>
            <w:tcW w:type="dxa" w:w="1872"/>
            <w:shd w:fill="F8FAFC"/>
            <w:tcMar>
              <w:top w:w="70" w:type="dxa"/>
              <w:bottom w:w="70" w:type="dxa"/>
              <w:left w:w="100" w:type="dxa"/>
              <w:right w:w="100" w:type="dxa"/>
            </w:tcMar>
          </w:tcPr>
          <w:p>
            <w:pPr>
              <w:spacing w:before="0" w:after="0" w:line="264" w:lineRule="auto"/>
              <w:jc w:val="left"/>
            </w:pPr>
            <w:r>
              <w:rPr>
                <w:color w:val="282828"/>
                <w:sz w:val="16"/>
              </w:rPr>
              <w:t>v1 Multi-Seed</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5 seeds x 6 methods</w:t>
            </w:r>
          </w:p>
        </w:tc>
        <w:tc>
          <w:tcPr>
            <w:tcW w:type="dxa" w:w="2592"/>
            <w:shd w:fill="F8FAFC"/>
            <w:tcMar>
              <w:top w:w="70" w:type="dxa"/>
              <w:bottom w:w="70" w:type="dxa"/>
              <w:left w:w="100" w:type="dxa"/>
              <w:right w:w="100" w:type="dxa"/>
            </w:tcMar>
          </w:tcPr>
          <w:p>
            <w:pPr>
              <w:spacing w:before="0" w:after="0" w:line="264" w:lineRule="auto"/>
              <w:jc w:val="left"/>
            </w:pPr>
            <w:r>
              <w:rPr>
                <w:color w:val="282828"/>
                <w:sz w:val="16"/>
              </w:rPr>
              <w:t>9f0f0753835c5971ae9ca9394def0...</w:t>
            </w:r>
          </w:p>
        </w:tc>
      </w:tr>
      <w:tr>
        <w:trPr>
          <w:cantSplit/>
        </w:trPr>
        <w:tc>
          <w:tcPr>
            <w:tcW w:type="dxa" w:w="2592"/>
            <w:shd w:fill="FFFFFF"/>
            <w:tcMar>
              <w:top w:w="70" w:type="dxa"/>
              <w:bottom w:w="70" w:type="dxa"/>
              <w:left w:w="100" w:type="dxa"/>
              <w:right w:w="100" w:type="dxa"/>
            </w:tcMar>
          </w:tcPr>
          <w:p>
            <w:pPr>
              <w:spacing w:before="0" w:after="0" w:line="264" w:lineRule="auto"/>
              <w:jc w:val="left"/>
            </w:pPr>
            <w:r>
              <w:rPr>
                <w:color w:val="282828"/>
                <w:sz w:val="16"/>
              </w:rPr>
              <w:t>table_main_results_final.csv</w:t>
            </w:r>
          </w:p>
        </w:tc>
        <w:tc>
          <w:tcPr>
            <w:tcW w:type="dxa" w:w="1872"/>
            <w:shd w:fill="FFFFFF"/>
            <w:tcMar>
              <w:top w:w="70" w:type="dxa"/>
              <w:bottom w:w="70" w:type="dxa"/>
              <w:left w:w="100" w:type="dxa"/>
              <w:right w:w="100" w:type="dxa"/>
            </w:tcMar>
          </w:tcPr>
          <w:p>
            <w:pPr>
              <w:spacing w:before="0" w:after="0" w:line="264" w:lineRule="auto"/>
              <w:jc w:val="left"/>
            </w:pPr>
            <w:r>
              <w:rPr>
                <w:color w:val="282828"/>
                <w:sz w:val="16"/>
              </w:rPr>
              <w:t>v1 Summary Table</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6 rows x 6 metrics</w:t>
            </w:r>
          </w:p>
        </w:tc>
        <w:tc>
          <w:tcPr>
            <w:tcW w:type="dxa" w:w="2592"/>
            <w:shd w:fill="FFFFFF"/>
            <w:tcMar>
              <w:top w:w="70" w:type="dxa"/>
              <w:bottom w:w="70" w:type="dxa"/>
              <w:left w:w="100" w:type="dxa"/>
              <w:right w:w="100" w:type="dxa"/>
            </w:tcMar>
          </w:tcPr>
          <w:p>
            <w:pPr>
              <w:spacing w:before="0" w:after="0" w:line="264" w:lineRule="auto"/>
              <w:jc w:val="left"/>
            </w:pPr>
            <w:r>
              <w:rPr>
                <w:color w:val="282828"/>
                <w:sz w:val="16"/>
              </w:rPr>
              <w:t>320df9cd65e84be39a4b3bbb5f440...</w:t>
            </w:r>
          </w:p>
        </w:tc>
      </w:tr>
      <w:tr>
        <w:trPr>
          <w:cantSplit/>
        </w:trPr>
        <w:tc>
          <w:tcPr>
            <w:tcW w:type="dxa" w:w="2592"/>
            <w:shd w:fill="F8FAFC"/>
            <w:tcMar>
              <w:top w:w="70" w:type="dxa"/>
              <w:bottom w:w="70" w:type="dxa"/>
              <w:left w:w="100" w:type="dxa"/>
              <w:right w:w="100" w:type="dxa"/>
            </w:tcMar>
          </w:tcPr>
          <w:p>
            <w:pPr>
              <w:spacing w:before="0" w:after="0" w:line="264" w:lineRule="auto"/>
              <w:jc w:val="left"/>
            </w:pPr>
            <w:r>
              <w:rPr>
                <w:color w:val="282828"/>
                <w:sz w:val="16"/>
              </w:rPr>
              <w:t>table_paired_statistics_final.csv</w:t>
            </w:r>
          </w:p>
        </w:tc>
        <w:tc>
          <w:tcPr>
            <w:tcW w:type="dxa" w:w="1872"/>
            <w:shd w:fill="F8FAFC"/>
            <w:tcMar>
              <w:top w:w="70" w:type="dxa"/>
              <w:bottom w:w="70" w:type="dxa"/>
              <w:left w:w="100" w:type="dxa"/>
              <w:right w:w="100" w:type="dxa"/>
            </w:tcMar>
          </w:tcPr>
          <w:p>
            <w:pPr>
              <w:spacing w:before="0" w:after="0" w:line="264" w:lineRule="auto"/>
              <w:jc w:val="left"/>
            </w:pPr>
            <w:r>
              <w:rPr>
                <w:color w:val="282828"/>
                <w:sz w:val="16"/>
              </w:rPr>
              <w:t>v1 Hypothesis Tests</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8 contrasts x 8 stats</w:t>
            </w:r>
          </w:p>
        </w:tc>
        <w:tc>
          <w:tcPr>
            <w:tcW w:type="dxa" w:w="2592"/>
            <w:shd w:fill="F8FAFC"/>
            <w:tcMar>
              <w:top w:w="70" w:type="dxa"/>
              <w:bottom w:w="70" w:type="dxa"/>
              <w:left w:w="100" w:type="dxa"/>
              <w:right w:w="100" w:type="dxa"/>
            </w:tcMar>
          </w:tcPr>
          <w:p>
            <w:pPr>
              <w:spacing w:before="0" w:after="0" w:line="264" w:lineRule="auto"/>
              <w:jc w:val="left"/>
            </w:pPr>
            <w:r>
              <w:rPr>
                <w:color w:val="282828"/>
                <w:sz w:val="16"/>
              </w:rPr>
              <w:t>b7510afe90e26e6e21c0f9ce87fcb...</w:t>
            </w:r>
          </w:p>
        </w:tc>
      </w:tr>
      <w:tr>
        <w:trPr>
          <w:cantSplit/>
        </w:trPr>
        <w:tc>
          <w:tcPr>
            <w:tcW w:type="dxa" w:w="2592"/>
            <w:shd w:fill="FFFFFF"/>
            <w:tcMar>
              <w:top w:w="70" w:type="dxa"/>
              <w:bottom w:w="70" w:type="dxa"/>
              <w:left w:w="100" w:type="dxa"/>
              <w:right w:w="100" w:type="dxa"/>
            </w:tcMar>
          </w:tcPr>
          <w:p>
            <w:pPr>
              <w:spacing w:before="0" w:after="0" w:line="264" w:lineRule="auto"/>
              <w:jc w:val="left"/>
            </w:pPr>
            <w:r>
              <w:rPr>
                <w:color w:val="282828"/>
                <w:sz w:val="16"/>
              </w:rPr>
              <w:t>stage_d2_benchmark_results.json</w:t>
            </w:r>
          </w:p>
        </w:tc>
        <w:tc>
          <w:tcPr>
            <w:tcW w:type="dxa" w:w="1872"/>
            <w:shd w:fill="FFFFFF"/>
            <w:tcMar>
              <w:top w:w="70" w:type="dxa"/>
              <w:bottom w:w="70" w:type="dxa"/>
              <w:left w:w="100" w:type="dxa"/>
              <w:right w:w="100" w:type="dxa"/>
            </w:tcMar>
          </w:tcPr>
          <w:p>
            <w:pPr>
              <w:spacing w:before="0" w:after="0" w:line="264" w:lineRule="auto"/>
              <w:jc w:val="left"/>
            </w:pPr>
            <w:r>
              <w:rPr>
                <w:color w:val="282828"/>
                <w:sz w:val="16"/>
              </w:rPr>
              <w:t>Dev (Hospital 1)</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320 patches (5 WSIs)</w:t>
            </w:r>
          </w:p>
        </w:tc>
        <w:tc>
          <w:tcPr>
            <w:tcW w:type="dxa" w:w="2592"/>
            <w:shd w:fill="FFFFFF"/>
            <w:tcMar>
              <w:top w:w="70" w:type="dxa"/>
              <w:bottom w:w="70" w:type="dxa"/>
              <w:left w:w="100" w:type="dxa"/>
              <w:right w:w="100" w:type="dxa"/>
            </w:tcMar>
          </w:tcPr>
          <w:p>
            <w:pPr>
              <w:spacing w:before="0" w:after="0" w:line="264" w:lineRule="auto"/>
              <w:jc w:val="left"/>
            </w:pPr>
            <w:r>
              <w:rPr>
                <w:color w:val="282828"/>
                <w:sz w:val="16"/>
              </w:rPr>
              <w:t>143ca46038968393b160ed8a7bf5c...</w:t>
            </w:r>
          </w:p>
        </w:tc>
      </w:tr>
      <w:tr>
        <w:trPr>
          <w:cantSplit/>
        </w:trPr>
        <w:tc>
          <w:tcPr>
            <w:tcW w:type="dxa" w:w="2592"/>
            <w:shd w:fill="F8FAFC"/>
            <w:tcMar>
              <w:top w:w="70" w:type="dxa"/>
              <w:bottom w:w="70" w:type="dxa"/>
              <w:left w:w="100" w:type="dxa"/>
              <w:right w:w="100" w:type="dxa"/>
            </w:tcMar>
          </w:tcPr>
          <w:p>
            <w:pPr>
              <w:spacing w:before="0" w:after="0" w:line="264" w:lineRule="auto"/>
              <w:jc w:val="left"/>
            </w:pPr>
            <w:r>
              <w:rPr>
                <w:color w:val="282828"/>
                <w:sz w:val="16"/>
              </w:rPr>
              <w:t>stage_e1_evaluation_results.json</w:t>
            </w:r>
          </w:p>
        </w:tc>
        <w:tc>
          <w:tcPr>
            <w:tcW w:type="dxa" w:w="1872"/>
            <w:shd w:fill="F8FAFC"/>
            <w:tcMar>
              <w:top w:w="70" w:type="dxa"/>
              <w:bottom w:w="70" w:type="dxa"/>
              <w:left w:w="100" w:type="dxa"/>
              <w:right w:w="100" w:type="dxa"/>
            </w:tcMar>
          </w:tcPr>
          <w:p>
            <w:pPr>
              <w:spacing w:before="0" w:after="0" w:line="264" w:lineRule="auto"/>
              <w:jc w:val="left"/>
            </w:pPr>
            <w:r>
              <w:rPr>
                <w:color w:val="282828"/>
                <w:sz w:val="16"/>
              </w:rPr>
              <w:t>Dev Streaming (H1)</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4 arms x 320 patches</w:t>
            </w:r>
          </w:p>
        </w:tc>
        <w:tc>
          <w:tcPr>
            <w:tcW w:type="dxa" w:w="2592"/>
            <w:shd w:fill="F8FAFC"/>
            <w:tcMar>
              <w:top w:w="70" w:type="dxa"/>
              <w:bottom w:w="70" w:type="dxa"/>
              <w:left w:w="100" w:type="dxa"/>
              <w:right w:w="100" w:type="dxa"/>
            </w:tcMar>
          </w:tcPr>
          <w:p>
            <w:pPr>
              <w:spacing w:before="0" w:after="0" w:line="264" w:lineRule="auto"/>
              <w:jc w:val="left"/>
            </w:pPr>
            <w:r>
              <w:rPr>
                <w:color w:val="282828"/>
                <w:sz w:val="16"/>
              </w:rPr>
              <w:t>ab060f1ec9e9d725e667272e80148...</w:t>
            </w:r>
          </w:p>
        </w:tc>
      </w:tr>
      <w:tr>
        <w:trPr>
          <w:cantSplit/>
        </w:trPr>
        <w:tc>
          <w:tcPr>
            <w:tcW w:type="dxa" w:w="2592"/>
            <w:shd w:fill="FFFFFF"/>
            <w:tcMar>
              <w:top w:w="70" w:type="dxa"/>
              <w:bottom w:w="70" w:type="dxa"/>
              <w:left w:w="100" w:type="dxa"/>
              <w:right w:w="100" w:type="dxa"/>
            </w:tcMar>
          </w:tcPr>
          <w:p>
            <w:pPr>
              <w:spacing w:before="0" w:after="0" w:line="264" w:lineRule="auto"/>
              <w:jc w:val="left"/>
            </w:pPr>
            <w:r>
              <w:rPr>
                <w:color w:val="282828"/>
                <w:sz w:val="16"/>
              </w:rPr>
              <w:t>stage_e2_target_results.json</w:t>
            </w:r>
          </w:p>
        </w:tc>
        <w:tc>
          <w:tcPr>
            <w:tcW w:type="dxa" w:w="1872"/>
            <w:shd w:fill="FFFFFF"/>
            <w:tcMar>
              <w:top w:w="70" w:type="dxa"/>
              <w:bottom w:w="70" w:type="dxa"/>
              <w:left w:w="100" w:type="dxa"/>
              <w:right w:w="100" w:type="dxa"/>
            </w:tcMar>
          </w:tcPr>
          <w:p>
            <w:pPr>
              <w:spacing w:before="0" w:after="0" w:line="264" w:lineRule="auto"/>
              <w:jc w:val="left"/>
            </w:pPr>
            <w:r>
              <w:rPr>
                <w:color w:val="282828"/>
                <w:sz w:val="16"/>
              </w:rPr>
              <w:t>Target (Hospital 2)</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4 arms x 1,280 patches (10 WSIs)</w:t>
            </w:r>
          </w:p>
        </w:tc>
        <w:tc>
          <w:tcPr>
            <w:tcW w:type="dxa" w:w="2592"/>
            <w:shd w:fill="FFFFFF"/>
            <w:tcMar>
              <w:top w:w="70" w:type="dxa"/>
              <w:bottom w:w="70" w:type="dxa"/>
              <w:left w:w="100" w:type="dxa"/>
              <w:right w:w="100" w:type="dxa"/>
            </w:tcMar>
          </w:tcPr>
          <w:p>
            <w:pPr>
              <w:spacing w:before="0" w:after="0" w:line="264" w:lineRule="auto"/>
              <w:jc w:val="left"/>
            </w:pPr>
            <w:r>
              <w:rPr>
                <w:color w:val="282828"/>
                <w:sz w:val="16"/>
              </w:rPr>
              <w:t>f5c90277991999ecc6ae5a63fa353...</w:t>
            </w:r>
          </w:p>
        </w:tc>
      </w:tr>
      <w:tr>
        <w:trPr>
          <w:cantSplit/>
        </w:trPr>
        <w:tc>
          <w:tcPr>
            <w:tcW w:type="dxa" w:w="2592"/>
            <w:shd w:fill="F8FAFC"/>
            <w:tcMar>
              <w:top w:w="70" w:type="dxa"/>
              <w:bottom w:w="70" w:type="dxa"/>
              <w:left w:w="100" w:type="dxa"/>
              <w:right w:w="100" w:type="dxa"/>
            </w:tcMar>
          </w:tcPr>
          <w:p>
            <w:pPr>
              <w:spacing w:before="0" w:after="0" w:line="264" w:lineRule="auto"/>
              <w:jc w:val="left"/>
            </w:pPr>
            <w:r>
              <w:rPr>
                <w:color w:val="282828"/>
                <w:sz w:val="16"/>
              </w:rPr>
              <w:t>safeadapt_e2_frozen.yaml</w:t>
            </w:r>
          </w:p>
        </w:tc>
        <w:tc>
          <w:tcPr>
            <w:tcW w:type="dxa" w:w="1872"/>
            <w:shd w:fill="F8FAFC"/>
            <w:tcMar>
              <w:top w:w="70" w:type="dxa"/>
              <w:bottom w:w="70" w:type="dxa"/>
              <w:left w:w="100" w:type="dxa"/>
              <w:right w:w="100" w:type="dxa"/>
            </w:tcMar>
          </w:tcPr>
          <w:p>
            <w:pPr>
              <w:spacing w:before="0" w:after="0" w:line="264" w:lineRule="auto"/>
              <w:jc w:val="left"/>
            </w:pPr>
            <w:r>
              <w:rPr>
                <w:color w:val="282828"/>
                <w:sz w:val="16"/>
              </w:rPr>
              <w:t>Runtime Config</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Frozen execution config</w:t>
            </w:r>
          </w:p>
        </w:tc>
        <w:tc>
          <w:tcPr>
            <w:tcW w:type="dxa" w:w="2592"/>
            <w:shd w:fill="F8FAFC"/>
            <w:tcMar>
              <w:top w:w="70" w:type="dxa"/>
              <w:bottom w:w="70" w:type="dxa"/>
              <w:left w:w="100" w:type="dxa"/>
              <w:right w:w="100" w:type="dxa"/>
            </w:tcMar>
          </w:tcPr>
          <w:p>
            <w:pPr>
              <w:spacing w:before="0" w:after="0" w:line="264" w:lineRule="auto"/>
              <w:jc w:val="left"/>
            </w:pPr>
            <w:r>
              <w:rPr>
                <w:color w:val="282828"/>
                <w:sz w:val="16"/>
              </w:rPr>
              <w:t>3042225de8be5bd013a5725898a78...</w:t>
            </w:r>
          </w:p>
        </w:tc>
      </w:tr>
    </w:tbl>
    <w:p>
      <w:pPr>
        <w:keepNext/>
        <w:spacing w:before="320" w:after="100"/>
        <w:pBdr>
          <w:bottom w:val="single" w:sz="6" w:space="4" w:color="1B365D"/>
        </w:pBdr>
      </w:pPr>
      <w:r>
        <w:rPr>
          <w:b/>
          <w:color w:val="1B365D"/>
          <w:sz w:val="30"/>
        </w:rPr>
        <w:t>5 Empirical Results &amp; Hypotheses Verification</w:t>
      </w:r>
    </w:p>
    <w:p>
      <w:pPr>
        <w:spacing w:before="0" w:after="80" w:line="276" w:lineRule="auto"/>
      </w:pPr>
      <w:r>
        <w:rPr>
          <w:color w:val="282828"/>
        </w:rPr>
        <w:t>Table 4 synthesizes the final inferential status across all preregistered hypotheses and exploratory probes.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296"/>
            <w:shd w:fill="1B365D"/>
            <w:tcMar>
              <w:top w:w="100" w:type="dxa"/>
              <w:bottom w:w="100" w:type="dxa"/>
              <w:left w:w="100" w:type="dxa"/>
              <w:right w:w="100" w:type="dxa"/>
            </w:tcMar>
          </w:tcPr>
          <w:p>
            <w:pPr>
              <w:spacing w:before="0" w:after="0"/>
              <w:jc w:val="center"/>
            </w:pPr>
            <w:r>
              <w:rPr>
                <w:b/>
                <w:color w:val="FFFFFF"/>
                <w:sz w:val="17"/>
              </w:rPr>
              <w:t>Hypothesis ID</w:t>
            </w:r>
          </w:p>
        </w:tc>
        <w:tc>
          <w:tcPr>
            <w:tcW w:type="dxa" w:w="2016"/>
            <w:shd w:fill="1B365D"/>
            <w:tcMar>
              <w:top w:w="100" w:type="dxa"/>
              <w:bottom w:w="100" w:type="dxa"/>
              <w:left w:w="100" w:type="dxa"/>
              <w:right w:w="100" w:type="dxa"/>
            </w:tcMar>
          </w:tcPr>
          <w:p>
            <w:pPr>
              <w:spacing w:before="0" w:after="0"/>
              <w:jc w:val="left"/>
            </w:pPr>
            <w:r>
              <w:rPr>
                <w:b/>
                <w:color w:val="FFFFFF"/>
                <w:sz w:val="17"/>
              </w:rPr>
              <w:t>Description</w:t>
            </w:r>
          </w:p>
        </w:tc>
        <w:tc>
          <w:tcPr>
            <w:tcW w:type="dxa" w:w="2016"/>
            <w:shd w:fill="1B365D"/>
            <w:tcMar>
              <w:top w:w="100" w:type="dxa"/>
              <w:bottom w:w="100" w:type="dxa"/>
              <w:left w:w="100" w:type="dxa"/>
              <w:right w:w="100" w:type="dxa"/>
            </w:tcMar>
          </w:tcPr>
          <w:p>
            <w:pPr>
              <w:spacing w:before="0" w:after="0"/>
              <w:jc w:val="left"/>
            </w:pPr>
            <w:r>
              <w:rPr>
                <w:b/>
                <w:color w:val="FFFFFF"/>
                <w:sz w:val="17"/>
              </w:rPr>
              <w:t>Primary Endpoint</w:t>
            </w:r>
          </w:p>
        </w:tc>
        <w:tc>
          <w:tcPr>
            <w:tcW w:type="dxa" w:w="2304"/>
            <w:shd w:fill="1B365D"/>
            <w:tcMar>
              <w:top w:w="100" w:type="dxa"/>
              <w:bottom w:w="100" w:type="dxa"/>
              <w:left w:w="100" w:type="dxa"/>
              <w:right w:w="100" w:type="dxa"/>
            </w:tcMar>
          </w:tcPr>
          <w:p>
            <w:pPr>
              <w:spacing w:before="0" w:after="0"/>
              <w:jc w:val="left"/>
            </w:pPr>
            <w:r>
              <w:rPr>
                <w:b/>
                <w:color w:val="FFFFFF"/>
                <w:sz w:val="17"/>
              </w:rPr>
              <w:t>Effect Size &amp; p-value</w:t>
            </w:r>
          </w:p>
        </w:tc>
        <w:tc>
          <w:tcPr>
            <w:tcW w:type="dxa" w:w="1728"/>
            <w:shd w:fill="1B365D"/>
            <w:tcMar>
              <w:top w:w="100" w:type="dxa"/>
              <w:bottom w:w="100" w:type="dxa"/>
              <w:left w:w="100" w:type="dxa"/>
              <w:right w:w="100" w:type="dxa"/>
            </w:tcMar>
          </w:tcPr>
          <w:p>
            <w:pPr>
              <w:spacing w:before="0" w:after="0"/>
              <w:jc w:val="center"/>
            </w:pPr>
            <w:r>
              <w:rPr>
                <w:b/>
                <w:color w:val="FFFFFF"/>
                <w:sz w:val="17"/>
              </w:rPr>
              <w:t>Formal Status</w:t>
            </w:r>
          </w:p>
        </w:tc>
      </w:tr>
      <w:tr>
        <w:trPr>
          <w:cantSplit/>
        </w:trPr>
        <w:tc>
          <w:tcPr>
            <w:tcW w:type="dxa" w:w="1296"/>
            <w:shd w:fill="FFFFFF"/>
            <w:tcMar>
              <w:top w:w="70" w:type="dxa"/>
              <w:bottom w:w="70" w:type="dxa"/>
              <w:left w:w="100" w:type="dxa"/>
              <w:right w:w="100" w:type="dxa"/>
            </w:tcMar>
          </w:tcPr>
          <w:p>
            <w:pPr>
              <w:spacing w:before="0" w:after="0" w:line="264" w:lineRule="auto"/>
              <w:jc w:val="center"/>
            </w:pPr>
            <w:r>
              <w:rPr>
                <w:color w:val="282828"/>
                <w:sz w:val="16"/>
              </w:rPr>
              <w:t>H1</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Tent Collapse Instability</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5-seed AUROC &amp; Sensitivity</w:t>
            </w:r>
          </w:p>
        </w:tc>
        <w:tc>
          <w:tcPr>
            <w:tcW w:type="dxa" w:w="2304"/>
            <w:shd w:fill="FFFFFF"/>
            <w:tcMar>
              <w:top w:w="70" w:type="dxa"/>
              <w:bottom w:w="70" w:type="dxa"/>
              <w:left w:w="100" w:type="dxa"/>
              <w:right w:w="100" w:type="dxa"/>
            </w:tcMar>
          </w:tcPr>
          <w:p>
            <w:pPr>
              <w:spacing w:before="0" w:after="0" w:line="264" w:lineRule="auto"/>
              <w:jc w:val="left"/>
            </w:pPr>
            <w:r>
              <w:rPr>
                <w:b/>
                <w:color w:val="B91C1C"/>
                <w:sz w:val="16"/>
              </w:rPr>
              <w:t>Delta = -0.232, 2/5 Collapsed</w:t>
            </w:r>
          </w:p>
        </w:tc>
        <w:tc>
          <w:tcPr>
            <w:tcW w:type="dxa" w:w="1728"/>
            <w:shd w:fill="FFFFFF"/>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8FAFC"/>
            <w:tcMar>
              <w:top w:w="70" w:type="dxa"/>
              <w:bottom w:w="70" w:type="dxa"/>
              <w:left w:w="100" w:type="dxa"/>
              <w:right w:w="100" w:type="dxa"/>
            </w:tcMar>
          </w:tcPr>
          <w:p>
            <w:pPr>
              <w:spacing w:before="0" w:after="0" w:line="264" w:lineRule="auto"/>
              <w:jc w:val="center"/>
            </w:pPr>
            <w:r>
              <w:rPr>
                <w:color w:val="282828"/>
                <w:sz w:val="16"/>
              </w:rPr>
              <w:t>H2</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Selective Harm Reduction</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Harm Rate &amp; Paired F1</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Harm: 18.7% -&gt; 0.7%, d=2.26</w:t>
            </w:r>
          </w:p>
        </w:tc>
        <w:tc>
          <w:tcPr>
            <w:tcW w:type="dxa" w:w="1728"/>
            <w:shd w:fill="F8FAFC"/>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FFFFF"/>
            <w:tcMar>
              <w:top w:w="70" w:type="dxa"/>
              <w:bottom w:w="70" w:type="dxa"/>
              <w:left w:w="100" w:type="dxa"/>
              <w:right w:w="100" w:type="dxa"/>
            </w:tcMar>
          </w:tcPr>
          <w:p>
            <w:pPr>
              <w:spacing w:before="0" w:after="0" w:line="264" w:lineRule="auto"/>
              <w:jc w:val="center"/>
            </w:pPr>
            <w:r>
              <w:rPr>
                <w:color w:val="282828"/>
                <w:sz w:val="16"/>
              </w:rPr>
              <w:t>H3</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Binary Gating Equivalence</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Spearman rho &amp; Delta AUROC</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rho = -0.9917, p = 0.8688</w:t>
            </w:r>
          </w:p>
        </w:tc>
        <w:tc>
          <w:tcPr>
            <w:tcW w:type="dxa" w:w="1728"/>
            <w:shd w:fill="FFFFFF"/>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8FAFC"/>
            <w:tcMar>
              <w:top w:w="70" w:type="dxa"/>
              <w:bottom w:w="70" w:type="dxa"/>
              <w:left w:w="100" w:type="dxa"/>
              <w:right w:w="100" w:type="dxa"/>
            </w:tcMar>
          </w:tcPr>
          <w:p>
            <w:pPr>
              <w:spacing w:before="0" w:after="0" w:line="264" w:lineRule="auto"/>
              <w:jc w:val="center"/>
            </w:pPr>
            <w:r>
              <w:rPr>
                <w:color w:val="282828"/>
                <w:sz w:val="16"/>
              </w:rPr>
              <w:t>H4</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Matched-Coverage Failure</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Random Gate AUROC &amp; Harm</w:t>
            </w:r>
          </w:p>
        </w:tc>
        <w:tc>
          <w:tcPr>
            <w:tcW w:type="dxa" w:w="2304"/>
            <w:shd w:fill="F8FAFC"/>
            <w:tcMar>
              <w:top w:w="70" w:type="dxa"/>
              <w:bottom w:w="70" w:type="dxa"/>
              <w:left w:w="100" w:type="dxa"/>
              <w:right w:w="100" w:type="dxa"/>
            </w:tcMar>
          </w:tcPr>
          <w:p>
            <w:pPr>
              <w:spacing w:before="0" w:after="0" w:line="264" w:lineRule="auto"/>
              <w:jc w:val="left"/>
            </w:pPr>
            <w:r>
              <w:rPr>
                <w:b/>
                <w:color w:val="B91C1C"/>
                <w:sz w:val="16"/>
              </w:rPr>
              <w:t>AUROC: 0.697, 2/5 Collapsed</w:t>
            </w:r>
          </w:p>
        </w:tc>
        <w:tc>
          <w:tcPr>
            <w:tcW w:type="dxa" w:w="1728"/>
            <w:shd w:fill="F8FAFC"/>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FFFFF"/>
            <w:tcMar>
              <w:top w:w="70" w:type="dxa"/>
              <w:bottom w:w="70" w:type="dxa"/>
              <w:left w:w="100" w:type="dxa"/>
              <w:right w:w="100" w:type="dxa"/>
            </w:tcMar>
          </w:tcPr>
          <w:p>
            <w:pPr>
              <w:spacing w:before="0" w:after="0" w:line="264" w:lineRule="auto"/>
              <w:jc w:val="center"/>
            </w:pPr>
            <w:r>
              <w:rPr>
                <w:color w:val="282828"/>
                <w:sz w:val="16"/>
              </w:rPr>
              <w:t>H5</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SafeAdapt Runtime Bounding</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Max L_inf Displacement</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Max disp = 4.01e-5 &lt;&lt; 0.05</w:t>
            </w:r>
          </w:p>
        </w:tc>
        <w:tc>
          <w:tcPr>
            <w:tcW w:type="dxa" w:w="1728"/>
            <w:shd w:fill="FFFFFF"/>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8FAFC"/>
            <w:tcMar>
              <w:top w:w="70" w:type="dxa"/>
              <w:bottom w:w="70" w:type="dxa"/>
              <w:left w:w="100" w:type="dxa"/>
              <w:right w:w="100" w:type="dxa"/>
            </w:tcMar>
          </w:tcPr>
          <w:p>
            <w:pPr>
              <w:spacing w:before="0" w:after="0" w:line="264" w:lineRule="auto"/>
              <w:jc w:val="center"/>
            </w:pPr>
            <w:r>
              <w:rPr>
                <w:color w:val="282828"/>
                <w:sz w:val="16"/>
              </w:rPr>
              <w:t>H6</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Target Positive Transfer</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Hospital 2 AUROC &amp; F1</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Delta AUROC = -0.0008</w:t>
            </w:r>
          </w:p>
        </w:tc>
        <w:tc>
          <w:tcPr>
            <w:tcW w:type="dxa" w:w="1728"/>
            <w:shd w:fill="F8FAFC"/>
            <w:tcMar>
              <w:top w:w="70" w:type="dxa"/>
              <w:bottom w:w="70" w:type="dxa"/>
              <w:left w:w="100" w:type="dxa"/>
              <w:right w:w="100" w:type="dxa"/>
            </w:tcMar>
          </w:tcPr>
          <w:p>
            <w:pPr>
              <w:spacing w:before="0" w:after="0" w:line="264" w:lineRule="auto"/>
              <w:jc w:val="center"/>
            </w:pPr>
            <w:r>
              <w:rPr>
                <w:b/>
                <w:color w:val="B91C1C"/>
                <w:sz w:val="16"/>
              </w:rPr>
              <w:t>CONTRADICTED</w:t>
            </w:r>
          </w:p>
        </w:tc>
      </w:tr>
      <w:tr>
        <w:trPr>
          <w:cantSplit/>
        </w:trPr>
        <w:tc>
          <w:tcPr>
            <w:tcW w:type="dxa" w:w="1296"/>
            <w:shd w:fill="FFFFFF"/>
            <w:tcMar>
              <w:top w:w="70" w:type="dxa"/>
              <w:bottom w:w="70" w:type="dxa"/>
              <w:left w:w="100" w:type="dxa"/>
              <w:right w:w="100" w:type="dxa"/>
            </w:tcMar>
          </w:tcPr>
          <w:p>
            <w:pPr>
              <w:spacing w:before="0" w:after="0" w:line="264" w:lineRule="auto"/>
              <w:jc w:val="center"/>
            </w:pPr>
            <w:r>
              <w:rPr>
                <w:color w:val="282828"/>
                <w:sz w:val="16"/>
              </w:rPr>
              <w:t>Probe 1</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Evidential Decoupling</w:t>
            </w:r>
          </w:p>
        </w:tc>
        <w:tc>
          <w:tcPr>
            <w:tcW w:type="dxa" w:w="2016"/>
            <w:shd w:fill="FFFFFF"/>
            <w:tcMar>
              <w:top w:w="70" w:type="dxa"/>
              <w:bottom w:w="70" w:type="dxa"/>
              <w:left w:w="100" w:type="dxa"/>
              <w:right w:w="100" w:type="dxa"/>
            </w:tcMar>
          </w:tcPr>
          <w:p>
            <w:pPr>
              <w:spacing w:before="0" w:after="0" w:line="264" w:lineRule="auto"/>
              <w:jc w:val="left"/>
            </w:pPr>
            <w:r>
              <w:rPr>
                <w:color w:val="282828"/>
                <w:sz w:val="16"/>
              </w:rPr>
              <w:t>NCT-CRC-HE 9-class Harm</w:t>
            </w:r>
          </w:p>
        </w:tc>
        <w:tc>
          <w:tcPr>
            <w:tcW w:type="dxa" w:w="2304"/>
            <w:shd w:fill="FFFFFF"/>
            <w:tcMar>
              <w:top w:w="70" w:type="dxa"/>
              <w:bottom w:w="70" w:type="dxa"/>
              <w:left w:w="100" w:type="dxa"/>
              <w:right w:w="100" w:type="dxa"/>
            </w:tcMar>
          </w:tcPr>
          <w:p>
            <w:pPr>
              <w:spacing w:before="0" w:after="0" w:line="264" w:lineRule="auto"/>
              <w:jc w:val="left"/>
            </w:pPr>
            <w:r>
              <w:rPr>
                <w:color w:val="282828"/>
                <w:sz w:val="16"/>
              </w:rPr>
              <w:t>Harm Rate = 0.0% (4 net gain)</w:t>
            </w:r>
          </w:p>
        </w:tc>
        <w:tc>
          <w:tcPr>
            <w:tcW w:type="dxa" w:w="1728"/>
            <w:shd w:fill="FFFFFF"/>
            <w:tcMar>
              <w:top w:w="70" w:type="dxa"/>
              <w:bottom w:w="70" w:type="dxa"/>
              <w:left w:w="100" w:type="dxa"/>
              <w:right w:w="100" w:type="dxa"/>
            </w:tcMar>
          </w:tcPr>
          <w:p>
            <w:pPr>
              <w:spacing w:before="0" w:after="0" w:line="264" w:lineRule="auto"/>
              <w:jc w:val="center"/>
            </w:pPr>
            <w:r>
              <w:rPr>
                <w:b/>
                <w:color w:val="15803D"/>
                <w:sz w:val="16"/>
              </w:rPr>
              <w:t>SUPPORTED</w:t>
            </w:r>
          </w:p>
        </w:tc>
      </w:tr>
      <w:tr>
        <w:trPr>
          <w:cantSplit/>
        </w:trPr>
        <w:tc>
          <w:tcPr>
            <w:tcW w:type="dxa" w:w="1296"/>
            <w:shd w:fill="F8FAFC"/>
            <w:tcMar>
              <w:top w:w="70" w:type="dxa"/>
              <w:bottom w:w="70" w:type="dxa"/>
              <w:left w:w="100" w:type="dxa"/>
              <w:right w:w="100" w:type="dxa"/>
            </w:tcMar>
          </w:tcPr>
          <w:p>
            <w:pPr>
              <w:spacing w:before="0" w:after="0" w:line="264" w:lineRule="auto"/>
              <w:jc w:val="center"/>
            </w:pPr>
            <w:r>
              <w:rPr>
                <w:color w:val="282828"/>
                <w:sz w:val="16"/>
              </w:rPr>
              <w:t>Probe 2</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Multi-Scanner Detection</w:t>
            </w:r>
          </w:p>
        </w:tc>
        <w:tc>
          <w:tcPr>
            <w:tcW w:type="dxa" w:w="2016"/>
            <w:shd w:fill="F8FAFC"/>
            <w:tcMar>
              <w:top w:w="70" w:type="dxa"/>
              <w:bottom w:w="70" w:type="dxa"/>
              <w:left w:w="100" w:type="dxa"/>
              <w:right w:w="100" w:type="dxa"/>
            </w:tcMar>
          </w:tcPr>
          <w:p>
            <w:pPr>
              <w:spacing w:before="0" w:after="0" w:line="264" w:lineRule="auto"/>
              <w:jc w:val="left"/>
            </w:pPr>
            <w:r>
              <w:rPr>
                <w:color w:val="282828"/>
                <w:sz w:val="16"/>
              </w:rPr>
              <w:t>MIDOG 2021 Faster R-CNN F1</w:t>
            </w:r>
          </w:p>
        </w:tc>
        <w:tc>
          <w:tcPr>
            <w:tcW w:type="dxa" w:w="2304"/>
            <w:shd w:fill="F8FAFC"/>
            <w:tcMar>
              <w:top w:w="70" w:type="dxa"/>
              <w:bottom w:w="70" w:type="dxa"/>
              <w:left w:w="100" w:type="dxa"/>
              <w:right w:w="100" w:type="dxa"/>
            </w:tcMar>
          </w:tcPr>
          <w:p>
            <w:pPr>
              <w:spacing w:before="0" w:after="0" w:line="264" w:lineRule="auto"/>
              <w:jc w:val="left"/>
            </w:pPr>
            <w:r>
              <w:rPr>
                <w:color w:val="282828"/>
                <w:sz w:val="16"/>
              </w:rPr>
              <w:t>Delta F1 = +0.0134 (p &lt; 0.05)</w:t>
            </w:r>
          </w:p>
        </w:tc>
        <w:tc>
          <w:tcPr>
            <w:tcW w:type="dxa" w:w="1728"/>
            <w:shd w:fill="F8FAFC"/>
            <w:tcMar>
              <w:top w:w="70" w:type="dxa"/>
              <w:bottom w:w="70" w:type="dxa"/>
              <w:left w:w="100" w:type="dxa"/>
              <w:right w:w="100" w:type="dxa"/>
            </w:tcMar>
          </w:tcPr>
          <w:p>
            <w:pPr>
              <w:spacing w:before="0" w:after="0" w:line="264" w:lineRule="auto"/>
              <w:jc w:val="center"/>
            </w:pPr>
            <w:r>
              <w:rPr>
                <w:b/>
                <w:color w:val="15803D"/>
                <w:sz w:val="16"/>
              </w:rPr>
              <w:t>SUPPORTED</w:t>
            </w:r>
          </w:p>
        </w:tc>
      </w:tr>
    </w:tbl>
    <w:p>
      <w:pPr>
        <w:keepNext/>
        <w:spacing w:before="320" w:after="100"/>
        <w:pBdr>
          <w:bottom w:val="single" w:sz="6" w:space="4" w:color="1B365D"/>
        </w:pBdr>
      </w:pPr>
      <w:r>
        <w:rPr>
          <w:b/>
          <w:color w:val="1B365D"/>
          <w:sz w:val="30"/>
        </w:rPr>
        <w:t>6 Discussion &amp; Scientific Firewall</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20" w:space="0" w:color="8A1538"/>
              <w:top w:val="none"/>
              <w:bottom w:val="none"/>
              <w:right w:val="none"/>
            </w:tcBorders>
          </w:tcPr>
          <w:p>
            <w:pPr>
              <w:spacing w:before="0" w:after="0" w:line="276" w:lineRule="auto"/>
            </w:pPr>
            <w:r>
              <w:rPr>
                <w:b/>
                <w:color w:val="1B365D"/>
                <w:sz w:val="19"/>
              </w:rPr>
              <w:t xml:space="preserve">[SCIENTIFIC FIREWALL] </w:t>
            </w:r>
            <w:r>
              <w:rPr>
                <w:color w:val="282828"/>
                <w:sz w:val="19"/>
              </w:rPr>
              <w:t>SCIENTIFIC FIREWALL (WHAT THE RESULTS DO NOT CLAIM):</w:t>
              <w:br/>
              <w:br/>
              <w:t>1. NOT CLAIMED: Certified Clinical Safety — SafeAdapt is an engineering controller with bounded parameter projections; it does not provide clinical non-inferiority guarantees.</w:t>
              <w:br/>
              <w:t>2. NOT CLAIMED: Universal SOTA AUROC Gain — Selective gating preserves discriminative accuracy; it does not establish a statistically significant AUROC gain over a frozen source model (p = 0.4199).</w:t>
              <w:br/>
              <w:t>3. NOT CLAIMED: Universal Uncertainty Equivalence — Monotonicity holds strictly for single-logit binary classification; in multi-class settings (K &gt;= 3), evidential vacuity decouples from confidence.</w:t>
              <w:br/>
              <w:t>4. NOT CLAIMED: Clinical Deployment Readiness — The software is an investigational prototype and is strictly contra-indicated for primary clinical diagnostic use.</w:t>
            </w:r>
          </w:p>
        </w:tc>
      </w:tr>
    </w:tbl>
    <w:p>
      <w:pPr>
        <w:spacing w:before="0" w:after="80"/>
      </w:pPr>
    </w:p>
    <w:p>
      <w:pPr>
        <w:keepNext/>
        <w:spacing w:before="320" w:after="100"/>
        <w:pBdr>
          <w:bottom w:val="single" w:sz="6" w:space="4" w:color="1B365D"/>
        </w:pBdr>
      </w:pPr>
      <w:r>
        <w:rPr>
          <w:b/>
          <w:color w:val="1B365D"/>
          <w:sz w:val="30"/>
        </w:rPr>
        <w:t>7 Reproducibility, Toolchain &amp; Data Integrity</w:t>
      </w:r>
    </w:p>
    <w:p>
      <w:pPr>
        <w:spacing w:before="0" w:after="80" w:line="276" w:lineRule="auto"/>
      </w:pPr>
      <w:r>
        <w:rPr>
          <w:color w:val="282828"/>
        </w:rPr>
        <w:t>Environment Specifications:</w:t>
        <w:br/>
        <w:t>- Python Interpreter: Python 3.14.2 (Verified in conda environment 'avinash')</w:t>
        <w:br/>
        <w:t>- PyTorch Core: 2.14.0+cpu | Pytest: 9.1.1</w:t>
        <w:br/>
        <w:t>- Automated Regression Suite: 120 passed, 2 skipped, 0 failed in 11.16s</w:t>
        <w:br/>
        <w:t>- Table Consistency Audit: 54 of 54 checks passed (100% bit-exact consistency)</w:t>
      </w:r>
    </w:p>
    <w:p>
      <w:pPr>
        <w:keepNext/>
        <w:spacing w:before="320" w:after="100"/>
        <w:pBdr>
          <w:bottom w:val="single" w:sz="6" w:space="4" w:color="1B365D"/>
        </w:pBdr>
      </w:pPr>
      <w:r>
        <w:rPr>
          <w:b/>
          <w:color w:val="1B365D"/>
          <w:sz w:val="30"/>
        </w:rPr>
        <w:t>8 Conclusion</w:t>
      </w:r>
    </w:p>
    <w:p>
      <w:pPr>
        <w:spacing w:before="0" w:after="80" w:line="276" w:lineRule="auto"/>
      </w:pPr>
      <w:r>
        <w:rPr>
          <w:color w:val="282828"/>
        </w:rPr>
        <w:t>Unsupervised test-time adaptation via unconstrained entropy minimization is unstable in computational pathology, suffering catastrophic representation collapse under multi-seed evaluation. SafeAdapt-TTA resolves gross instability through selective uncertainty gating, cutting harmful adaptations ~25-fold and consistently improving paired F1. In single-logit binary classification, deterministic confidence gating matches MC-dropout predictive variance while saving 3.55x computational overhead. However, rigorous evaluation on an external clinical target domain reveals that parameter-bounding safeguards cannot convert negative adaptation dynamics into positive diagnostic transfer on outlier slides. These findings underscore the critical necessity of multi-seed reporting, slide-level inferential units, and rigorous safeguarding before considering test-time adaptation for clinical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SRM University-AP, Amaravathi, Andhra Pradesh, India — Department of Computer Science and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UROP Monograph | SRM University-AP | SafeAdapt-TTA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