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F757" w14:textId="5DD1C493" w:rsidR="0016093B" w:rsidRDefault="001001ED" w:rsidP="001001ED">
      <w:pPr>
        <w:pStyle w:val="Title"/>
      </w:pPr>
      <w:r>
        <w:t>FlowHR | Aura Flow 3.0 Project Solution</w:t>
      </w:r>
    </w:p>
    <w:p w14:paraId="68A87085" w14:textId="20F189D7" w:rsidR="001001ED" w:rsidRDefault="001001ED" w:rsidP="001001ED">
      <w:pPr>
        <w:pStyle w:val="Subtitle"/>
      </w:pPr>
      <w:r>
        <w:t>Tredence Case Study - High-End SaaS Overhaul</w:t>
      </w:r>
    </w:p>
    <w:p w14:paraId="0FE30A7B" w14:textId="77777777" w:rsidR="001001ED" w:rsidRDefault="001001ED" w:rsidP="001001ED"/>
    <w:p w14:paraId="2218EA4F" w14:textId="30E1A9D9" w:rsidR="001001ED" w:rsidRDefault="001001ED" w:rsidP="001001ED">
      <w:pPr>
        <w:pStyle w:val="Heading1"/>
      </w:pPr>
      <w:r>
        <w:t>1. Executive Summary</w:t>
      </w:r>
    </w:p>
    <w:p w14:paraId="46E7A1E9" w14:textId="5CCB008F" w:rsidR="001001ED" w:rsidRDefault="001001ED" w:rsidP="001001ED">
      <w:r>
        <w:t>The FlowHR project has been successfully modernized into a premium, designer-first platform. By eliminating the legacy landing page and implementing the Aura Flow 3.0 design system, we have achieved a high-performance workspace that prioritizes user ergonomics and visual excellence.</w:t>
      </w:r>
    </w:p>
    <w:p w14:paraId="473885CE" w14:textId="5E720DB8" w:rsidR="001001ED" w:rsidRDefault="001001ED" w:rsidP="001001ED">
      <w:pPr>
        <w:pStyle w:val="Heading1"/>
      </w:pPr>
      <w:r>
        <w:t>2. Key Architectural Improvements</w:t>
      </w:r>
    </w:p>
    <w:p w14:paraId="0A7034CE" w14:textId="0DA67EEF" w:rsidR="001001ED" w:rsidRDefault="001001ED" w:rsidP="001001ED">
      <w:r>
        <w:t>- Designer-First Entry: Removed entry friction by making the Designer the home page.</w:t>
      </w:r>
    </w:p>
    <w:p w14:paraId="5232131D" w14:textId="6614127B" w:rsidR="001001ED" w:rsidRDefault="001001ED" w:rsidP="001001ED">
      <w:r>
        <w:t>- Spatial Freedom: Expanded all paddings to p-16 and beyond to eliminate visual tightness.</w:t>
      </w:r>
    </w:p>
    <w:p w14:paraId="7FAA4B4E" w14:textId="4317E7D2" w:rsidR="001001ED" w:rsidRDefault="001001ED" w:rsidP="001001ED">
      <w:r>
        <w:t>- Global Symmetric Alignment: Achieved architectural balance through perfect center-alignment.</w:t>
      </w:r>
    </w:p>
    <w:p w14:paraId="3B19E77D" w14:textId="6BD27468" w:rsidR="001001ED" w:rsidRDefault="001001ED" w:rsidP="001001ED">
      <w:r>
        <w:t>- Production Stability: Fixed all TypeScript and build-time errors for zero-failure Vercel deployment.</w:t>
      </w:r>
    </w:p>
    <w:p w14:paraId="47152466" w14:textId="11223CD1" w:rsidR="001001ED" w:rsidRDefault="001001ED" w:rsidP="001001ED">
      <w:pPr>
        <w:pStyle w:val="Heading1"/>
      </w:pPr>
      <w:r>
        <w:t>3. Design Tokens (Aura Flow 3.0)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1001ED" w14:paraId="5876B28C" w14:textId="77777777" w:rsidTr="001001E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68DAF9F" w14:textId="224905B8" w:rsidR="001001ED" w:rsidRDefault="001001ED" w:rsidP="001001ED">
            <w:r>
              <w:t>Token Category</w:t>
            </w:r>
          </w:p>
        </w:tc>
        <w:tc>
          <w:tcPr>
            <w:tcW w:w="4513" w:type="dxa"/>
          </w:tcPr>
          <w:p w14:paraId="2497391C" w14:textId="666D1F7C" w:rsidR="001001ED" w:rsidRDefault="001001ED" w:rsidP="001001ED">
            <w:r>
              <w:t>Implementation Detail</w:t>
            </w:r>
          </w:p>
        </w:tc>
      </w:tr>
      <w:tr w:rsidR="001001ED" w14:paraId="1439E187" w14:textId="77777777" w:rsidTr="001001E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CAC9AB8" w14:textId="035DD601" w:rsidR="001001ED" w:rsidRDefault="001001ED" w:rsidP="001001ED">
            <w:r>
              <w:t>Surfaces</w:t>
            </w:r>
          </w:p>
        </w:tc>
        <w:tc>
          <w:tcPr>
            <w:tcW w:w="4513" w:type="dxa"/>
          </w:tcPr>
          <w:p w14:paraId="64B87A54" w14:textId="41E7A4CD" w:rsidR="001001ED" w:rsidRDefault="001001ED" w:rsidP="001001ED">
            <w:r>
              <w:t>Deep Glassmorphism (Blur 40px, 40% Opacity)</w:t>
            </w:r>
          </w:p>
        </w:tc>
      </w:tr>
      <w:tr w:rsidR="001001ED" w14:paraId="2C2873BB" w14:textId="77777777" w:rsidTr="001001E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B8DB8EF" w14:textId="6EAA2E67" w:rsidR="001001ED" w:rsidRDefault="001001ED" w:rsidP="001001ED">
            <w:r>
              <w:t>Typography</w:t>
            </w:r>
          </w:p>
        </w:tc>
        <w:tc>
          <w:tcPr>
            <w:tcW w:w="4513" w:type="dxa"/>
          </w:tcPr>
          <w:p w14:paraId="56FC67D6" w14:textId="11C30EC5" w:rsidR="001001ED" w:rsidRDefault="001001ED" w:rsidP="001001ED">
            <w:r>
              <w:t>Plus Jakarta Sans (Font-Black, Tracking-Tighter)</w:t>
            </w:r>
          </w:p>
        </w:tc>
      </w:tr>
      <w:tr w:rsidR="001001ED" w14:paraId="12603364" w14:textId="77777777" w:rsidTr="001001E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6EC917F" w14:textId="031A5E08" w:rsidR="001001ED" w:rsidRDefault="001001ED" w:rsidP="001001ED">
            <w:r>
              <w:t>Spacing</w:t>
            </w:r>
          </w:p>
        </w:tc>
        <w:tc>
          <w:tcPr>
            <w:tcW w:w="4513" w:type="dxa"/>
          </w:tcPr>
          <w:p w14:paraId="5C967054" w14:textId="259610CE" w:rsidR="001001ED" w:rsidRDefault="001001ED" w:rsidP="001001ED">
            <w:r>
              <w:t>Expansive (4rem / 64px standard gaps)</w:t>
            </w:r>
          </w:p>
        </w:tc>
      </w:tr>
      <w:tr w:rsidR="001001ED" w14:paraId="000D88E2" w14:textId="77777777" w:rsidTr="001001E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FA033E3" w14:textId="090F75A6" w:rsidR="001001ED" w:rsidRDefault="001001ED" w:rsidP="001001ED">
            <w:r>
              <w:t>Alignment</w:t>
            </w:r>
          </w:p>
        </w:tc>
        <w:tc>
          <w:tcPr>
            <w:tcW w:w="4513" w:type="dxa"/>
          </w:tcPr>
          <w:p w14:paraId="0FF3338E" w14:textId="31211E5F" w:rsidR="001001ED" w:rsidRDefault="001001ED" w:rsidP="001001ED">
            <w:r>
              <w:t>Symmetric Center-Alignment</w:t>
            </w:r>
          </w:p>
        </w:tc>
      </w:tr>
    </w:tbl>
    <w:p w14:paraId="01CE650B" w14:textId="77777777" w:rsidR="001001ED" w:rsidRPr="001001ED" w:rsidRDefault="001001ED" w:rsidP="001001ED"/>
    <w:sectPr w:rsidR="001001ED" w:rsidRPr="00100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ED"/>
    <w:rsid w:val="001001ED"/>
    <w:rsid w:val="0016093B"/>
    <w:rsid w:val="00D5176F"/>
    <w:rsid w:val="00DF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E039"/>
  <w15:chartTrackingRefBased/>
  <w15:docId w15:val="{3A7B4943-A92B-4329-8E0C-361E702D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Vats</dc:creator>
  <cp:keywords/>
  <dc:description/>
  <cp:lastModifiedBy>Abhinav Vats</cp:lastModifiedBy>
  <cp:revision>1</cp:revision>
  <dcterms:created xsi:type="dcterms:W3CDTF">2026-04-23T14:40:00Z</dcterms:created>
  <dcterms:modified xsi:type="dcterms:W3CDTF">2026-04-23T14:40:00Z</dcterms:modified>
</cp:coreProperties>
</file>