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1022194" cy="1224000"/>
            <wp:docPr id="1" name="Picture 1"/>
            <wp:cNvGraphicFramePr>
              <a:graphicFrameLocks noChangeAspect="1"/>
            </wp:cNvGraphicFramePr>
            <a:graphic>
              <a:graphicData uri="http://schemas.openxmlformats.org/drawingml/2006/picture">
                <pic:pic>
                  <pic:nvPicPr>
                    <pic:cNvPr id="0" name="uom_crest.png"/>
                    <pic:cNvPicPr/>
                  </pic:nvPicPr>
                  <pic:blipFill>
                    <a:blip r:embed="rId10"/>
                    <a:stretch>
                      <a:fillRect/>
                    </a:stretch>
                  </pic:blipFill>
                  <pic:spPr>
                    <a:xfrm>
                      <a:off x="0" y="0"/>
                      <a:ext cx="1022194" cy="1224000"/>
                    </a:xfrm>
                    <a:prstGeom prst="rect"/>
                  </pic:spPr>
                </pic:pic>
              </a:graphicData>
            </a:graphic>
          </wp:inline>
        </w:drawing>
      </w:r>
    </w:p>
    <w:p>
      <w:pPr>
        <w:spacing w:after="40"/>
        <w:jc w:val="center"/>
      </w:pPr>
      <w:r>
        <w:rPr>
          <w:b/>
          <w:sz w:val="26"/>
        </w:rPr>
        <w:t>DEPARTMENT OF MANAGEMENT OF TECHNOLOGY</w:t>
      </w:r>
    </w:p>
    <w:p>
      <w:pPr>
        <w:spacing w:after="40"/>
        <w:jc w:val="center"/>
      </w:pPr>
      <w:r>
        <w:rPr>
          <w:b/>
          <w:sz w:val="24"/>
        </w:rPr>
        <w:t>FACULTY OF BUSINESS</w:t>
      </w:r>
    </w:p>
    <w:p>
      <w:pPr>
        <w:spacing w:after="520"/>
        <w:jc w:val="center"/>
      </w:pPr>
      <w:r>
        <w:rPr>
          <w:b/>
          <w:sz w:val="24"/>
        </w:rPr>
        <w:t>UNIVERSITY OF MORATUWA</w:t>
      </w:r>
    </w:p>
    <w:p>
      <w:pPr>
        <w:spacing w:after="80"/>
        <w:jc w:val="center"/>
      </w:pPr>
      <w:r>
        <w:rPr>
          <w:b/>
          <w:color w:val="1F3A5F"/>
          <w:sz w:val="28"/>
        </w:rPr>
        <w:t>TM3221 – Data Science for BPM</w:t>
      </w:r>
    </w:p>
    <w:p>
      <w:pPr>
        <w:spacing w:after="520"/>
        <w:jc w:val="center"/>
      </w:pPr>
      <w:r>
        <w:rPr>
          <w:b w:val="0"/>
          <w:sz w:val="24"/>
        </w:rPr>
        <w:t>Group Assignment</w:t>
      </w:r>
    </w:p>
    <w:p>
      <w:pPr>
        <w:spacing w:after="120"/>
        <w:jc w:val="center"/>
      </w:pPr>
      <w:r>
        <w:rPr>
          <w:b/>
          <w:color w:val="1F3A5F"/>
          <w:sz w:val="40"/>
        </w:rPr>
        <w:t>Customer Churn Prediction and Analysis Using Machine Learning</w:t>
      </w:r>
    </w:p>
    <w:p>
      <w:pPr>
        <w:spacing w:after="600"/>
        <w:jc w:val="center"/>
      </w:pPr>
      <w:r>
        <w:rPr>
          <w:b w:val="0"/>
          <w:color w:val="1F3A5F"/>
          <w:sz w:val="28"/>
        </w:rPr>
        <w:t>A Data-Driven Approach for Customer Retention</w:t>
      </w:r>
    </w:p>
    <w:p>
      <w:pPr>
        <w:spacing w:after="200"/>
        <w:jc w:val="center"/>
      </w:pPr>
      <w:r>
        <w:rPr>
          <w:b/>
          <w:sz w:val="24"/>
        </w:rPr>
        <w:t>Group name: [Group name]</w:t>
      </w:r>
    </w:p>
    <w:tbl>
      <w:tblPr>
        <w:tblW w:type="dxa" w:w="5953"/>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firstColumn="1" w:firstRow="1" w:lastColumn="0" w:lastRow="0" w:noHBand="0" w:noVBand="1" w:val="04A0"/>
      </w:tblPr>
      <w:tblGrid>
        <w:gridCol w:w="3685"/>
        <w:gridCol w:w="2268"/>
      </w:tblGrid>
      <w:tr>
        <w:tc>
          <w:tcPr>
            <w:tcW w:type="dxa" w:w="3685"/>
            <w:shd w:val="clear" w:color="auto" w:fill="DCE6F2"/>
          </w:tcPr>
          <w:p>
            <w:r/>
            <w:r>
              <w:rPr>
                <w:b/>
              </w:rPr>
              <w:t>Name</w:t>
            </w:r>
          </w:p>
        </w:tc>
        <w:tc>
          <w:tcPr>
            <w:tcW w:type="dxa" w:w="2268"/>
            <w:shd w:val="clear" w:color="auto" w:fill="DCE6F2"/>
          </w:tcPr>
          <w:p>
            <w:r/>
            <w:r>
              <w:rPr>
                <w:b/>
              </w:rPr>
              <w:t>Index number</w:t>
            </w:r>
          </w:p>
        </w:tc>
      </w:tr>
      <w:tr>
        <w:tc>
          <w:tcPr>
            <w:tcW w:type="dxa" w:w="3685"/>
          </w:tcPr>
          <w:p>
            <w:r/>
            <w:r>
              <w:rPr>
                <w:b w:val="0"/>
              </w:rPr>
              <w:t>[Member name]</w:t>
            </w:r>
          </w:p>
        </w:tc>
        <w:tc>
          <w:tcPr>
            <w:tcW w:type="dxa" w:w="2268"/>
          </w:tcPr>
          <w:p>
            <w:r/>
            <w:r>
              <w:rPr>
                <w:b w:val="0"/>
              </w:rPr>
              <w:t>[Index no.]</w:t>
            </w:r>
          </w:p>
        </w:tc>
      </w:tr>
      <w:tr>
        <w:tc>
          <w:tcPr>
            <w:tcW w:type="dxa" w:w="3685"/>
          </w:tcPr>
          <w:p>
            <w:r/>
            <w:r>
              <w:rPr>
                <w:b w:val="0"/>
              </w:rPr>
              <w:t>[Member name]</w:t>
            </w:r>
          </w:p>
        </w:tc>
        <w:tc>
          <w:tcPr>
            <w:tcW w:type="dxa" w:w="2268"/>
          </w:tcPr>
          <w:p>
            <w:r/>
            <w:r>
              <w:rPr>
                <w:b w:val="0"/>
              </w:rPr>
              <w:t>[Index no.]</w:t>
            </w:r>
          </w:p>
        </w:tc>
      </w:tr>
      <w:tr>
        <w:tc>
          <w:tcPr>
            <w:tcW w:type="dxa" w:w="3685"/>
          </w:tcPr>
          <w:p>
            <w:r/>
            <w:r>
              <w:rPr>
                <w:b w:val="0"/>
              </w:rPr>
              <w:t>[Member name]</w:t>
            </w:r>
          </w:p>
        </w:tc>
        <w:tc>
          <w:tcPr>
            <w:tcW w:type="dxa" w:w="2268"/>
          </w:tcPr>
          <w:p>
            <w:r/>
            <w:r>
              <w:rPr>
                <w:b w:val="0"/>
              </w:rPr>
              <w:t>[Index no.]</w:t>
            </w:r>
          </w:p>
        </w:tc>
      </w:tr>
      <w:tr>
        <w:tc>
          <w:tcPr>
            <w:tcW w:type="dxa" w:w="3685"/>
          </w:tcPr>
          <w:p>
            <w:r/>
            <w:r>
              <w:rPr>
                <w:b w:val="0"/>
              </w:rPr>
              <w:t>[Member name]</w:t>
            </w:r>
          </w:p>
        </w:tc>
        <w:tc>
          <w:tcPr>
            <w:tcW w:type="dxa" w:w="2268"/>
          </w:tcPr>
          <w:p>
            <w:r/>
            <w:r>
              <w:rPr>
                <w:b w:val="0"/>
              </w:rPr>
              <w:t>[Index no.]</w:t>
            </w:r>
          </w:p>
        </w:tc>
      </w:tr>
      <w:tr>
        <w:tc>
          <w:tcPr>
            <w:tcW w:type="dxa" w:w="3685"/>
          </w:tcPr>
          <w:p>
            <w:r/>
            <w:r>
              <w:rPr>
                <w:b w:val="0"/>
              </w:rPr>
              <w:t>[Member name]</w:t>
            </w:r>
          </w:p>
        </w:tc>
        <w:tc>
          <w:tcPr>
            <w:tcW w:type="dxa" w:w="2268"/>
          </w:tcPr>
          <w:p>
            <w:r/>
            <w:r>
              <w:rPr>
                <w:b w:val="0"/>
              </w:rPr>
              <w:t>[Index no.]</w:t>
            </w:r>
          </w:p>
        </w:tc>
      </w:tr>
    </w:tbl>
    <w:p>
      <w:pPr>
        <w:spacing w:before="520"/>
        <w:jc w:val="center"/>
      </w:pPr>
      <w:r>
        <w:rPr>
          <w:sz w:val="22"/>
        </w:rPr>
        <w:t>Semester 06 · [Submission date]</w:t>
      </w:r>
    </w:p>
    <w:p>
      <w:r>
        <w:br w:type="page"/>
      </w:r>
    </w:p>
    <w:p>
      <w:pPr>
        <w:spacing w:before="0"/>
      </w:pPr>
      <w:r>
        <w:rPr>
          <w:b/>
          <w:color w:val="1F3A5F"/>
          <w:sz w:val="28"/>
        </w:rPr>
        <w:t>Table of Contents</w:t>
      </w:r>
    </w:p>
    <w:p>
      <w:pPr>
        <w:spacing w:after="20"/>
        <w:ind w:left="0"/>
      </w:pPr>
      <w:r>
        <w:fldChar w:fldCharType="begin"/>
      </w:r>
      <w:r>
        <w:instrText xml:space="preserve"> TOC \o "1-3" \h \z \u </w:instrText>
      </w:r>
      <w:r>
        <w:fldChar w:fldCharType="separate"/>
      </w:r>
      <w:r>
        <w:rPr>
          <w:sz w:val="20"/>
        </w:rPr>
        <w:t>1. Introduction</w:t>
      </w:r>
    </w:p>
    <w:p>
      <w:pPr>
        <w:spacing w:after="20"/>
        <w:ind w:left="340"/>
      </w:pPr>
      <w:r>
        <w:rPr>
          <w:sz w:val="20"/>
        </w:rPr>
        <w:t>1.1 Dataset overview</w:t>
      </w:r>
    </w:p>
    <w:p>
      <w:pPr>
        <w:spacing w:after="20"/>
        <w:ind w:left="340"/>
      </w:pPr>
      <w:r>
        <w:rPr>
          <w:sz w:val="20"/>
        </w:rPr>
        <w:t>1.2 Context and relevance</w:t>
      </w:r>
    </w:p>
    <w:p>
      <w:pPr>
        <w:spacing w:after="20"/>
        <w:ind w:left="340"/>
      </w:pPr>
      <w:r>
        <w:rPr>
          <w:sz w:val="20"/>
        </w:rPr>
        <w:t>1.3 Objective of the study</w:t>
      </w:r>
    </w:p>
    <w:p>
      <w:pPr>
        <w:spacing w:after="20"/>
        <w:ind w:left="0"/>
      </w:pPr>
      <w:r>
        <w:rPr>
          <w:sz w:val="20"/>
        </w:rPr>
        <w:t>2. Data Cleaning</w:t>
      </w:r>
    </w:p>
    <w:p>
      <w:pPr>
        <w:spacing w:after="20"/>
        <w:ind w:left="340"/>
      </w:pPr>
      <w:r>
        <w:rPr>
          <w:sz w:val="20"/>
        </w:rPr>
        <w:t>2.1 Handling missing and invalid values</w:t>
      </w:r>
    </w:p>
    <w:p>
      <w:pPr>
        <w:spacing w:after="20"/>
        <w:ind w:left="340"/>
      </w:pPr>
      <w:r>
        <w:rPr>
          <w:sz w:val="20"/>
        </w:rPr>
        <w:t>2.2 Handling outliers</w:t>
      </w:r>
    </w:p>
    <w:p>
      <w:pPr>
        <w:spacing w:after="20"/>
        <w:ind w:left="340"/>
      </w:pPr>
      <w:r>
        <w:rPr>
          <w:sz w:val="20"/>
        </w:rPr>
        <w:t>2.3 Feature engineering and encoding</w:t>
      </w:r>
    </w:p>
    <w:p>
      <w:pPr>
        <w:spacing w:after="20"/>
        <w:ind w:left="340"/>
      </w:pPr>
      <w:r>
        <w:rPr>
          <w:sz w:val="20"/>
        </w:rPr>
        <w:t>2.4 Multicollinearity</w:t>
      </w:r>
    </w:p>
    <w:p>
      <w:pPr>
        <w:spacing w:after="20"/>
        <w:ind w:left="0"/>
      </w:pPr>
      <w:r>
        <w:rPr>
          <w:sz w:val="20"/>
        </w:rPr>
        <w:t>3. Exploratory Data Analysis (EDA)</w:t>
      </w:r>
    </w:p>
    <w:p>
      <w:pPr>
        <w:spacing w:after="20"/>
        <w:ind w:left="340"/>
      </w:pPr>
      <w:r>
        <w:rPr>
          <w:sz w:val="20"/>
        </w:rPr>
        <w:t>3.1 Summary statistics</w:t>
      </w:r>
    </w:p>
    <w:p>
      <w:pPr>
        <w:spacing w:after="20"/>
        <w:ind w:left="340"/>
      </w:pPr>
      <w:r>
        <w:rPr>
          <w:sz w:val="20"/>
        </w:rPr>
        <w:t>3.2 Distribution of numeric variables</w:t>
      </w:r>
    </w:p>
    <w:p>
      <w:pPr>
        <w:spacing w:after="20"/>
        <w:ind w:left="340"/>
      </w:pPr>
      <w:r>
        <w:rPr>
          <w:sz w:val="20"/>
        </w:rPr>
        <w:t>3.3 Target variable analysis</w:t>
      </w:r>
    </w:p>
    <w:p>
      <w:pPr>
        <w:spacing w:after="20"/>
        <w:ind w:left="340"/>
      </w:pPr>
      <w:r>
        <w:rPr>
          <w:sz w:val="20"/>
        </w:rPr>
        <w:t>3.4 Categorical variable analysis</w:t>
      </w:r>
    </w:p>
    <w:p>
      <w:pPr>
        <w:spacing w:after="20"/>
        <w:ind w:left="340"/>
      </w:pPr>
      <w:r>
        <w:rPr>
          <w:sz w:val="20"/>
        </w:rPr>
        <w:t>3.5 Correlation analysis</w:t>
      </w:r>
    </w:p>
    <w:p>
      <w:pPr>
        <w:spacing w:after="20"/>
        <w:ind w:left="680"/>
      </w:pPr>
      <w:r>
        <w:rPr>
          <w:sz w:val="20"/>
        </w:rPr>
        <w:t>3.5.1 Correlation heatmap</w:t>
      </w:r>
    </w:p>
    <w:p>
      <w:pPr>
        <w:spacing w:after="20"/>
        <w:ind w:left="680"/>
      </w:pPr>
      <w:r>
        <w:rPr>
          <w:sz w:val="20"/>
        </w:rPr>
        <w:t>3.5.2 Relationship plots</w:t>
      </w:r>
    </w:p>
    <w:p>
      <w:pPr>
        <w:spacing w:after="20"/>
        <w:ind w:left="340"/>
      </w:pPr>
      <w:r>
        <w:rPr>
          <w:sz w:val="20"/>
        </w:rPr>
        <w:t>3.6 Statistical tests of association</w:t>
      </w:r>
    </w:p>
    <w:p>
      <w:pPr>
        <w:spacing w:after="20"/>
        <w:ind w:left="0"/>
      </w:pPr>
      <w:r>
        <w:rPr>
          <w:sz w:val="20"/>
        </w:rPr>
        <w:t>4. Model Fitting</w:t>
      </w:r>
    </w:p>
    <w:p>
      <w:pPr>
        <w:spacing w:after="20"/>
        <w:ind w:left="340"/>
      </w:pPr>
      <w:r>
        <w:rPr>
          <w:sz w:val="20"/>
        </w:rPr>
        <w:t>4.1 Logistic regression model</w:t>
      </w:r>
    </w:p>
    <w:p>
      <w:pPr>
        <w:spacing w:after="20"/>
        <w:ind w:left="680"/>
      </w:pPr>
      <w:r>
        <w:rPr>
          <w:sz w:val="20"/>
        </w:rPr>
        <w:t>4.1.1 Logistic regression model equation</w:t>
      </w:r>
    </w:p>
    <w:p>
      <w:pPr>
        <w:spacing w:after="20"/>
        <w:ind w:left="340"/>
      </w:pPr>
      <w:r>
        <w:rPr>
          <w:sz w:val="20"/>
        </w:rPr>
        <w:t>4.2 Decision tree model</w:t>
      </w:r>
    </w:p>
    <w:p>
      <w:pPr>
        <w:spacing w:after="20"/>
        <w:ind w:left="340"/>
      </w:pPr>
      <w:r>
        <w:rPr>
          <w:sz w:val="20"/>
        </w:rPr>
        <w:t>4.3 Random forest model</w:t>
      </w:r>
    </w:p>
    <w:p>
      <w:pPr>
        <w:spacing w:after="20"/>
        <w:ind w:left="340"/>
      </w:pPr>
      <w:r>
        <w:rPr>
          <w:sz w:val="20"/>
        </w:rPr>
        <w:t>4.4 Model comparison</w:t>
      </w:r>
    </w:p>
    <w:p>
      <w:pPr>
        <w:spacing w:after="20"/>
        <w:ind w:left="680"/>
      </w:pPr>
      <w:r>
        <w:rPr>
          <w:sz w:val="20"/>
        </w:rPr>
        <w:t>4.4.1 Performance results</w:t>
      </w:r>
    </w:p>
    <w:p>
      <w:pPr>
        <w:spacing w:after="20"/>
        <w:ind w:left="680"/>
      </w:pPr>
      <w:r>
        <w:rPr>
          <w:sz w:val="20"/>
        </w:rPr>
        <w:t>4.4.2 Interpretation of results</w:t>
      </w:r>
    </w:p>
    <w:p>
      <w:pPr>
        <w:spacing w:after="20"/>
        <w:ind w:left="680"/>
      </w:pPr>
      <w:r>
        <w:rPr>
          <w:sz w:val="20"/>
        </w:rPr>
        <w:t>4.4.3 Actual vs predicted values</w:t>
      </w:r>
    </w:p>
    <w:p>
      <w:pPr>
        <w:spacing w:after="20"/>
        <w:ind w:left="0"/>
      </w:pPr>
      <w:r>
        <w:rPr>
          <w:sz w:val="20"/>
        </w:rPr>
        <w:t>5. Conclusion</w:t>
      </w:r>
    </w:p>
    <w:p>
      <w:pPr>
        <w:spacing w:after="20"/>
        <w:ind w:left="340"/>
      </w:pPr>
      <w:r>
        <w:rPr>
          <w:sz w:val="20"/>
        </w:rPr>
        <w:t>5.1 Recommendations</w:t>
      </w:r>
    </w:p>
    <w:p>
      <w:pPr>
        <w:spacing w:after="20"/>
        <w:ind w:left="340"/>
      </w:pPr>
      <w:r>
        <w:rPr>
          <w:sz w:val="20"/>
        </w:rPr>
        <w:t>5.2 Limitations and responsible use</w:t>
      </w:r>
    </w:p>
    <w:p>
      <w:pPr>
        <w:spacing w:after="20"/>
        <w:ind w:left="0"/>
      </w:pPr>
      <w:r>
        <w:rPr>
          <w:sz w:val="20"/>
        </w:rPr>
        <w:t>References</w:t>
      </w:r>
      <w:r>
        <w:fldChar w:fldCharType="end"/>
      </w:r>
    </w:p>
    <w:p>
      <w:pPr>
        <w:spacing w:before="240"/>
      </w:pPr>
      <w:r>
        <w:rPr>
          <w:b/>
          <w:color w:val="1F3A5F"/>
          <w:sz w:val="28"/>
        </w:rPr>
        <w:t>Table of Figures</w:t>
      </w:r>
    </w:p>
    <w:p>
      <w:pPr>
        <w:spacing w:after="20"/>
        <w:ind w:left="0"/>
      </w:pPr>
      <w:r>
        <w:fldChar w:fldCharType="begin"/>
      </w:r>
      <w:r>
        <w:instrText xml:space="preserve"> TOC \h \z \c "Figure" </w:instrText>
      </w:r>
      <w:r>
        <w:fldChar w:fldCharType="separate"/>
      </w:r>
      <w:r>
        <w:rPr>
          <w:sz w:val="20"/>
        </w:rPr>
        <w:t>Figure 1: Missing and invalid values per column before cleaning (raw file)</w:t>
      </w:r>
    </w:p>
    <w:p>
      <w:pPr>
        <w:spacing w:after="20"/>
        <w:ind w:left="0"/>
      </w:pPr>
      <w:r>
        <w:rPr>
          <w:sz w:val="20"/>
        </w:rPr>
        <w:t>Figure 2: Boxplots of the numeric variables before and after cleaning</w:t>
      </w:r>
    </w:p>
    <w:p>
      <w:pPr>
        <w:spacing w:after="20"/>
        <w:ind w:left="0"/>
      </w:pPr>
      <w:r>
        <w:rPr>
          <w:sz w:val="20"/>
        </w:rPr>
        <w:t>Figure 3: Variance inflation factors before and after removing the collinear charge columns</w:t>
      </w:r>
    </w:p>
    <w:p>
      <w:pPr>
        <w:spacing w:after="20"/>
        <w:ind w:left="0"/>
      </w:pPr>
      <w:r>
        <w:rPr>
          <w:sz w:val="20"/>
        </w:rPr>
        <w:t>Figure 4: Histograms of tenure, monthly charges and total charges by churn status</w:t>
      </w:r>
    </w:p>
    <w:p>
      <w:pPr>
        <w:spacing w:after="20"/>
        <w:ind w:left="0"/>
      </w:pPr>
      <w:r>
        <w:rPr>
          <w:sz w:val="20"/>
        </w:rPr>
        <w:t>Figure 5: Distribution of the target variable (churn)</w:t>
      </w:r>
    </w:p>
    <w:p>
      <w:pPr>
        <w:spacing w:after="20"/>
        <w:ind w:left="0"/>
      </w:pPr>
      <w:r>
        <w:rPr>
          <w:sz w:val="20"/>
        </w:rPr>
        <w:t>Figure 6: Churn rate by contract, internet service, payment method and tenure group</w:t>
      </w:r>
    </w:p>
    <w:p>
      <w:pPr>
        <w:spacing w:after="20"/>
        <w:ind w:left="0"/>
      </w:pPr>
      <w:r>
        <w:rPr>
          <w:sz w:val="20"/>
        </w:rPr>
        <w:t>Figure 7: Churn rate by demographic and billing attributes</w:t>
      </w:r>
    </w:p>
    <w:p>
      <w:pPr>
        <w:spacing w:after="20"/>
        <w:ind w:left="0"/>
      </w:pPr>
      <w:r>
        <w:rPr>
          <w:sz w:val="20"/>
        </w:rPr>
        <w:t>Figure 8: Spearman correlation heatmap of all variables (categories one-hot encoded)</w:t>
      </w:r>
    </w:p>
    <w:p>
      <w:pPr>
        <w:spacing w:after="20"/>
        <w:ind w:left="0"/>
      </w:pPr>
      <w:r>
        <w:rPr>
          <w:sz w:val="20"/>
        </w:rPr>
        <w:t>Figure 9: Relationship plots: churn rate against tenure, monthly charges and total charges</w:t>
      </w:r>
    </w:p>
    <w:p>
      <w:pPr>
        <w:spacing w:after="20"/>
        <w:ind w:left="0"/>
      </w:pPr>
      <w:r>
        <w:rPr>
          <w:sz w:val="20"/>
        </w:rPr>
        <w:t>Figure 10: Effect sizes of the associations with churn</w:t>
      </w:r>
    </w:p>
    <w:p>
      <w:pPr>
        <w:spacing w:after="20"/>
        <w:ind w:left="0"/>
      </w:pPr>
      <w:r>
        <w:rPr>
          <w:sz w:val="20"/>
        </w:rPr>
        <w:t>Figure 11: Logistic regression odds ratios with 95% bootstrap confidence intervals</w:t>
      </w:r>
    </w:p>
    <w:p>
      <w:pPr>
        <w:spacing w:after="20"/>
        <w:ind w:left="0"/>
      </w:pPr>
      <w:r>
        <w:rPr>
          <w:sz w:val="20"/>
        </w:rPr>
        <w:t>Figure 12: Permutation importance of the input variables</w:t>
      </w:r>
    </w:p>
    <w:p>
      <w:pPr>
        <w:spacing w:after="20"/>
        <w:ind w:left="0"/>
      </w:pPr>
      <w:r>
        <w:rPr>
          <w:sz w:val="20"/>
        </w:rPr>
        <w:t>Figure 13: Model comparison on the test set</w:t>
      </w:r>
    </w:p>
    <w:p>
      <w:pPr>
        <w:spacing w:after="20"/>
        <w:ind w:left="0"/>
      </w:pPr>
      <w:r>
        <w:rPr>
          <w:sz w:val="20"/>
        </w:rPr>
        <w:t>Figure 14: Actual vs predicted classes: confusion matrices on the test set</w:t>
      </w:r>
      <w:r>
        <w:fldChar w:fldCharType="end"/>
      </w:r>
    </w:p>
    <w:p>
      <w:pPr>
        <w:spacing w:before="240"/>
      </w:pPr>
      <w:r>
        <w:rPr>
          <w:b/>
          <w:color w:val="1F3A5F"/>
          <w:sz w:val="28"/>
        </w:rPr>
        <w:t>Table of Tables</w:t>
      </w:r>
    </w:p>
    <w:p>
      <w:pPr>
        <w:spacing w:after="20"/>
        <w:ind w:left="0"/>
      </w:pPr>
      <w:r>
        <w:fldChar w:fldCharType="begin"/>
      </w:r>
      <w:r>
        <w:instrText xml:space="preserve"> TOC \h \z \c "Table" </w:instrText>
      </w:r>
      <w:r>
        <w:fldChar w:fldCharType="separate"/>
      </w:r>
      <w:r>
        <w:rPr>
          <w:sz w:val="20"/>
        </w:rPr>
        <w:t>Table 1: Missing and invalid values found in the raw file and their treatment</w:t>
      </w:r>
    </w:p>
    <w:p>
      <w:pPr>
        <w:spacing w:after="20"/>
        <w:ind w:left="0"/>
      </w:pPr>
      <w:r>
        <w:rPr>
          <w:sz w:val="20"/>
        </w:rPr>
        <w:t>Table 2: Imputation values learned from the training data</w:t>
      </w:r>
    </w:p>
    <w:p>
      <w:pPr>
        <w:spacing w:after="20"/>
        <w:ind w:left="0"/>
      </w:pPr>
      <w:r>
        <w:rPr>
          <w:sz w:val="20"/>
        </w:rPr>
        <w:t>Table 3: Summary statistics of the numeric variables</w:t>
      </w:r>
    </w:p>
    <w:p>
      <w:pPr>
        <w:spacing w:after="20"/>
        <w:ind w:left="0"/>
      </w:pPr>
      <w:r>
        <w:rPr>
          <w:sz w:val="20"/>
        </w:rPr>
        <w:t>Table 4: Profile of customers who stayed and customers who churned</w:t>
      </w:r>
    </w:p>
    <w:p>
      <w:pPr>
        <w:spacing w:after="20"/>
        <w:ind w:left="0"/>
      </w:pPr>
      <w:r>
        <w:rPr>
          <w:sz w:val="20"/>
        </w:rPr>
        <w:t>Table 5: Interpretation of the histograms</w:t>
      </w:r>
    </w:p>
    <w:p>
      <w:pPr>
        <w:spacing w:after="20"/>
        <w:ind w:left="0"/>
      </w:pPr>
      <w:r>
        <w:rPr>
          <w:sz w:val="20"/>
        </w:rPr>
        <w:t>Table 6: Logistic regression coefficient summary (training data)</w:t>
      </w:r>
    </w:p>
    <w:p>
      <w:pPr>
        <w:spacing w:after="20"/>
        <w:ind w:left="0"/>
      </w:pPr>
      <w:r>
        <w:rPr>
          <w:sz w:val="20"/>
        </w:rPr>
        <w:t>Table 7: Decision rules of the simplified decision tree (training data)</w:t>
      </w:r>
    </w:p>
    <w:p>
      <w:pPr>
        <w:spacing w:after="20"/>
        <w:ind w:left="0"/>
      </w:pPr>
      <w:r>
        <w:rPr>
          <w:sz w:val="20"/>
        </w:rPr>
        <w:t>Table 8: Cross-validated and test-set performance of the models</w:t>
      </w:r>
    </w:p>
    <w:p>
      <w:pPr>
        <w:spacing w:after="20"/>
        <w:ind w:left="0"/>
      </w:pPr>
      <w:r>
        <w:rPr>
          <w:sz w:val="20"/>
        </w:rPr>
        <w:t>Table 9: Actual vs predicted values: comparison of the two strongest models</w:t>
      </w:r>
    </w:p>
    <w:p>
      <w:pPr>
        <w:spacing w:after="20"/>
        <w:ind w:left="0"/>
      </w:pPr>
      <w:r>
        <w:rPr>
          <w:sz w:val="20"/>
        </w:rPr>
        <w:t>Table 10: Retention recommendations and supporting evidence</w:t>
      </w:r>
      <w:r>
        <w:fldChar w:fldCharType="end"/>
      </w:r>
    </w:p>
    <w:p>
      <w:pPr>
        <w:sectPr>
          <w:footerReference w:type="default" r:id="rId9"/>
          <w:pgSz w:w="11906" w:h="16838"/>
          <w:pgMar w:top="1247" w:right="1247" w:bottom="1247" w:left="1247" w:header="720" w:footer="720" w:gutter="0"/>
          <w:pgNumType w:fmt="lowerRoman" w:start="1"/>
          <w:cols w:space="720"/>
          <w:titlePg/>
          <w:docGrid w:linePitch="360"/>
        </w:sectPr>
      </w:pPr>
    </w:p>
    <w:p>
      <w:pPr>
        <w:pStyle w:val="Heading1"/>
      </w:pPr>
      <w:r>
        <w:t>1. Introduction</w:t>
      </w:r>
    </w:p>
    <w:p>
      <w:pPr>
        <w:pStyle w:val="Heading2"/>
      </w:pPr>
      <w:r>
        <w:t>1.1 Dataset overview</w:t>
      </w:r>
    </w:p>
    <w:p>
      <w:pPr>
        <w:spacing w:after="120"/>
        <w:jc w:val="both"/>
      </w:pPr>
      <w:r>
        <w:t>This study uses the Telco Customer Churn dataset, an IBM sample dataset describing the home phone and internet customers of a telecom provider (BlastChar, 2018). The file supplied for the assignment contains 7,073 records and 21 variables; after removing 30 duplicate records it describes 7,043 unique customers, each row representing one customer. The variables cover demographics (gender, senior citizen, partner, dependents), the account (tenure in months, contract type, paperless billing, payment method, monthly and total charges) and the subscribed services (phone, multiple lines, internet type and six internet add-ons). The target variable, Churn (Yes/No), records whether the customer left within the last month; 26.5% of customers churned.</w:t>
      </w:r>
    </w:p>
    <w:p>
      <w:pPr>
        <w:pStyle w:val="Heading2"/>
      </w:pPr>
      <w:r>
        <w:t>1.2 Context and relevance</w:t>
      </w:r>
    </w:p>
    <w:p>
      <w:pPr>
        <w:spacing w:after="120"/>
        <w:jc w:val="both"/>
      </w:pPr>
      <w:r>
        <w:t>Customer churn – customers ending their subscription – is a central concern for telecommunications companies, whose markets are mature and highly competitive. Because keeping an existing customer is commonly regarded as cheaper than winning a new one, operators use data mining to identify customers at risk of leaving so that retention actions can be targeted where they matter most (Verbeke et al., 2012). This study applies data analysis and machine learning to identify which customer and service characteristics are most strongly associated with churn, to measure how strong these relationships are, and to build models that predict churn and support retention decisions. Because the data are observational, the findings describe associations and predictions rather than causal effects.</w:t>
      </w:r>
    </w:p>
    <w:p>
      <w:pPr>
        <w:pStyle w:val="Heading2"/>
      </w:pPr>
      <w:r>
        <w:t>1.3 Objective of the study</w:t>
      </w:r>
    </w:p>
    <w:p>
      <w:pPr>
        <w:spacing w:after="120"/>
        <w:jc w:val="both"/>
      </w:pPr>
      <w:r>
        <w:t>The main goal is to predict which customers will churn and to identify the most influential predictors, answering the research question: “Which customer characteristics and service-related factors are most strongly associated with customer churn, and how effectively can machine learning models predict churn?” Through data cleaning, exploratory data analysis (EDA), statistical testing and model fitting, the study addresses four key questions:</w:t>
      </w:r>
    </w:p>
    <w:p>
      <w:pPr>
        <w:pStyle w:val="ListBullet"/>
        <w:spacing w:after="40"/>
        <w:jc w:val="both"/>
      </w:pPr>
      <w:r>
        <w:rPr>
          <w:sz w:val="22"/>
        </w:rPr>
        <w:t>Which contract, service, billing and demographic factors are associated with higher churn?</w:t>
      </w:r>
    </w:p>
    <w:p>
      <w:pPr>
        <w:pStyle w:val="ListBullet"/>
        <w:spacing w:after="40"/>
        <w:jc w:val="both"/>
      </w:pPr>
      <w:r>
        <w:rPr>
          <w:sz w:val="22"/>
        </w:rPr>
        <w:t>How well do logistic regression, decision tree and random forest models predict churn?</w:t>
      </w:r>
    </w:p>
    <w:p>
      <w:pPr>
        <w:pStyle w:val="ListBullet"/>
        <w:spacing w:after="40"/>
        <w:jc w:val="both"/>
      </w:pPr>
      <w:r>
        <w:rPr>
          <w:sz w:val="22"/>
        </w:rPr>
        <w:t>Which model is most suitable for targeting retention actions, and why?</w:t>
      </w:r>
    </w:p>
    <w:p>
      <w:pPr>
        <w:pStyle w:val="ListBullet"/>
        <w:spacing w:after="40"/>
        <w:jc w:val="both"/>
      </w:pPr>
      <w:r>
        <w:rPr>
          <w:sz w:val="22"/>
        </w:rPr>
        <w:t>What practical retention actions do the findings support?</w:t>
      </w:r>
    </w:p>
    <w:p>
      <w:pPr>
        <w:pStyle w:val="Heading1"/>
      </w:pPr>
      <w:r>
        <w:t>2. Data Cleaning</w:t>
      </w:r>
    </w:p>
    <w:p>
      <w:pPr>
        <w:spacing w:after="120"/>
        <w:jc w:val="both"/>
      </w:pPr>
      <w:r>
        <w:t>The analysis was carried out in Python with pandas (McKinney, 2010), scikit-learn (Pedregosa et al., 2011), SciPy (Virtanen et al., 2020), statsmodels (Seabold &amp; Perktold, 2010) and Matplotlib (Hunter, 2007). The raw file was never modified: it was audited with every value read as text, so that blanks, text tokens and codes such as −99 were visible, and every cleaning step is documented and reproducible.</w:t>
      </w:r>
    </w:p>
    <w:p>
      <w:pPr>
        <w:pStyle w:val="Heading2"/>
      </w:pPr>
      <w:r>
        <w:t>2.1 Handling missing and invalid values</w:t>
      </w:r>
    </w:p>
    <w:p>
      <w:pPr>
        <w:pStyle w:val="Caption"/>
        <w:keepNext/>
        <w:spacing w:after="60"/>
      </w:pPr>
      <w:r>
        <w:t xml:space="preserve">Table </w:t>
      </w:r>
      <w:r>
        <w:fldChar w:fldCharType="begin"/>
      </w:r>
      <w:r>
        <w:instrText xml:space="preserve"> SEQ Table \* ARABIC </w:instrText>
      </w:r>
      <w:r>
        <w:fldChar w:fldCharType="separate"/>
      </w:r>
      <w:r>
        <w:t>1</w:t>
      </w:r>
      <w:r>
        <w:fldChar w:fldCharType="end"/>
      </w:r>
      <w:r>
        <w:t>: Missing and invalid values found in the raw file and their treatment</w:t>
      </w:r>
    </w:p>
    <w:tbl>
      <w:tblPr>
        <w:tblW w:type="dxa" w:w="941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firstColumn="1" w:firstRow="1" w:lastColumn="0" w:lastRow="0" w:noHBand="0" w:noVBand="1" w:val="04A0"/>
      </w:tblPr>
      <w:tblGrid>
        <w:gridCol w:w="1474"/>
        <w:gridCol w:w="680"/>
        <w:gridCol w:w="850"/>
        <w:gridCol w:w="907"/>
        <w:gridCol w:w="680"/>
        <w:gridCol w:w="850"/>
        <w:gridCol w:w="3969"/>
      </w:tblGrid>
      <w:tr>
        <w:tc>
          <w:tcPr>
            <w:tcW w:type="dxa" w:w="1474"/>
            <w:shd w:val="clear" w:color="auto" w:fill="DCE6F2"/>
          </w:tcPr>
          <w:p>
            <w:pPr>
              <w:spacing w:after="0" w:line="240" w:lineRule="auto"/>
              <w:jc w:val="left"/>
            </w:pPr>
            <w:r/>
            <w:r>
              <w:rPr>
                <w:b/>
                <w:sz w:val="17"/>
              </w:rPr>
              <w:t>Column</w:t>
            </w:r>
          </w:p>
        </w:tc>
        <w:tc>
          <w:tcPr>
            <w:tcW w:type="dxa" w:w="680"/>
            <w:shd w:val="clear" w:color="auto" w:fill="DCE6F2"/>
          </w:tcPr>
          <w:p>
            <w:pPr>
              <w:spacing w:after="0" w:line="240" w:lineRule="auto"/>
              <w:jc w:val="center"/>
            </w:pPr>
            <w:r/>
            <w:r>
              <w:rPr>
                <w:b/>
                <w:sz w:val="17"/>
              </w:rPr>
              <w:t>Blank</w:t>
            </w:r>
          </w:p>
        </w:tc>
        <w:tc>
          <w:tcPr>
            <w:tcW w:type="dxa" w:w="850"/>
            <w:shd w:val="clear" w:color="auto" w:fill="DCE6F2"/>
          </w:tcPr>
          <w:p>
            <w:pPr>
              <w:spacing w:after="0" w:line="240" w:lineRule="auto"/>
              <w:jc w:val="center"/>
            </w:pPr>
            <w:r/>
            <w:r>
              <w:rPr>
                <w:b/>
                <w:sz w:val="17"/>
              </w:rPr>
              <w:t>Invalid text</w:t>
            </w:r>
          </w:p>
        </w:tc>
        <w:tc>
          <w:tcPr>
            <w:tcW w:type="dxa" w:w="907"/>
            <w:shd w:val="clear" w:color="auto" w:fill="DCE6F2"/>
          </w:tcPr>
          <w:p>
            <w:pPr>
              <w:spacing w:after="0" w:line="240" w:lineRule="auto"/>
              <w:jc w:val="center"/>
            </w:pPr>
            <w:r/>
            <w:r>
              <w:rPr>
                <w:b/>
                <w:sz w:val="17"/>
              </w:rPr>
              <w:t>Impossible</w:t>
            </w:r>
          </w:p>
        </w:tc>
        <w:tc>
          <w:tcPr>
            <w:tcW w:type="dxa" w:w="680"/>
            <w:shd w:val="clear" w:color="auto" w:fill="DCE6F2"/>
          </w:tcPr>
          <w:p>
            <w:pPr>
              <w:spacing w:after="0" w:line="240" w:lineRule="auto"/>
              <w:jc w:val="center"/>
            </w:pPr>
            <w:r/>
            <w:r>
              <w:rPr>
                <w:b/>
                <w:sz w:val="17"/>
              </w:rPr>
              <w:t>Total</w:t>
            </w:r>
          </w:p>
        </w:tc>
        <w:tc>
          <w:tcPr>
            <w:tcW w:type="dxa" w:w="850"/>
            <w:shd w:val="clear" w:color="auto" w:fill="DCE6F2"/>
          </w:tcPr>
          <w:p>
            <w:pPr>
              <w:spacing w:after="0" w:line="240" w:lineRule="auto"/>
              <w:jc w:val="center"/>
            </w:pPr>
            <w:r/>
            <w:r>
              <w:rPr>
                <w:b/>
                <w:sz w:val="17"/>
              </w:rPr>
              <w:t>% of rows</w:t>
            </w:r>
          </w:p>
        </w:tc>
        <w:tc>
          <w:tcPr>
            <w:tcW w:type="dxa" w:w="3969"/>
            <w:shd w:val="clear" w:color="auto" w:fill="DCE6F2"/>
          </w:tcPr>
          <w:p>
            <w:pPr>
              <w:spacing w:after="0" w:line="240" w:lineRule="auto"/>
              <w:jc w:val="left"/>
            </w:pPr>
            <w:r/>
            <w:r>
              <w:rPr>
                <w:b/>
                <w:sz w:val="17"/>
              </w:rPr>
              <w:t>Treatment</w:t>
            </w:r>
          </w:p>
        </w:tc>
      </w:tr>
      <w:tr>
        <w:tc>
          <w:tcPr>
            <w:tcW w:type="dxa" w:w="1474"/>
          </w:tcPr>
          <w:p>
            <w:pPr>
              <w:spacing w:after="0" w:line="240" w:lineRule="auto"/>
              <w:jc w:val="left"/>
            </w:pPr>
            <w:r/>
            <w:r>
              <w:rPr>
                <w:sz w:val="17"/>
              </w:rPr>
              <w:t>MonthlyCharges</w:t>
            </w:r>
          </w:p>
        </w:tc>
        <w:tc>
          <w:tcPr>
            <w:tcW w:type="dxa" w:w="680"/>
          </w:tcPr>
          <w:p>
            <w:pPr>
              <w:spacing w:after="0" w:line="240" w:lineRule="auto"/>
              <w:jc w:val="center"/>
            </w:pPr>
            <w:r/>
            <w:r>
              <w:rPr>
                <w:sz w:val="17"/>
              </w:rPr>
              <w:t>80</w:t>
            </w:r>
          </w:p>
        </w:tc>
        <w:tc>
          <w:tcPr>
            <w:tcW w:type="dxa" w:w="850"/>
          </w:tcPr>
          <w:p>
            <w:pPr>
              <w:spacing w:after="0" w:line="240" w:lineRule="auto"/>
              <w:jc w:val="center"/>
            </w:pPr>
            <w:r/>
            <w:r>
              <w:rPr>
                <w:sz w:val="17"/>
              </w:rPr>
              <w:t>0</w:t>
            </w:r>
          </w:p>
        </w:tc>
        <w:tc>
          <w:tcPr>
            <w:tcW w:type="dxa" w:w="907"/>
          </w:tcPr>
          <w:p>
            <w:pPr>
              <w:spacing w:after="0" w:line="240" w:lineRule="auto"/>
              <w:jc w:val="center"/>
            </w:pPr>
            <w:r/>
            <w:r>
              <w:rPr>
                <w:sz w:val="17"/>
              </w:rPr>
              <w:t>10</w:t>
            </w:r>
          </w:p>
        </w:tc>
        <w:tc>
          <w:tcPr>
            <w:tcW w:type="dxa" w:w="680"/>
          </w:tcPr>
          <w:p>
            <w:pPr>
              <w:spacing w:after="0" w:line="240" w:lineRule="auto"/>
              <w:jc w:val="center"/>
            </w:pPr>
            <w:r/>
            <w:r>
              <w:rPr>
                <w:sz w:val="17"/>
              </w:rPr>
              <w:t>90</w:t>
            </w:r>
          </w:p>
        </w:tc>
        <w:tc>
          <w:tcPr>
            <w:tcW w:type="dxa" w:w="850"/>
          </w:tcPr>
          <w:p>
            <w:pPr>
              <w:spacing w:after="0" w:line="240" w:lineRule="auto"/>
              <w:jc w:val="center"/>
            </w:pPr>
            <w:r/>
            <w:r>
              <w:rPr>
                <w:sz w:val="17"/>
              </w:rPr>
              <w:t>1.27%</w:t>
            </w:r>
          </w:p>
        </w:tc>
        <w:tc>
          <w:tcPr>
            <w:tcW w:type="dxa" w:w="3969"/>
          </w:tcPr>
          <w:p>
            <w:pPr>
              <w:spacing w:after="0" w:line="240" w:lineRule="auto"/>
              <w:jc w:val="left"/>
            </w:pPr>
            <w:r/>
            <w:r>
              <w:rPr>
                <w:sz w:val="17"/>
              </w:rPr>
              <w:t>Set to missing, then rebuilt as TotalCharges ÷ tenure</w:t>
            </w:r>
          </w:p>
        </w:tc>
      </w:tr>
      <w:tr>
        <w:tc>
          <w:tcPr>
            <w:tcW w:type="dxa" w:w="1474"/>
          </w:tcPr>
          <w:p>
            <w:pPr>
              <w:spacing w:after="0" w:line="240" w:lineRule="auto"/>
              <w:jc w:val="left"/>
            </w:pPr>
            <w:r/>
            <w:r>
              <w:rPr>
                <w:sz w:val="17"/>
              </w:rPr>
              <w:t>tenure</w:t>
            </w:r>
          </w:p>
        </w:tc>
        <w:tc>
          <w:tcPr>
            <w:tcW w:type="dxa" w:w="680"/>
          </w:tcPr>
          <w:p>
            <w:pPr>
              <w:spacing w:after="0" w:line="240" w:lineRule="auto"/>
              <w:jc w:val="center"/>
            </w:pPr>
            <w:r/>
            <w:r>
              <w:rPr>
                <w:sz w:val="17"/>
              </w:rPr>
              <w:t>40</w:t>
            </w:r>
          </w:p>
        </w:tc>
        <w:tc>
          <w:tcPr>
            <w:tcW w:type="dxa" w:w="850"/>
          </w:tcPr>
          <w:p>
            <w:pPr>
              <w:spacing w:after="0" w:line="240" w:lineRule="auto"/>
              <w:jc w:val="center"/>
            </w:pPr>
            <w:r/>
            <w:r>
              <w:rPr>
                <w:sz w:val="17"/>
              </w:rPr>
              <w:t>0</w:t>
            </w:r>
          </w:p>
        </w:tc>
        <w:tc>
          <w:tcPr>
            <w:tcW w:type="dxa" w:w="907"/>
          </w:tcPr>
          <w:p>
            <w:pPr>
              <w:spacing w:after="0" w:line="240" w:lineRule="auto"/>
              <w:jc w:val="center"/>
            </w:pPr>
            <w:r/>
            <w:r>
              <w:rPr>
                <w:sz w:val="17"/>
              </w:rPr>
              <w:t>20</w:t>
            </w:r>
          </w:p>
        </w:tc>
        <w:tc>
          <w:tcPr>
            <w:tcW w:type="dxa" w:w="680"/>
          </w:tcPr>
          <w:p>
            <w:pPr>
              <w:spacing w:after="0" w:line="240" w:lineRule="auto"/>
              <w:jc w:val="center"/>
            </w:pPr>
            <w:r/>
            <w:r>
              <w:rPr>
                <w:sz w:val="17"/>
              </w:rPr>
              <w:t>60</w:t>
            </w:r>
          </w:p>
        </w:tc>
        <w:tc>
          <w:tcPr>
            <w:tcW w:type="dxa" w:w="850"/>
          </w:tcPr>
          <w:p>
            <w:pPr>
              <w:spacing w:after="0" w:line="240" w:lineRule="auto"/>
              <w:jc w:val="center"/>
            </w:pPr>
            <w:r/>
            <w:r>
              <w:rPr>
                <w:sz w:val="17"/>
              </w:rPr>
              <w:t>0.85%</w:t>
            </w:r>
          </w:p>
        </w:tc>
        <w:tc>
          <w:tcPr>
            <w:tcW w:type="dxa" w:w="3969"/>
          </w:tcPr>
          <w:p>
            <w:pPr>
              <w:spacing w:after="0" w:line="240" w:lineRule="auto"/>
              <w:jc w:val="left"/>
            </w:pPr>
            <w:r/>
            <w:r>
              <w:rPr>
                <w:sz w:val="17"/>
              </w:rPr>
              <w:t>Set to missing, then rebuilt as round(TotalCharges ÷ MonthlyCharges)</w:t>
            </w:r>
          </w:p>
        </w:tc>
      </w:tr>
      <w:tr>
        <w:tc>
          <w:tcPr>
            <w:tcW w:type="dxa" w:w="1474"/>
          </w:tcPr>
          <w:p>
            <w:pPr>
              <w:spacing w:after="0" w:line="240" w:lineRule="auto"/>
              <w:jc w:val="left"/>
            </w:pPr>
            <w:r/>
            <w:r>
              <w:rPr>
                <w:sz w:val="17"/>
              </w:rPr>
              <w:t>Contract</w:t>
            </w:r>
          </w:p>
        </w:tc>
        <w:tc>
          <w:tcPr>
            <w:tcW w:type="dxa" w:w="680"/>
          </w:tcPr>
          <w:p>
            <w:pPr>
              <w:spacing w:after="0" w:line="240" w:lineRule="auto"/>
              <w:jc w:val="center"/>
            </w:pPr>
            <w:r/>
            <w:r>
              <w:rPr>
                <w:sz w:val="17"/>
              </w:rPr>
              <w:t>35</w:t>
            </w:r>
          </w:p>
        </w:tc>
        <w:tc>
          <w:tcPr>
            <w:tcW w:type="dxa" w:w="850"/>
          </w:tcPr>
          <w:p>
            <w:pPr>
              <w:spacing w:after="0" w:line="240" w:lineRule="auto"/>
              <w:jc w:val="center"/>
            </w:pPr>
            <w:r/>
            <w:r>
              <w:rPr>
                <w:sz w:val="17"/>
              </w:rPr>
              <w:t>0</w:t>
            </w:r>
          </w:p>
        </w:tc>
        <w:tc>
          <w:tcPr>
            <w:tcW w:type="dxa" w:w="907"/>
          </w:tcPr>
          <w:p>
            <w:pPr>
              <w:spacing w:after="0" w:line="240" w:lineRule="auto"/>
              <w:jc w:val="center"/>
            </w:pPr>
            <w:r/>
            <w:r>
              <w:rPr>
                <w:sz w:val="17"/>
              </w:rPr>
              <w:t>0</w:t>
            </w:r>
          </w:p>
        </w:tc>
        <w:tc>
          <w:tcPr>
            <w:tcW w:type="dxa" w:w="680"/>
          </w:tcPr>
          <w:p>
            <w:pPr>
              <w:spacing w:after="0" w:line="240" w:lineRule="auto"/>
              <w:jc w:val="center"/>
            </w:pPr>
            <w:r/>
            <w:r>
              <w:rPr>
                <w:sz w:val="17"/>
              </w:rPr>
              <w:t>35</w:t>
            </w:r>
          </w:p>
        </w:tc>
        <w:tc>
          <w:tcPr>
            <w:tcW w:type="dxa" w:w="850"/>
          </w:tcPr>
          <w:p>
            <w:pPr>
              <w:spacing w:after="0" w:line="240" w:lineRule="auto"/>
              <w:jc w:val="center"/>
            </w:pPr>
            <w:r/>
            <w:r>
              <w:rPr>
                <w:sz w:val="17"/>
              </w:rPr>
              <w:t>0.49%</w:t>
            </w:r>
          </w:p>
        </w:tc>
        <w:tc>
          <w:tcPr>
            <w:tcW w:type="dxa" w:w="3969"/>
          </w:tcPr>
          <w:p>
            <w:pPr>
              <w:spacing w:after="0" w:line="240" w:lineRule="auto"/>
              <w:jc w:val="left"/>
            </w:pPr>
            <w:r/>
            <w:r>
              <w:rPr>
                <w:sz w:val="17"/>
              </w:rPr>
              <w:t>Imputed with the most frequent value (training data)</w:t>
            </w:r>
          </w:p>
        </w:tc>
      </w:tr>
      <w:tr>
        <w:tc>
          <w:tcPr>
            <w:tcW w:type="dxa" w:w="1474"/>
          </w:tcPr>
          <w:p>
            <w:pPr>
              <w:spacing w:after="0" w:line="240" w:lineRule="auto"/>
              <w:jc w:val="left"/>
            </w:pPr>
            <w:r/>
            <w:r>
              <w:rPr>
                <w:sz w:val="17"/>
              </w:rPr>
              <w:t>TotalCharges</w:t>
            </w:r>
          </w:p>
        </w:tc>
        <w:tc>
          <w:tcPr>
            <w:tcW w:type="dxa" w:w="680"/>
          </w:tcPr>
          <w:p>
            <w:pPr>
              <w:spacing w:after="0" w:line="240" w:lineRule="auto"/>
              <w:jc w:val="center"/>
            </w:pPr>
            <w:r/>
            <w:r>
              <w:rPr>
                <w:sz w:val="17"/>
              </w:rPr>
              <w:t>11</w:t>
            </w:r>
          </w:p>
        </w:tc>
        <w:tc>
          <w:tcPr>
            <w:tcW w:type="dxa" w:w="850"/>
          </w:tcPr>
          <w:p>
            <w:pPr>
              <w:spacing w:after="0" w:line="240" w:lineRule="auto"/>
              <w:jc w:val="center"/>
            </w:pPr>
            <w:r/>
            <w:r>
              <w:rPr>
                <w:sz w:val="17"/>
              </w:rPr>
              <w:t>12</w:t>
            </w:r>
          </w:p>
        </w:tc>
        <w:tc>
          <w:tcPr>
            <w:tcW w:type="dxa" w:w="907"/>
          </w:tcPr>
          <w:p>
            <w:pPr>
              <w:spacing w:after="0" w:line="240" w:lineRule="auto"/>
              <w:jc w:val="center"/>
            </w:pPr>
            <w:r/>
            <w:r>
              <w:rPr>
                <w:sz w:val="17"/>
              </w:rPr>
              <w:t>0</w:t>
            </w:r>
          </w:p>
        </w:tc>
        <w:tc>
          <w:tcPr>
            <w:tcW w:type="dxa" w:w="680"/>
          </w:tcPr>
          <w:p>
            <w:pPr>
              <w:spacing w:after="0" w:line="240" w:lineRule="auto"/>
              <w:jc w:val="center"/>
            </w:pPr>
            <w:r/>
            <w:r>
              <w:rPr>
                <w:sz w:val="17"/>
              </w:rPr>
              <w:t>23</w:t>
            </w:r>
          </w:p>
        </w:tc>
        <w:tc>
          <w:tcPr>
            <w:tcW w:type="dxa" w:w="850"/>
          </w:tcPr>
          <w:p>
            <w:pPr>
              <w:spacing w:after="0" w:line="240" w:lineRule="auto"/>
              <w:jc w:val="center"/>
            </w:pPr>
            <w:r/>
            <w:r>
              <w:rPr>
                <w:sz w:val="17"/>
              </w:rPr>
              <w:t>0.33%</w:t>
            </w:r>
          </w:p>
        </w:tc>
        <w:tc>
          <w:tcPr>
            <w:tcW w:type="dxa" w:w="3969"/>
          </w:tcPr>
          <w:p>
            <w:pPr>
              <w:spacing w:after="0" w:line="240" w:lineRule="auto"/>
              <w:jc w:val="left"/>
            </w:pPr>
            <w:r/>
            <w:r>
              <w:rPr>
                <w:sz w:val="17"/>
              </w:rPr>
              <w:t>Blank (tenure 0) set to 0; invalid rebuilt as tenure × MonthlyCharges</w:t>
            </w:r>
          </w:p>
        </w:tc>
      </w:tr>
      <w:tr>
        <w:tc>
          <w:tcPr>
            <w:tcW w:type="dxa" w:w="1474"/>
          </w:tcPr>
          <w:p>
            <w:pPr>
              <w:spacing w:after="0" w:line="240" w:lineRule="auto"/>
              <w:jc w:val="left"/>
            </w:pPr>
            <w:r/>
            <w:r>
              <w:rPr>
                <w:sz w:val="17"/>
              </w:rPr>
              <w:t>gender</w:t>
            </w:r>
          </w:p>
        </w:tc>
        <w:tc>
          <w:tcPr>
            <w:tcW w:type="dxa" w:w="680"/>
          </w:tcPr>
          <w:p>
            <w:pPr>
              <w:spacing w:after="0" w:line="240" w:lineRule="auto"/>
              <w:jc w:val="center"/>
            </w:pPr>
            <w:r/>
            <w:r>
              <w:rPr>
                <w:sz w:val="17"/>
              </w:rPr>
              <w:t>0</w:t>
            </w:r>
          </w:p>
        </w:tc>
        <w:tc>
          <w:tcPr>
            <w:tcW w:type="dxa" w:w="850"/>
          </w:tcPr>
          <w:p>
            <w:pPr>
              <w:spacing w:after="0" w:line="240" w:lineRule="auto"/>
              <w:jc w:val="center"/>
            </w:pPr>
            <w:r/>
            <w:r>
              <w:rPr>
                <w:sz w:val="17"/>
              </w:rPr>
              <w:t>15</w:t>
            </w:r>
          </w:p>
        </w:tc>
        <w:tc>
          <w:tcPr>
            <w:tcW w:type="dxa" w:w="907"/>
          </w:tcPr>
          <w:p>
            <w:pPr>
              <w:spacing w:after="0" w:line="240" w:lineRule="auto"/>
              <w:jc w:val="center"/>
            </w:pPr>
            <w:r/>
            <w:r>
              <w:rPr>
                <w:sz w:val="17"/>
              </w:rPr>
              <w:t>0</w:t>
            </w:r>
          </w:p>
        </w:tc>
        <w:tc>
          <w:tcPr>
            <w:tcW w:type="dxa" w:w="680"/>
          </w:tcPr>
          <w:p>
            <w:pPr>
              <w:spacing w:after="0" w:line="240" w:lineRule="auto"/>
              <w:jc w:val="center"/>
            </w:pPr>
            <w:r/>
            <w:r>
              <w:rPr>
                <w:sz w:val="17"/>
              </w:rPr>
              <w:t>15</w:t>
            </w:r>
          </w:p>
        </w:tc>
        <w:tc>
          <w:tcPr>
            <w:tcW w:type="dxa" w:w="850"/>
          </w:tcPr>
          <w:p>
            <w:pPr>
              <w:spacing w:after="0" w:line="240" w:lineRule="auto"/>
              <w:jc w:val="center"/>
            </w:pPr>
            <w:r/>
            <w:r>
              <w:rPr>
                <w:sz w:val="17"/>
              </w:rPr>
              <w:t>0.21%</w:t>
            </w:r>
          </w:p>
        </w:tc>
        <w:tc>
          <w:tcPr>
            <w:tcW w:type="dxa" w:w="3969"/>
          </w:tcPr>
          <w:p>
            <w:pPr>
              <w:spacing w:after="0" w:line="240" w:lineRule="auto"/>
              <w:jc w:val="left"/>
            </w:pPr>
            <w:r/>
            <w:r>
              <w:rPr>
                <w:sz w:val="17"/>
              </w:rPr>
              <w:t>Imputed with the most frequent value (training data)</w:t>
            </w:r>
          </w:p>
        </w:tc>
      </w:tr>
    </w:tbl>
    <w:p>
      <w:pPr>
        <w:spacing w:after="40"/>
      </w:pPr>
    </w:p>
    <w:p>
      <w:pPr>
        <w:spacing w:after="120"/>
        <w:jc w:val="both"/>
      </w:pPr>
      <w:r>
        <w:t>The audit found problems in 5 of the 21 columns (Table 1, Figure 1): 223 affected values in total, 0.15% of all 148,533 data points. A default pandas import would have missed most of them: it reports no missing values in TotalCharges, although that column contains 11 blank strings and 12 “INVALID_VAL” entries, and it does not recognise gender labels such as “Unknown” or “OtherXYZ”. In addition, 30 records were exact duplicates (every repeated customerID was an identical copy) and were removed.</w:t>
      </w:r>
    </w:p>
    <w:p>
      <w:pPr>
        <w:keepNext/>
        <w:spacing w:after="40"/>
        <w:jc w:val="center"/>
      </w:pPr>
      <w:r>
        <w:drawing>
          <wp:inline xmlns:a="http://schemas.openxmlformats.org/drawingml/2006/main" xmlns:pic="http://schemas.openxmlformats.org/drawingml/2006/picture">
            <wp:extent cx="3600000" cy="1574260"/>
            <wp:docPr id="2" name="Picture 2"/>
            <wp:cNvGraphicFramePr>
              <a:graphicFrameLocks noChangeAspect="1"/>
            </wp:cNvGraphicFramePr>
            <a:graphic>
              <a:graphicData uri="http://schemas.openxmlformats.org/drawingml/2006/picture">
                <pic:pic>
                  <pic:nvPicPr>
                    <pic:cNvPr id="0" name="fig01_missing_invalid_before_cleaning.png"/>
                    <pic:cNvPicPr/>
                  </pic:nvPicPr>
                  <pic:blipFill>
                    <a:blip r:embed="rId11"/>
                    <a:stretch>
                      <a:fillRect/>
                    </a:stretch>
                  </pic:blipFill>
                  <pic:spPr>
                    <a:xfrm>
                      <a:off x="0" y="0"/>
                      <a:ext cx="3600000" cy="1574260"/>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w:t>
      </w:r>
      <w:r>
        <w:fldChar w:fldCharType="end"/>
      </w:r>
      <w:r>
        <w:t>: Missing and invalid values per column before cleaning (raw file)</w:t>
      </w:r>
    </w:p>
    <w:p>
      <w:pPr>
        <w:spacing w:after="120"/>
        <w:jc w:val="both"/>
      </w:pPr>
      <w:r>
        <w:t>Instead of deleting customers or filling numeric gaps with an average, the three billing variables were repaired using the relationship TotalCharges ≈ tenure × MonthlyCharges. Tested on 6,900 complete records, this rebuilt TotalCharges with a median error of 2.0% (median imputation: 74%) and tenure with a mean error of 0.67 months (median imputation: 21.7 months). No customer had more than one corrupted billing value, so all 132 were repaired; blank TotalCharges belonged to customers with zero tenure and were set to 0. Only 15 gender and 35 contract values remained missing; they were imputed with the most frequent category, learned from the training data only (Table 2). Customers with repaired values churned at 31.7% against 26.4% for the rest, a difference that is not statistically significant (χ² p = 0.14).</w:t>
      </w:r>
    </w:p>
    <w:p>
      <w:pPr>
        <w:pStyle w:val="Caption"/>
        <w:keepNext/>
        <w:spacing w:after="60"/>
      </w:pPr>
      <w:r>
        <w:t xml:space="preserve">Table </w:t>
      </w:r>
      <w:r>
        <w:fldChar w:fldCharType="begin"/>
      </w:r>
      <w:r>
        <w:instrText xml:space="preserve"> SEQ Table \* ARABIC </w:instrText>
      </w:r>
      <w:r>
        <w:fldChar w:fldCharType="separate"/>
      </w:r>
      <w:r>
        <w:t>2</w:t>
      </w:r>
      <w:r>
        <w:fldChar w:fldCharType="end"/>
      </w:r>
      <w:r>
        <w:t>: Imputation values learned from the training data</w:t>
      </w:r>
    </w:p>
    <w:tbl>
      <w:tblPr>
        <w:tblW w:type="dxa" w:w="941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firstColumn="1" w:firstRow="1" w:lastColumn="0" w:lastRow="0" w:noHBand="0" w:noVBand="1" w:val="04A0"/>
      </w:tblPr>
      <w:tblGrid>
        <w:gridCol w:w="1927"/>
        <w:gridCol w:w="1360"/>
        <w:gridCol w:w="1701"/>
        <w:gridCol w:w="2608"/>
        <w:gridCol w:w="1814"/>
      </w:tblGrid>
      <w:tr>
        <w:tc>
          <w:tcPr>
            <w:tcW w:type="dxa" w:w="1927"/>
            <w:shd w:val="clear" w:color="auto" w:fill="DCE6F2"/>
          </w:tcPr>
          <w:p>
            <w:pPr>
              <w:spacing w:after="0" w:line="240" w:lineRule="auto"/>
              <w:jc w:val="left"/>
            </w:pPr>
            <w:r/>
            <w:r>
              <w:rPr>
                <w:b/>
                <w:sz w:val="17"/>
              </w:rPr>
              <w:t>Column</w:t>
            </w:r>
          </w:p>
        </w:tc>
        <w:tc>
          <w:tcPr>
            <w:tcW w:type="dxa" w:w="1360"/>
            <w:shd w:val="clear" w:color="auto" w:fill="DCE6F2"/>
          </w:tcPr>
          <w:p>
            <w:pPr>
              <w:spacing w:after="0" w:line="240" w:lineRule="auto"/>
              <w:jc w:val="left"/>
            </w:pPr>
            <w:r/>
            <w:r>
              <w:rPr>
                <w:b/>
                <w:sz w:val="17"/>
              </w:rPr>
              <w:t>Type</w:t>
            </w:r>
          </w:p>
        </w:tc>
        <w:tc>
          <w:tcPr>
            <w:tcW w:type="dxa" w:w="1701"/>
            <w:shd w:val="clear" w:color="auto" w:fill="DCE6F2"/>
          </w:tcPr>
          <w:p>
            <w:pPr>
              <w:spacing w:after="0" w:line="240" w:lineRule="auto"/>
              <w:jc w:val="left"/>
            </w:pPr>
            <w:r/>
            <w:r>
              <w:rPr>
                <w:b/>
                <w:sz w:val="17"/>
              </w:rPr>
              <w:t>Strategy</w:t>
            </w:r>
          </w:p>
        </w:tc>
        <w:tc>
          <w:tcPr>
            <w:tcW w:type="dxa" w:w="2608"/>
            <w:shd w:val="clear" w:color="auto" w:fill="DCE6F2"/>
          </w:tcPr>
          <w:p>
            <w:pPr>
              <w:spacing w:after="0" w:line="240" w:lineRule="auto"/>
              <w:jc w:val="left"/>
            </w:pPr>
            <w:r/>
            <w:r>
              <w:rPr>
                <w:b/>
                <w:sz w:val="17"/>
              </w:rPr>
              <w:t>Value learned (training data)</w:t>
            </w:r>
          </w:p>
        </w:tc>
        <w:tc>
          <w:tcPr>
            <w:tcW w:type="dxa" w:w="1814"/>
            <w:shd w:val="clear" w:color="auto" w:fill="DCE6F2"/>
          </w:tcPr>
          <w:p>
            <w:pPr>
              <w:spacing w:after="0" w:line="240" w:lineRule="auto"/>
              <w:jc w:val="center"/>
            </w:pPr>
            <w:r/>
            <w:r>
              <w:rPr>
                <w:b/>
                <w:sz w:val="17"/>
              </w:rPr>
              <w:t>Missing after repair</w:t>
            </w:r>
          </w:p>
        </w:tc>
      </w:tr>
      <w:tr>
        <w:tc>
          <w:tcPr>
            <w:tcW w:type="dxa" w:w="1927"/>
          </w:tcPr>
          <w:p>
            <w:pPr>
              <w:spacing w:after="0" w:line="240" w:lineRule="auto"/>
              <w:jc w:val="left"/>
            </w:pPr>
            <w:r/>
            <w:r>
              <w:rPr>
                <w:sz w:val="17"/>
              </w:rPr>
              <w:t>tenure</w:t>
            </w:r>
          </w:p>
        </w:tc>
        <w:tc>
          <w:tcPr>
            <w:tcW w:type="dxa" w:w="1360"/>
          </w:tcPr>
          <w:p>
            <w:pPr>
              <w:spacing w:after="0" w:line="240" w:lineRule="auto"/>
              <w:jc w:val="left"/>
            </w:pPr>
            <w:r/>
            <w:r>
              <w:rPr>
                <w:sz w:val="17"/>
              </w:rPr>
              <w:t>numeric</w:t>
            </w:r>
          </w:p>
        </w:tc>
        <w:tc>
          <w:tcPr>
            <w:tcW w:type="dxa" w:w="1701"/>
          </w:tcPr>
          <w:p>
            <w:pPr>
              <w:spacing w:after="0" w:line="240" w:lineRule="auto"/>
              <w:jc w:val="left"/>
            </w:pPr>
            <w:r/>
            <w:r>
              <w:rPr>
                <w:sz w:val="17"/>
              </w:rPr>
              <w:t>median</w:t>
            </w:r>
          </w:p>
        </w:tc>
        <w:tc>
          <w:tcPr>
            <w:tcW w:type="dxa" w:w="2608"/>
          </w:tcPr>
          <w:p>
            <w:pPr>
              <w:spacing w:after="0" w:line="240" w:lineRule="auto"/>
              <w:jc w:val="left"/>
            </w:pPr>
            <w:r/>
            <w:r>
              <w:rPr>
                <w:sz w:val="17"/>
              </w:rPr>
              <w:t>29.0</w:t>
            </w:r>
          </w:p>
        </w:tc>
        <w:tc>
          <w:tcPr>
            <w:tcW w:type="dxa" w:w="1814"/>
          </w:tcPr>
          <w:p>
            <w:pPr>
              <w:spacing w:after="0" w:line="240" w:lineRule="auto"/>
              <w:jc w:val="center"/>
            </w:pPr>
            <w:r/>
            <w:r>
              <w:rPr>
                <w:sz w:val="17"/>
              </w:rPr>
              <w:t>0</w:t>
            </w:r>
          </w:p>
        </w:tc>
      </w:tr>
      <w:tr>
        <w:tc>
          <w:tcPr>
            <w:tcW w:type="dxa" w:w="1927"/>
          </w:tcPr>
          <w:p>
            <w:pPr>
              <w:spacing w:after="0" w:line="240" w:lineRule="auto"/>
              <w:jc w:val="left"/>
            </w:pPr>
            <w:r/>
            <w:r>
              <w:rPr>
                <w:sz w:val="17"/>
              </w:rPr>
              <w:t>MonthlyCharges</w:t>
            </w:r>
          </w:p>
        </w:tc>
        <w:tc>
          <w:tcPr>
            <w:tcW w:type="dxa" w:w="1360"/>
          </w:tcPr>
          <w:p>
            <w:pPr>
              <w:spacing w:after="0" w:line="240" w:lineRule="auto"/>
              <w:jc w:val="left"/>
            </w:pPr>
            <w:r/>
            <w:r>
              <w:rPr>
                <w:sz w:val="17"/>
              </w:rPr>
              <w:t>numeric</w:t>
            </w:r>
          </w:p>
        </w:tc>
        <w:tc>
          <w:tcPr>
            <w:tcW w:type="dxa" w:w="1701"/>
          </w:tcPr>
          <w:p>
            <w:pPr>
              <w:spacing w:after="0" w:line="240" w:lineRule="auto"/>
              <w:jc w:val="left"/>
            </w:pPr>
            <w:r/>
            <w:r>
              <w:rPr>
                <w:sz w:val="17"/>
              </w:rPr>
              <w:t>median</w:t>
            </w:r>
          </w:p>
        </w:tc>
        <w:tc>
          <w:tcPr>
            <w:tcW w:type="dxa" w:w="2608"/>
          </w:tcPr>
          <w:p>
            <w:pPr>
              <w:spacing w:after="0" w:line="240" w:lineRule="auto"/>
              <w:jc w:val="left"/>
            </w:pPr>
            <w:r/>
            <w:r>
              <w:rPr>
                <w:sz w:val="17"/>
              </w:rPr>
              <w:t>70.47</w:t>
            </w:r>
          </w:p>
        </w:tc>
        <w:tc>
          <w:tcPr>
            <w:tcW w:type="dxa" w:w="1814"/>
          </w:tcPr>
          <w:p>
            <w:pPr>
              <w:spacing w:after="0" w:line="240" w:lineRule="auto"/>
              <w:jc w:val="center"/>
            </w:pPr>
            <w:r/>
            <w:r>
              <w:rPr>
                <w:sz w:val="17"/>
              </w:rPr>
              <w:t>0</w:t>
            </w:r>
          </w:p>
        </w:tc>
      </w:tr>
      <w:tr>
        <w:tc>
          <w:tcPr>
            <w:tcW w:type="dxa" w:w="1927"/>
          </w:tcPr>
          <w:p>
            <w:pPr>
              <w:spacing w:after="0" w:line="240" w:lineRule="auto"/>
              <w:jc w:val="left"/>
            </w:pPr>
            <w:r/>
            <w:r>
              <w:rPr>
                <w:sz w:val="17"/>
              </w:rPr>
              <w:t>TotalCharges</w:t>
            </w:r>
          </w:p>
        </w:tc>
        <w:tc>
          <w:tcPr>
            <w:tcW w:type="dxa" w:w="1360"/>
          </w:tcPr>
          <w:p>
            <w:pPr>
              <w:spacing w:after="0" w:line="240" w:lineRule="auto"/>
              <w:jc w:val="left"/>
            </w:pPr>
            <w:r/>
            <w:r>
              <w:rPr>
                <w:sz w:val="17"/>
              </w:rPr>
              <w:t>numeric</w:t>
            </w:r>
          </w:p>
        </w:tc>
        <w:tc>
          <w:tcPr>
            <w:tcW w:type="dxa" w:w="1701"/>
          </w:tcPr>
          <w:p>
            <w:pPr>
              <w:spacing w:after="0" w:line="240" w:lineRule="auto"/>
              <w:jc w:val="left"/>
            </w:pPr>
            <w:r/>
            <w:r>
              <w:rPr>
                <w:sz w:val="17"/>
              </w:rPr>
              <w:t>median</w:t>
            </w:r>
          </w:p>
        </w:tc>
        <w:tc>
          <w:tcPr>
            <w:tcW w:type="dxa" w:w="2608"/>
          </w:tcPr>
          <w:p>
            <w:pPr>
              <w:spacing w:after="0" w:line="240" w:lineRule="auto"/>
              <w:jc w:val="left"/>
            </w:pPr>
            <w:r/>
            <w:r>
              <w:rPr>
                <w:sz w:val="17"/>
              </w:rPr>
              <w:t>1394.0</w:t>
            </w:r>
          </w:p>
        </w:tc>
        <w:tc>
          <w:tcPr>
            <w:tcW w:type="dxa" w:w="1814"/>
          </w:tcPr>
          <w:p>
            <w:pPr>
              <w:spacing w:after="0" w:line="240" w:lineRule="auto"/>
              <w:jc w:val="center"/>
            </w:pPr>
            <w:r/>
            <w:r>
              <w:rPr>
                <w:sz w:val="17"/>
              </w:rPr>
              <w:t>0</w:t>
            </w:r>
          </w:p>
        </w:tc>
      </w:tr>
      <w:tr>
        <w:tc>
          <w:tcPr>
            <w:tcW w:type="dxa" w:w="1927"/>
          </w:tcPr>
          <w:p>
            <w:pPr>
              <w:spacing w:after="0" w:line="240" w:lineRule="auto"/>
              <w:jc w:val="left"/>
            </w:pPr>
            <w:r/>
            <w:r>
              <w:rPr>
                <w:sz w:val="17"/>
              </w:rPr>
              <w:t>gender</w:t>
            </w:r>
          </w:p>
        </w:tc>
        <w:tc>
          <w:tcPr>
            <w:tcW w:type="dxa" w:w="1360"/>
          </w:tcPr>
          <w:p>
            <w:pPr>
              <w:spacing w:after="0" w:line="240" w:lineRule="auto"/>
              <w:jc w:val="left"/>
            </w:pPr>
            <w:r/>
            <w:r>
              <w:rPr>
                <w:sz w:val="17"/>
              </w:rPr>
              <w:t>categorical</w:t>
            </w:r>
          </w:p>
        </w:tc>
        <w:tc>
          <w:tcPr>
            <w:tcW w:type="dxa" w:w="1701"/>
          </w:tcPr>
          <w:p>
            <w:pPr>
              <w:spacing w:after="0" w:line="240" w:lineRule="auto"/>
              <w:jc w:val="left"/>
            </w:pPr>
            <w:r/>
            <w:r>
              <w:rPr>
                <w:sz w:val="17"/>
              </w:rPr>
              <w:t>most frequent</w:t>
            </w:r>
          </w:p>
        </w:tc>
        <w:tc>
          <w:tcPr>
            <w:tcW w:type="dxa" w:w="2608"/>
          </w:tcPr>
          <w:p>
            <w:pPr>
              <w:spacing w:after="0" w:line="240" w:lineRule="auto"/>
              <w:jc w:val="left"/>
            </w:pPr>
            <w:r/>
            <w:r>
              <w:rPr>
                <w:sz w:val="17"/>
              </w:rPr>
              <w:t>Male</w:t>
            </w:r>
          </w:p>
        </w:tc>
        <w:tc>
          <w:tcPr>
            <w:tcW w:type="dxa" w:w="1814"/>
          </w:tcPr>
          <w:p>
            <w:pPr>
              <w:spacing w:after="0" w:line="240" w:lineRule="auto"/>
              <w:jc w:val="center"/>
            </w:pPr>
            <w:r/>
            <w:r>
              <w:rPr>
                <w:sz w:val="17"/>
              </w:rPr>
              <w:t>15</w:t>
            </w:r>
          </w:p>
        </w:tc>
      </w:tr>
      <w:tr>
        <w:tc>
          <w:tcPr>
            <w:tcW w:type="dxa" w:w="1927"/>
          </w:tcPr>
          <w:p>
            <w:pPr>
              <w:spacing w:after="0" w:line="240" w:lineRule="auto"/>
              <w:jc w:val="left"/>
            </w:pPr>
            <w:r/>
            <w:r>
              <w:rPr>
                <w:sz w:val="17"/>
              </w:rPr>
              <w:t>Contract</w:t>
            </w:r>
          </w:p>
        </w:tc>
        <w:tc>
          <w:tcPr>
            <w:tcW w:type="dxa" w:w="1360"/>
          </w:tcPr>
          <w:p>
            <w:pPr>
              <w:spacing w:after="0" w:line="240" w:lineRule="auto"/>
              <w:jc w:val="left"/>
            </w:pPr>
            <w:r/>
            <w:r>
              <w:rPr>
                <w:sz w:val="17"/>
              </w:rPr>
              <w:t>categorical</w:t>
            </w:r>
          </w:p>
        </w:tc>
        <w:tc>
          <w:tcPr>
            <w:tcW w:type="dxa" w:w="1701"/>
          </w:tcPr>
          <w:p>
            <w:pPr>
              <w:spacing w:after="0" w:line="240" w:lineRule="auto"/>
              <w:jc w:val="left"/>
            </w:pPr>
            <w:r/>
            <w:r>
              <w:rPr>
                <w:sz w:val="17"/>
              </w:rPr>
              <w:t>most frequent</w:t>
            </w:r>
          </w:p>
        </w:tc>
        <w:tc>
          <w:tcPr>
            <w:tcW w:type="dxa" w:w="2608"/>
          </w:tcPr>
          <w:p>
            <w:pPr>
              <w:spacing w:after="0" w:line="240" w:lineRule="auto"/>
              <w:jc w:val="left"/>
            </w:pPr>
            <w:r/>
            <w:r>
              <w:rPr>
                <w:sz w:val="17"/>
              </w:rPr>
              <w:t>Month-to-month</w:t>
            </w:r>
          </w:p>
        </w:tc>
        <w:tc>
          <w:tcPr>
            <w:tcW w:type="dxa" w:w="1814"/>
          </w:tcPr>
          <w:p>
            <w:pPr>
              <w:spacing w:after="0" w:line="240" w:lineRule="auto"/>
              <w:jc w:val="center"/>
            </w:pPr>
            <w:r/>
            <w:r>
              <w:rPr>
                <w:sz w:val="17"/>
              </w:rPr>
              <w:t>35</w:t>
            </w:r>
          </w:p>
        </w:tc>
      </w:tr>
    </w:tbl>
    <w:p>
      <w:pPr>
        <w:spacing w:after="40"/>
      </w:pPr>
    </w:p>
    <w:p>
      <w:pPr>
        <w:pStyle w:val="Heading2"/>
      </w:pPr>
      <w:r>
        <w:t>2.2 Handling outliers</w:t>
      </w:r>
    </w:p>
    <w:p>
      <w:pPr>
        <w:spacing w:after="120"/>
        <w:jc w:val="both"/>
      </w:pPr>
      <w:r>
        <w:t>Outliers were detected with the interquartile range (IQR) rule (below Q1 − 1.5 × IQR or above Q3 + 1.5 × IQR) and boxplots (Figure 2). The extreme raw values – tenures of −99 and 545.8 to 988.5 months, and monthly charges of 5,765 to 9,960 USD against a normal range of about 18–119 USD – are impossible, so they were treated as data-entry errors and repaired (Section 2.1).</w:t>
      </w:r>
    </w:p>
    <w:p>
      <w:pPr>
        <w:keepNext/>
        <w:spacing w:after="40"/>
        <w:jc w:val="center"/>
      </w:pPr>
      <w:r>
        <w:drawing>
          <wp:inline xmlns:a="http://schemas.openxmlformats.org/drawingml/2006/main" xmlns:pic="http://schemas.openxmlformats.org/drawingml/2006/picture">
            <wp:extent cx="4320000" cy="1905614"/>
            <wp:docPr id="3" name="Picture 3"/>
            <wp:cNvGraphicFramePr>
              <a:graphicFrameLocks noChangeAspect="1"/>
            </wp:cNvGraphicFramePr>
            <a:graphic>
              <a:graphicData uri="http://schemas.openxmlformats.org/drawingml/2006/picture">
                <pic:pic>
                  <pic:nvPicPr>
                    <pic:cNvPr id="0" name="fig02_boxplots_before_after_cleaning.png"/>
                    <pic:cNvPicPr/>
                  </pic:nvPicPr>
                  <pic:blipFill>
                    <a:blip r:embed="rId12"/>
                    <a:stretch>
                      <a:fillRect/>
                    </a:stretch>
                  </pic:blipFill>
                  <pic:spPr>
                    <a:xfrm>
                      <a:off x="0" y="0"/>
                      <a:ext cx="4320000" cy="1905614"/>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2</w:t>
      </w:r>
      <w:r>
        <w:fldChar w:fldCharType="end"/>
      </w:r>
      <w:r>
        <w:t>: Boxplots of the numeric variables before and after cleaning</w:t>
      </w:r>
    </w:p>
    <w:p>
      <w:pPr>
        <w:spacing w:after="120"/>
        <w:jc w:val="both"/>
      </w:pPr>
      <w:r>
        <w:t>After repair, 0 values lie outside the IQR fences. TotalCharges is right-skewed (skewness 0.96) but plausible, so no further treatment was applied; winsorisation was not used, because capping values would alter genuine records such as long-standing, high-spending customers.</w:t>
      </w:r>
    </w:p>
    <w:p>
      <w:pPr>
        <w:pStyle w:val="Heading2"/>
      </w:pPr>
      <w:r>
        <w:t>2.3 Feature engineering and encoding</w:t>
      </w:r>
    </w:p>
    <w:p>
      <w:pPr>
        <w:spacing w:after="120"/>
        <w:jc w:val="both"/>
      </w:pPr>
      <w:r>
        <w:t>The customerID was removed because it is only an identifier. SeniorCitizen was recoded from 0/1 to No/Yes, and “No internet service” / “No phone service” were recoded to “No” for modelling, as InternetService and PhoneService already hold that information. Categorical variables were converted with one-hot encoding (a separate 0/1 column for each category) rather than label encoding, because integer codes such as 0, 1, 2, 3 for payment methods would impose an order that does not exist. Numeric variables were standardised for logistic regression. Two helper variables – tenure groups and the number of add-on services – were created for EDA only.</w:t>
      </w:r>
    </w:p>
    <w:p>
      <w:pPr>
        <w:spacing w:after="120"/>
        <w:jc w:val="both"/>
      </w:pPr>
      <w:r>
        <w:t>The data were split 80/20 with stratification on churn (5,634 training and 1,409 test customers, both with 26.5% churners). To prevent data leakage (Kaufman et al., 2012), every step that learns from data – imputation, scaling and encoding – was placed inside a scikit-learn Pipeline with a ColumnTransformer, so it is fitted on the training data only and re-fitted within every cross-validation fold. Class imbalance was handled with class_weight = "balanced" rather than synthetic oversampling.</w:t>
      </w:r>
    </w:p>
    <w:p>
      <w:pPr>
        <w:pStyle w:val="Heading2"/>
      </w:pPr>
      <w:r>
        <w:t>2.4 Multicollinearity</w:t>
      </w:r>
    </w:p>
    <w:p>
      <w:pPr>
        <w:spacing w:after="120"/>
        <w:jc w:val="both"/>
      </w:pPr>
      <w:r>
        <w:t>Multicollinearity was checked with variance inflation factors (VIF) on the training data, because strongly related predictors make regression coefficients unstable and hard to interpret. Figure 3(a) shows that MonthlyCharges has a VIF of 836: the service variables explain almost all of it, since the monthly bill is essentially the sum of the service prices. TotalCharges is also strongly related to tenure (VIF 9.7; Spearman ρ = 0.89).</w:t>
      </w:r>
    </w:p>
    <w:p>
      <w:pPr>
        <w:keepNext/>
        <w:spacing w:after="40"/>
        <w:jc w:val="center"/>
      </w:pPr>
      <w:r>
        <w:drawing>
          <wp:inline xmlns:a="http://schemas.openxmlformats.org/drawingml/2006/main" xmlns:pic="http://schemas.openxmlformats.org/drawingml/2006/picture">
            <wp:extent cx="4320000" cy="1871321"/>
            <wp:docPr id="4" name="Picture 4"/>
            <wp:cNvGraphicFramePr>
              <a:graphicFrameLocks noChangeAspect="1"/>
            </wp:cNvGraphicFramePr>
            <a:graphic>
              <a:graphicData uri="http://schemas.openxmlformats.org/drawingml/2006/picture">
                <pic:pic>
                  <pic:nvPicPr>
                    <pic:cNvPr id="0" name="fig20_vif_before_after.png"/>
                    <pic:cNvPicPr/>
                  </pic:nvPicPr>
                  <pic:blipFill>
                    <a:blip r:embed="rId13"/>
                    <a:stretch>
                      <a:fillRect/>
                    </a:stretch>
                  </pic:blipFill>
                  <pic:spPr>
                    <a:xfrm>
                      <a:off x="0" y="0"/>
                      <a:ext cx="4320000" cy="1871321"/>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3</w:t>
      </w:r>
      <w:r>
        <w:fldChar w:fldCharType="end"/>
      </w:r>
      <w:r>
        <w:t>: Variance inflation factors before and after removing the collinear charge columns</w:t>
      </w:r>
    </w:p>
    <w:p>
      <w:pPr>
        <w:spacing w:after="120"/>
        <w:jc w:val="both"/>
      </w:pPr>
      <w:r>
        <w:t>Standardising the variables does not reduce VIF, because VIF depends only on the correlations between predictors (raw and standardised variables gave identical VIFs). Removing the redundant MonthlyCharges and TotalCharges lowers the largest VIF to 2.78 (Figure 3(b)), so they were excluded from the logistic regression at almost no cost (CV ROC-AUC 0.8448 vs 0.8462 with all features); the tree models kept all variables.</w:t>
      </w:r>
    </w:p>
    <w:p>
      <w:pPr>
        <w:pStyle w:val="Heading1"/>
      </w:pPr>
      <w:r>
        <w:t>3. Exploratory Data Analysis (EDA)</w:t>
      </w:r>
    </w:p>
    <w:p>
      <w:pPr>
        <w:pStyle w:val="Heading2"/>
      </w:pPr>
      <w:r>
        <w:t>3.1 Summary statistics</w:t>
      </w:r>
    </w:p>
    <w:p>
      <w:pPr>
        <w:pStyle w:val="Caption"/>
        <w:keepNext/>
        <w:spacing w:after="60"/>
      </w:pPr>
      <w:r>
        <w:t xml:space="preserve">Table </w:t>
      </w:r>
      <w:r>
        <w:fldChar w:fldCharType="begin"/>
      </w:r>
      <w:r>
        <w:instrText xml:space="preserve"> SEQ Table \* ARABIC </w:instrText>
      </w:r>
      <w:r>
        <w:fldChar w:fldCharType="separate"/>
      </w:r>
      <w:r>
        <w:t>3</w:t>
      </w:r>
      <w:r>
        <w:fldChar w:fldCharType="end"/>
      </w:r>
      <w:r>
        <w:t>: Summary statistics of the numeric variables</w:t>
      </w:r>
    </w:p>
    <w:tbl>
      <w:tblPr>
        <w:tblW w:type="dxa" w:w="9409"/>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firstColumn="1" w:firstRow="1" w:lastColumn="0" w:lastRow="0" w:noHBand="0" w:noVBand="1" w:val="04A0"/>
      </w:tblPr>
      <w:tblGrid>
        <w:gridCol w:w="2211"/>
        <w:gridCol w:w="850"/>
        <w:gridCol w:w="907"/>
        <w:gridCol w:w="907"/>
        <w:gridCol w:w="793"/>
        <w:gridCol w:w="850"/>
        <w:gridCol w:w="907"/>
        <w:gridCol w:w="907"/>
        <w:gridCol w:w="1077"/>
      </w:tblGrid>
      <w:tr>
        <w:tc>
          <w:tcPr>
            <w:tcW w:type="dxa" w:w="2211"/>
            <w:shd w:val="clear" w:color="auto" w:fill="DCE6F2"/>
          </w:tcPr>
          <w:p>
            <w:pPr>
              <w:spacing w:after="0" w:line="240" w:lineRule="auto"/>
              <w:jc w:val="left"/>
            </w:pPr>
            <w:r/>
            <w:r>
              <w:rPr>
                <w:b/>
                <w:sz w:val="18"/>
              </w:rPr>
              <w:t>Variable</w:t>
            </w:r>
          </w:p>
        </w:tc>
        <w:tc>
          <w:tcPr>
            <w:tcW w:type="dxa" w:w="850"/>
            <w:shd w:val="clear" w:color="auto" w:fill="DCE6F2"/>
          </w:tcPr>
          <w:p>
            <w:pPr>
              <w:spacing w:after="0" w:line="240" w:lineRule="auto"/>
              <w:jc w:val="right"/>
            </w:pPr>
            <w:r/>
            <w:r>
              <w:rPr>
                <w:b/>
                <w:sz w:val="18"/>
              </w:rPr>
              <w:t>Count</w:t>
            </w:r>
          </w:p>
        </w:tc>
        <w:tc>
          <w:tcPr>
            <w:tcW w:type="dxa" w:w="907"/>
            <w:shd w:val="clear" w:color="auto" w:fill="DCE6F2"/>
          </w:tcPr>
          <w:p>
            <w:pPr>
              <w:spacing w:after="0" w:line="240" w:lineRule="auto"/>
              <w:jc w:val="right"/>
            </w:pPr>
            <w:r/>
            <w:r>
              <w:rPr>
                <w:b/>
                <w:sz w:val="18"/>
              </w:rPr>
              <w:t>Mean</w:t>
            </w:r>
          </w:p>
        </w:tc>
        <w:tc>
          <w:tcPr>
            <w:tcW w:type="dxa" w:w="907"/>
            <w:shd w:val="clear" w:color="auto" w:fill="DCE6F2"/>
          </w:tcPr>
          <w:p>
            <w:pPr>
              <w:spacing w:after="0" w:line="240" w:lineRule="auto"/>
              <w:jc w:val="right"/>
            </w:pPr>
            <w:r/>
            <w:r>
              <w:rPr>
                <w:b/>
                <w:sz w:val="18"/>
              </w:rPr>
              <w:t>SD</w:t>
            </w:r>
          </w:p>
        </w:tc>
        <w:tc>
          <w:tcPr>
            <w:tcW w:type="dxa" w:w="793"/>
            <w:shd w:val="clear" w:color="auto" w:fill="DCE6F2"/>
          </w:tcPr>
          <w:p>
            <w:pPr>
              <w:spacing w:after="0" w:line="240" w:lineRule="auto"/>
              <w:jc w:val="right"/>
            </w:pPr>
            <w:r/>
            <w:r>
              <w:rPr>
                <w:b/>
                <w:sz w:val="18"/>
              </w:rPr>
              <w:t>Min</w:t>
            </w:r>
          </w:p>
        </w:tc>
        <w:tc>
          <w:tcPr>
            <w:tcW w:type="dxa" w:w="850"/>
            <w:shd w:val="clear" w:color="auto" w:fill="DCE6F2"/>
          </w:tcPr>
          <w:p>
            <w:pPr>
              <w:spacing w:after="0" w:line="240" w:lineRule="auto"/>
              <w:jc w:val="right"/>
            </w:pPr>
            <w:r/>
            <w:r>
              <w:rPr>
                <w:b/>
                <w:sz w:val="18"/>
              </w:rPr>
              <w:t>Q1</w:t>
            </w:r>
          </w:p>
        </w:tc>
        <w:tc>
          <w:tcPr>
            <w:tcW w:type="dxa" w:w="907"/>
            <w:shd w:val="clear" w:color="auto" w:fill="DCE6F2"/>
          </w:tcPr>
          <w:p>
            <w:pPr>
              <w:spacing w:after="0" w:line="240" w:lineRule="auto"/>
              <w:jc w:val="right"/>
            </w:pPr>
            <w:r/>
            <w:r>
              <w:rPr>
                <w:b/>
                <w:sz w:val="18"/>
              </w:rPr>
              <w:t>Median</w:t>
            </w:r>
          </w:p>
        </w:tc>
        <w:tc>
          <w:tcPr>
            <w:tcW w:type="dxa" w:w="907"/>
            <w:shd w:val="clear" w:color="auto" w:fill="DCE6F2"/>
          </w:tcPr>
          <w:p>
            <w:pPr>
              <w:spacing w:after="0" w:line="240" w:lineRule="auto"/>
              <w:jc w:val="right"/>
            </w:pPr>
            <w:r/>
            <w:r>
              <w:rPr>
                <w:b/>
                <w:sz w:val="18"/>
              </w:rPr>
              <w:t>Q3</w:t>
            </w:r>
          </w:p>
        </w:tc>
        <w:tc>
          <w:tcPr>
            <w:tcW w:type="dxa" w:w="1077"/>
            <w:shd w:val="clear" w:color="auto" w:fill="DCE6F2"/>
          </w:tcPr>
          <w:p>
            <w:pPr>
              <w:spacing w:after="0" w:line="240" w:lineRule="auto"/>
              <w:jc w:val="right"/>
            </w:pPr>
            <w:r/>
            <w:r>
              <w:rPr>
                <w:b/>
                <w:sz w:val="18"/>
              </w:rPr>
              <w:t>Max</w:t>
            </w:r>
          </w:p>
        </w:tc>
      </w:tr>
      <w:tr>
        <w:tc>
          <w:tcPr>
            <w:tcW w:type="dxa" w:w="2211"/>
          </w:tcPr>
          <w:p>
            <w:pPr>
              <w:spacing w:after="0" w:line="240" w:lineRule="auto"/>
              <w:jc w:val="left"/>
            </w:pPr>
            <w:r/>
            <w:r>
              <w:rPr>
                <w:sz w:val="18"/>
              </w:rPr>
              <w:t>tenure (months)</w:t>
            </w:r>
          </w:p>
        </w:tc>
        <w:tc>
          <w:tcPr>
            <w:tcW w:type="dxa" w:w="850"/>
          </w:tcPr>
          <w:p>
            <w:pPr>
              <w:spacing w:after="0" w:line="240" w:lineRule="auto"/>
              <w:jc w:val="right"/>
            </w:pPr>
            <w:r/>
            <w:r>
              <w:rPr>
                <w:sz w:val="18"/>
              </w:rPr>
              <w:t>7,043</w:t>
            </w:r>
          </w:p>
        </w:tc>
        <w:tc>
          <w:tcPr>
            <w:tcW w:type="dxa" w:w="907"/>
          </w:tcPr>
          <w:p>
            <w:pPr>
              <w:spacing w:after="0" w:line="240" w:lineRule="auto"/>
              <w:jc w:val="right"/>
            </w:pPr>
            <w:r/>
            <w:r>
              <w:rPr>
                <w:sz w:val="18"/>
              </w:rPr>
              <w:t>32.4</w:t>
            </w:r>
          </w:p>
        </w:tc>
        <w:tc>
          <w:tcPr>
            <w:tcW w:type="dxa" w:w="907"/>
          </w:tcPr>
          <w:p>
            <w:pPr>
              <w:spacing w:after="0" w:line="240" w:lineRule="auto"/>
              <w:jc w:val="right"/>
            </w:pPr>
            <w:r/>
            <w:r>
              <w:rPr>
                <w:sz w:val="18"/>
              </w:rPr>
              <w:t>24.6</w:t>
            </w:r>
          </w:p>
        </w:tc>
        <w:tc>
          <w:tcPr>
            <w:tcW w:type="dxa" w:w="793"/>
          </w:tcPr>
          <w:p>
            <w:pPr>
              <w:spacing w:after="0" w:line="240" w:lineRule="auto"/>
              <w:jc w:val="right"/>
            </w:pPr>
            <w:r/>
            <w:r>
              <w:rPr>
                <w:sz w:val="18"/>
              </w:rPr>
              <w:t>0.0</w:t>
            </w:r>
          </w:p>
        </w:tc>
        <w:tc>
          <w:tcPr>
            <w:tcW w:type="dxa" w:w="850"/>
          </w:tcPr>
          <w:p>
            <w:pPr>
              <w:spacing w:after="0" w:line="240" w:lineRule="auto"/>
              <w:jc w:val="right"/>
            </w:pPr>
            <w:r/>
            <w:r>
              <w:rPr>
                <w:sz w:val="18"/>
              </w:rPr>
              <w:t>9.0</w:t>
            </w:r>
          </w:p>
        </w:tc>
        <w:tc>
          <w:tcPr>
            <w:tcW w:type="dxa" w:w="907"/>
          </w:tcPr>
          <w:p>
            <w:pPr>
              <w:spacing w:after="0" w:line="240" w:lineRule="auto"/>
              <w:jc w:val="right"/>
            </w:pPr>
            <w:r/>
            <w:r>
              <w:rPr>
                <w:sz w:val="18"/>
              </w:rPr>
              <w:t>29.0</w:t>
            </w:r>
          </w:p>
        </w:tc>
        <w:tc>
          <w:tcPr>
            <w:tcW w:type="dxa" w:w="907"/>
          </w:tcPr>
          <w:p>
            <w:pPr>
              <w:spacing w:after="0" w:line="240" w:lineRule="auto"/>
              <w:jc w:val="right"/>
            </w:pPr>
            <w:r/>
            <w:r>
              <w:rPr>
                <w:sz w:val="18"/>
              </w:rPr>
              <w:t>55.0</w:t>
            </w:r>
          </w:p>
        </w:tc>
        <w:tc>
          <w:tcPr>
            <w:tcW w:type="dxa" w:w="1077"/>
          </w:tcPr>
          <w:p>
            <w:pPr>
              <w:spacing w:after="0" w:line="240" w:lineRule="auto"/>
              <w:jc w:val="right"/>
            </w:pPr>
            <w:r/>
            <w:r>
              <w:rPr>
                <w:sz w:val="18"/>
              </w:rPr>
              <w:t>72.0</w:t>
            </w:r>
          </w:p>
        </w:tc>
      </w:tr>
      <w:tr>
        <w:tc>
          <w:tcPr>
            <w:tcW w:type="dxa" w:w="2211"/>
          </w:tcPr>
          <w:p>
            <w:pPr>
              <w:spacing w:after="0" w:line="240" w:lineRule="auto"/>
              <w:jc w:val="left"/>
            </w:pPr>
            <w:r/>
            <w:r>
              <w:rPr>
                <w:sz w:val="18"/>
              </w:rPr>
              <w:t>MonthlyCharges (USD)</w:t>
            </w:r>
          </w:p>
        </w:tc>
        <w:tc>
          <w:tcPr>
            <w:tcW w:type="dxa" w:w="850"/>
          </w:tcPr>
          <w:p>
            <w:pPr>
              <w:spacing w:after="0" w:line="240" w:lineRule="auto"/>
              <w:jc w:val="right"/>
            </w:pPr>
            <w:r/>
            <w:r>
              <w:rPr>
                <w:sz w:val="18"/>
              </w:rPr>
              <w:t>7,043</w:t>
            </w:r>
          </w:p>
        </w:tc>
        <w:tc>
          <w:tcPr>
            <w:tcW w:type="dxa" w:w="907"/>
          </w:tcPr>
          <w:p>
            <w:pPr>
              <w:spacing w:after="0" w:line="240" w:lineRule="auto"/>
              <w:jc w:val="right"/>
            </w:pPr>
            <w:r/>
            <w:r>
              <w:rPr>
                <w:sz w:val="18"/>
              </w:rPr>
              <w:t>64.8</w:t>
            </w:r>
          </w:p>
        </w:tc>
        <w:tc>
          <w:tcPr>
            <w:tcW w:type="dxa" w:w="907"/>
          </w:tcPr>
          <w:p>
            <w:pPr>
              <w:spacing w:after="0" w:line="240" w:lineRule="auto"/>
              <w:jc w:val="right"/>
            </w:pPr>
            <w:r/>
            <w:r>
              <w:rPr>
                <w:sz w:val="18"/>
              </w:rPr>
              <w:t>30.1</w:t>
            </w:r>
          </w:p>
        </w:tc>
        <w:tc>
          <w:tcPr>
            <w:tcW w:type="dxa" w:w="793"/>
          </w:tcPr>
          <w:p>
            <w:pPr>
              <w:spacing w:after="0" w:line="240" w:lineRule="auto"/>
              <w:jc w:val="right"/>
            </w:pPr>
            <w:r/>
            <w:r>
              <w:rPr>
                <w:sz w:val="18"/>
              </w:rPr>
              <w:t>18.2</w:t>
            </w:r>
          </w:p>
        </w:tc>
        <w:tc>
          <w:tcPr>
            <w:tcW w:type="dxa" w:w="850"/>
          </w:tcPr>
          <w:p>
            <w:pPr>
              <w:spacing w:after="0" w:line="240" w:lineRule="auto"/>
              <w:jc w:val="right"/>
            </w:pPr>
            <w:r/>
            <w:r>
              <w:rPr>
                <w:sz w:val="18"/>
              </w:rPr>
              <w:t>35.5</w:t>
            </w:r>
          </w:p>
        </w:tc>
        <w:tc>
          <w:tcPr>
            <w:tcW w:type="dxa" w:w="907"/>
          </w:tcPr>
          <w:p>
            <w:pPr>
              <w:spacing w:after="0" w:line="240" w:lineRule="auto"/>
              <w:jc w:val="right"/>
            </w:pPr>
            <w:r/>
            <w:r>
              <w:rPr>
                <w:sz w:val="18"/>
              </w:rPr>
              <w:t>70.3</w:t>
            </w:r>
          </w:p>
        </w:tc>
        <w:tc>
          <w:tcPr>
            <w:tcW w:type="dxa" w:w="907"/>
          </w:tcPr>
          <w:p>
            <w:pPr>
              <w:spacing w:after="0" w:line="240" w:lineRule="auto"/>
              <w:jc w:val="right"/>
            </w:pPr>
            <w:r/>
            <w:r>
              <w:rPr>
                <w:sz w:val="18"/>
              </w:rPr>
              <w:t>89.9</w:t>
            </w:r>
          </w:p>
        </w:tc>
        <w:tc>
          <w:tcPr>
            <w:tcW w:type="dxa" w:w="1077"/>
          </w:tcPr>
          <w:p>
            <w:pPr>
              <w:spacing w:after="0" w:line="240" w:lineRule="auto"/>
              <w:jc w:val="right"/>
            </w:pPr>
            <w:r/>
            <w:r>
              <w:rPr>
                <w:sz w:val="18"/>
              </w:rPr>
              <w:t>118.8</w:t>
            </w:r>
          </w:p>
        </w:tc>
      </w:tr>
      <w:tr>
        <w:tc>
          <w:tcPr>
            <w:tcW w:type="dxa" w:w="2211"/>
          </w:tcPr>
          <w:p>
            <w:pPr>
              <w:spacing w:after="0" w:line="240" w:lineRule="auto"/>
              <w:jc w:val="left"/>
            </w:pPr>
            <w:r/>
            <w:r>
              <w:rPr>
                <w:sz w:val="18"/>
              </w:rPr>
              <w:t>TotalCharges (USD)</w:t>
            </w:r>
          </w:p>
        </w:tc>
        <w:tc>
          <w:tcPr>
            <w:tcW w:type="dxa" w:w="850"/>
          </w:tcPr>
          <w:p>
            <w:pPr>
              <w:spacing w:after="0" w:line="240" w:lineRule="auto"/>
              <w:jc w:val="right"/>
            </w:pPr>
            <w:r/>
            <w:r>
              <w:rPr>
                <w:sz w:val="18"/>
              </w:rPr>
              <w:t>7,043</w:t>
            </w:r>
          </w:p>
        </w:tc>
        <w:tc>
          <w:tcPr>
            <w:tcW w:type="dxa" w:w="907"/>
          </w:tcPr>
          <w:p>
            <w:pPr>
              <w:spacing w:after="0" w:line="240" w:lineRule="auto"/>
              <w:jc w:val="right"/>
            </w:pPr>
            <w:r/>
            <w:r>
              <w:rPr>
                <w:sz w:val="18"/>
              </w:rPr>
              <w:t>2,279.8</w:t>
            </w:r>
          </w:p>
        </w:tc>
        <w:tc>
          <w:tcPr>
            <w:tcW w:type="dxa" w:w="907"/>
          </w:tcPr>
          <w:p>
            <w:pPr>
              <w:spacing w:after="0" w:line="240" w:lineRule="auto"/>
              <w:jc w:val="right"/>
            </w:pPr>
            <w:r/>
            <w:r>
              <w:rPr>
                <w:sz w:val="18"/>
              </w:rPr>
              <w:t>2,266.9</w:t>
            </w:r>
          </w:p>
        </w:tc>
        <w:tc>
          <w:tcPr>
            <w:tcW w:type="dxa" w:w="793"/>
          </w:tcPr>
          <w:p>
            <w:pPr>
              <w:spacing w:after="0" w:line="240" w:lineRule="auto"/>
              <w:jc w:val="right"/>
            </w:pPr>
            <w:r/>
            <w:r>
              <w:rPr>
                <w:sz w:val="18"/>
              </w:rPr>
              <w:t>0.0</w:t>
            </w:r>
          </w:p>
        </w:tc>
        <w:tc>
          <w:tcPr>
            <w:tcW w:type="dxa" w:w="850"/>
          </w:tcPr>
          <w:p>
            <w:pPr>
              <w:spacing w:after="0" w:line="240" w:lineRule="auto"/>
              <w:jc w:val="right"/>
            </w:pPr>
            <w:r/>
            <w:r>
              <w:rPr>
                <w:sz w:val="18"/>
              </w:rPr>
              <w:t>398.6</w:t>
            </w:r>
          </w:p>
        </w:tc>
        <w:tc>
          <w:tcPr>
            <w:tcW w:type="dxa" w:w="907"/>
          </w:tcPr>
          <w:p>
            <w:pPr>
              <w:spacing w:after="0" w:line="240" w:lineRule="auto"/>
              <w:jc w:val="right"/>
            </w:pPr>
            <w:r/>
            <w:r>
              <w:rPr>
                <w:sz w:val="18"/>
              </w:rPr>
              <w:t>1,394.4</w:t>
            </w:r>
          </w:p>
        </w:tc>
        <w:tc>
          <w:tcPr>
            <w:tcW w:type="dxa" w:w="907"/>
          </w:tcPr>
          <w:p>
            <w:pPr>
              <w:spacing w:after="0" w:line="240" w:lineRule="auto"/>
              <w:jc w:val="right"/>
            </w:pPr>
            <w:r/>
            <w:r>
              <w:rPr>
                <w:sz w:val="18"/>
              </w:rPr>
              <w:t>3,786.6</w:t>
            </w:r>
          </w:p>
        </w:tc>
        <w:tc>
          <w:tcPr>
            <w:tcW w:type="dxa" w:w="1077"/>
          </w:tcPr>
          <w:p>
            <w:pPr>
              <w:spacing w:after="0" w:line="240" w:lineRule="auto"/>
              <w:jc w:val="right"/>
            </w:pPr>
            <w:r/>
            <w:r>
              <w:rPr>
                <w:sz w:val="18"/>
              </w:rPr>
              <w:t>8,684.8</w:t>
            </w:r>
          </w:p>
        </w:tc>
      </w:tr>
    </w:tbl>
    <w:p>
      <w:pPr>
        <w:spacing w:after="40"/>
      </w:pPr>
    </w:p>
    <w:p>
      <w:pPr>
        <w:spacing w:after="120"/>
        <w:jc w:val="both"/>
      </w:pPr>
      <w:r>
        <w:t>Table 3 summarises the three numeric variables after cleaning. The mean of total charges (2,280 USD) lies far above its median (1,394 USD), a first sign of right skew. Table 4 adds the categorical profile: churners are newer (median tenure 10 vs 38 months) and far more often on month-to-month contracts, fiber-optic internet and electronic-check payment.</w:t>
      </w:r>
    </w:p>
    <w:p>
      <w:pPr>
        <w:pStyle w:val="Caption"/>
        <w:keepNext/>
        <w:spacing w:after="60"/>
      </w:pPr>
      <w:r>
        <w:t xml:space="preserve">Table </w:t>
      </w:r>
      <w:r>
        <w:fldChar w:fldCharType="begin"/>
      </w:r>
      <w:r>
        <w:instrText xml:space="preserve"> SEQ Table \* ARABIC </w:instrText>
      </w:r>
      <w:r>
        <w:fldChar w:fldCharType="separate"/>
      </w:r>
      <w:r>
        <w:t>4</w:t>
      </w:r>
      <w:r>
        <w:fldChar w:fldCharType="end"/>
      </w:r>
      <w:r>
        <w:t>: Profile of customers who stayed and customers who churned</w:t>
      </w:r>
    </w:p>
    <w:tbl>
      <w:tblPr>
        <w:tblW w:type="dxa" w:w="9184"/>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firstColumn="1" w:firstRow="1" w:lastColumn="0" w:lastRow="0" w:noHBand="0" w:noVBand="1" w:val="04A0"/>
      </w:tblPr>
      <w:tblGrid>
        <w:gridCol w:w="3742"/>
        <w:gridCol w:w="1814"/>
        <w:gridCol w:w="1814"/>
        <w:gridCol w:w="1814"/>
      </w:tblGrid>
      <w:tr>
        <w:tc>
          <w:tcPr>
            <w:tcW w:type="dxa" w:w="3742"/>
            <w:shd w:val="clear" w:color="auto" w:fill="DCE6F2"/>
          </w:tcPr>
          <w:p>
            <w:pPr>
              <w:spacing w:after="0" w:line="240" w:lineRule="auto"/>
              <w:jc w:val="left"/>
            </w:pPr>
            <w:r/>
            <w:r>
              <w:rPr>
                <w:b/>
                <w:sz w:val="18"/>
              </w:rPr>
              <w:t>Characteristic</w:t>
            </w:r>
          </w:p>
        </w:tc>
        <w:tc>
          <w:tcPr>
            <w:tcW w:type="dxa" w:w="1814"/>
            <w:shd w:val="clear" w:color="auto" w:fill="DCE6F2"/>
          </w:tcPr>
          <w:p>
            <w:pPr>
              <w:spacing w:after="0" w:line="240" w:lineRule="auto"/>
              <w:jc w:val="right"/>
            </w:pPr>
            <w:r/>
            <w:r>
              <w:rPr>
                <w:b/>
                <w:sz w:val="18"/>
              </w:rPr>
              <w:t>All customers</w:t>
            </w:r>
          </w:p>
        </w:tc>
        <w:tc>
          <w:tcPr>
            <w:tcW w:type="dxa" w:w="1814"/>
            <w:shd w:val="clear" w:color="auto" w:fill="DCE6F2"/>
          </w:tcPr>
          <w:p>
            <w:pPr>
              <w:spacing w:after="0" w:line="240" w:lineRule="auto"/>
              <w:jc w:val="right"/>
            </w:pPr>
            <w:r/>
            <w:r>
              <w:rPr>
                <w:b/>
                <w:sz w:val="18"/>
              </w:rPr>
              <w:t>Stayed</w:t>
            </w:r>
          </w:p>
        </w:tc>
        <w:tc>
          <w:tcPr>
            <w:tcW w:type="dxa" w:w="1814"/>
            <w:shd w:val="clear" w:color="auto" w:fill="DCE6F2"/>
          </w:tcPr>
          <w:p>
            <w:pPr>
              <w:spacing w:after="0" w:line="240" w:lineRule="auto"/>
              <w:jc w:val="right"/>
            </w:pPr>
            <w:r/>
            <w:r>
              <w:rPr>
                <w:b/>
                <w:sz w:val="18"/>
              </w:rPr>
              <w:t>Churned</w:t>
            </w:r>
          </w:p>
        </w:tc>
      </w:tr>
      <w:tr>
        <w:tc>
          <w:tcPr>
            <w:tcW w:type="dxa" w:w="3742"/>
          </w:tcPr>
          <w:p>
            <w:pPr>
              <w:spacing w:after="0" w:line="240" w:lineRule="auto"/>
              <w:jc w:val="left"/>
            </w:pPr>
            <w:r/>
            <w:r>
              <w:rPr>
                <w:sz w:val="18"/>
              </w:rPr>
              <w:t>Customers</w:t>
            </w:r>
          </w:p>
        </w:tc>
        <w:tc>
          <w:tcPr>
            <w:tcW w:type="dxa" w:w="1814"/>
          </w:tcPr>
          <w:p>
            <w:pPr>
              <w:spacing w:after="0" w:line="240" w:lineRule="auto"/>
              <w:jc w:val="right"/>
            </w:pPr>
            <w:r/>
            <w:r>
              <w:rPr>
                <w:sz w:val="18"/>
              </w:rPr>
              <w:t>7,043</w:t>
            </w:r>
          </w:p>
        </w:tc>
        <w:tc>
          <w:tcPr>
            <w:tcW w:type="dxa" w:w="1814"/>
          </w:tcPr>
          <w:p>
            <w:pPr>
              <w:spacing w:after="0" w:line="240" w:lineRule="auto"/>
              <w:jc w:val="right"/>
            </w:pPr>
            <w:r/>
            <w:r>
              <w:rPr>
                <w:sz w:val="18"/>
              </w:rPr>
              <w:t>5,174</w:t>
            </w:r>
          </w:p>
        </w:tc>
        <w:tc>
          <w:tcPr>
            <w:tcW w:type="dxa" w:w="1814"/>
          </w:tcPr>
          <w:p>
            <w:pPr>
              <w:spacing w:after="0" w:line="240" w:lineRule="auto"/>
              <w:jc w:val="right"/>
            </w:pPr>
            <w:r/>
            <w:r>
              <w:rPr>
                <w:sz w:val="18"/>
              </w:rPr>
              <w:t>1,869</w:t>
            </w:r>
          </w:p>
        </w:tc>
      </w:tr>
      <w:tr>
        <w:tc>
          <w:tcPr>
            <w:tcW w:type="dxa" w:w="3742"/>
          </w:tcPr>
          <w:p>
            <w:pPr>
              <w:spacing w:after="0" w:line="240" w:lineRule="auto"/>
              <w:jc w:val="left"/>
            </w:pPr>
            <w:r/>
            <w:r>
              <w:rPr>
                <w:sz w:val="18"/>
              </w:rPr>
              <w:t>Median tenure (months)</w:t>
            </w:r>
          </w:p>
        </w:tc>
        <w:tc>
          <w:tcPr>
            <w:tcW w:type="dxa" w:w="1814"/>
          </w:tcPr>
          <w:p>
            <w:pPr>
              <w:spacing w:after="0" w:line="240" w:lineRule="auto"/>
              <w:jc w:val="right"/>
            </w:pPr>
            <w:r/>
            <w:r>
              <w:rPr>
                <w:sz w:val="18"/>
              </w:rPr>
              <w:t>29</w:t>
            </w:r>
          </w:p>
        </w:tc>
        <w:tc>
          <w:tcPr>
            <w:tcW w:type="dxa" w:w="1814"/>
          </w:tcPr>
          <w:p>
            <w:pPr>
              <w:spacing w:after="0" w:line="240" w:lineRule="auto"/>
              <w:jc w:val="right"/>
            </w:pPr>
            <w:r/>
            <w:r>
              <w:rPr>
                <w:sz w:val="18"/>
              </w:rPr>
              <w:t>38</w:t>
            </w:r>
          </w:p>
        </w:tc>
        <w:tc>
          <w:tcPr>
            <w:tcW w:type="dxa" w:w="1814"/>
          </w:tcPr>
          <w:p>
            <w:pPr>
              <w:spacing w:after="0" w:line="240" w:lineRule="auto"/>
              <w:jc w:val="right"/>
            </w:pPr>
            <w:r/>
            <w:r>
              <w:rPr>
                <w:sz w:val="18"/>
              </w:rPr>
              <w:t>10</w:t>
            </w:r>
          </w:p>
        </w:tc>
      </w:tr>
      <w:tr>
        <w:tc>
          <w:tcPr>
            <w:tcW w:type="dxa" w:w="3742"/>
          </w:tcPr>
          <w:p>
            <w:pPr>
              <w:spacing w:after="0" w:line="240" w:lineRule="auto"/>
              <w:jc w:val="left"/>
            </w:pPr>
            <w:r/>
            <w:r>
              <w:rPr>
                <w:sz w:val="18"/>
              </w:rPr>
              <w:t>Mean monthly charge (USD)</w:t>
            </w:r>
          </w:p>
        </w:tc>
        <w:tc>
          <w:tcPr>
            <w:tcW w:type="dxa" w:w="1814"/>
          </w:tcPr>
          <w:p>
            <w:pPr>
              <w:spacing w:after="0" w:line="240" w:lineRule="auto"/>
              <w:jc w:val="right"/>
            </w:pPr>
            <w:r/>
            <w:r>
              <w:rPr>
                <w:sz w:val="18"/>
              </w:rPr>
              <w:t>64.8</w:t>
            </w:r>
          </w:p>
        </w:tc>
        <w:tc>
          <w:tcPr>
            <w:tcW w:type="dxa" w:w="1814"/>
          </w:tcPr>
          <w:p>
            <w:pPr>
              <w:spacing w:after="0" w:line="240" w:lineRule="auto"/>
              <w:jc w:val="right"/>
            </w:pPr>
            <w:r/>
            <w:r>
              <w:rPr>
                <w:sz w:val="18"/>
              </w:rPr>
              <w:t>61.3</w:t>
            </w:r>
          </w:p>
        </w:tc>
        <w:tc>
          <w:tcPr>
            <w:tcW w:type="dxa" w:w="1814"/>
          </w:tcPr>
          <w:p>
            <w:pPr>
              <w:spacing w:after="0" w:line="240" w:lineRule="auto"/>
              <w:jc w:val="right"/>
            </w:pPr>
            <w:r/>
            <w:r>
              <w:rPr>
                <w:sz w:val="18"/>
              </w:rPr>
              <w:t>74.4</w:t>
            </w:r>
          </w:p>
        </w:tc>
      </w:tr>
      <w:tr>
        <w:tc>
          <w:tcPr>
            <w:tcW w:type="dxa" w:w="3742"/>
          </w:tcPr>
          <w:p>
            <w:pPr>
              <w:spacing w:after="0" w:line="240" w:lineRule="auto"/>
              <w:jc w:val="left"/>
            </w:pPr>
            <w:r/>
            <w:r>
              <w:rPr>
                <w:sz w:val="18"/>
              </w:rPr>
              <w:t>Month-to-month contract (%)</w:t>
            </w:r>
          </w:p>
        </w:tc>
        <w:tc>
          <w:tcPr>
            <w:tcW w:type="dxa" w:w="1814"/>
          </w:tcPr>
          <w:p>
            <w:pPr>
              <w:spacing w:after="0" w:line="240" w:lineRule="auto"/>
              <w:jc w:val="right"/>
            </w:pPr>
            <w:r/>
            <w:r>
              <w:rPr>
                <w:sz w:val="18"/>
              </w:rPr>
              <w:t>55.1</w:t>
            </w:r>
          </w:p>
        </w:tc>
        <w:tc>
          <w:tcPr>
            <w:tcW w:type="dxa" w:w="1814"/>
          </w:tcPr>
          <w:p>
            <w:pPr>
              <w:spacing w:after="0" w:line="240" w:lineRule="auto"/>
              <w:jc w:val="right"/>
            </w:pPr>
            <w:r/>
            <w:r>
              <w:rPr>
                <w:sz w:val="18"/>
              </w:rPr>
              <w:t>42.9</w:t>
            </w:r>
          </w:p>
        </w:tc>
        <w:tc>
          <w:tcPr>
            <w:tcW w:type="dxa" w:w="1814"/>
          </w:tcPr>
          <w:p>
            <w:pPr>
              <w:spacing w:after="0" w:line="240" w:lineRule="auto"/>
              <w:jc w:val="right"/>
            </w:pPr>
            <w:r/>
            <w:r>
              <w:rPr>
                <w:sz w:val="18"/>
              </w:rPr>
              <w:t>88.7</w:t>
            </w:r>
          </w:p>
        </w:tc>
      </w:tr>
      <w:tr>
        <w:tc>
          <w:tcPr>
            <w:tcW w:type="dxa" w:w="3742"/>
          </w:tcPr>
          <w:p>
            <w:pPr>
              <w:spacing w:after="0" w:line="240" w:lineRule="auto"/>
              <w:jc w:val="left"/>
            </w:pPr>
            <w:r/>
            <w:r>
              <w:rPr>
                <w:sz w:val="18"/>
              </w:rPr>
              <w:t>Fiber optic internet (%)</w:t>
            </w:r>
          </w:p>
        </w:tc>
        <w:tc>
          <w:tcPr>
            <w:tcW w:type="dxa" w:w="1814"/>
          </w:tcPr>
          <w:p>
            <w:pPr>
              <w:spacing w:after="0" w:line="240" w:lineRule="auto"/>
              <w:jc w:val="right"/>
            </w:pPr>
            <w:r/>
            <w:r>
              <w:rPr>
                <w:sz w:val="18"/>
              </w:rPr>
              <w:t>44.0</w:t>
            </w:r>
          </w:p>
        </w:tc>
        <w:tc>
          <w:tcPr>
            <w:tcW w:type="dxa" w:w="1814"/>
          </w:tcPr>
          <w:p>
            <w:pPr>
              <w:spacing w:after="0" w:line="240" w:lineRule="auto"/>
              <w:jc w:val="right"/>
            </w:pPr>
            <w:r/>
            <w:r>
              <w:rPr>
                <w:sz w:val="18"/>
              </w:rPr>
              <w:t>34.8</w:t>
            </w:r>
          </w:p>
        </w:tc>
        <w:tc>
          <w:tcPr>
            <w:tcW w:type="dxa" w:w="1814"/>
          </w:tcPr>
          <w:p>
            <w:pPr>
              <w:spacing w:after="0" w:line="240" w:lineRule="auto"/>
              <w:jc w:val="right"/>
            </w:pPr>
            <w:r/>
            <w:r>
              <w:rPr>
                <w:sz w:val="18"/>
              </w:rPr>
              <w:t>69.4</w:t>
            </w:r>
          </w:p>
        </w:tc>
      </w:tr>
      <w:tr>
        <w:tc>
          <w:tcPr>
            <w:tcW w:type="dxa" w:w="3742"/>
          </w:tcPr>
          <w:p>
            <w:pPr>
              <w:spacing w:after="0" w:line="240" w:lineRule="auto"/>
              <w:jc w:val="left"/>
            </w:pPr>
            <w:r/>
            <w:r>
              <w:rPr>
                <w:sz w:val="18"/>
              </w:rPr>
              <w:t>Pays by electronic check (%)</w:t>
            </w:r>
          </w:p>
        </w:tc>
        <w:tc>
          <w:tcPr>
            <w:tcW w:type="dxa" w:w="1814"/>
          </w:tcPr>
          <w:p>
            <w:pPr>
              <w:spacing w:after="0" w:line="240" w:lineRule="auto"/>
              <w:jc w:val="right"/>
            </w:pPr>
            <w:r/>
            <w:r>
              <w:rPr>
                <w:sz w:val="18"/>
              </w:rPr>
              <w:t>33.6</w:t>
            </w:r>
          </w:p>
        </w:tc>
        <w:tc>
          <w:tcPr>
            <w:tcW w:type="dxa" w:w="1814"/>
          </w:tcPr>
          <w:p>
            <w:pPr>
              <w:spacing w:after="0" w:line="240" w:lineRule="auto"/>
              <w:jc w:val="right"/>
            </w:pPr>
            <w:r/>
            <w:r>
              <w:rPr>
                <w:sz w:val="18"/>
              </w:rPr>
              <w:t>25.0</w:t>
            </w:r>
          </w:p>
        </w:tc>
        <w:tc>
          <w:tcPr>
            <w:tcW w:type="dxa" w:w="1814"/>
          </w:tcPr>
          <w:p>
            <w:pPr>
              <w:spacing w:after="0" w:line="240" w:lineRule="auto"/>
              <w:jc w:val="right"/>
            </w:pPr>
            <w:r/>
            <w:r>
              <w:rPr>
                <w:sz w:val="18"/>
              </w:rPr>
              <w:t>57.3</w:t>
            </w:r>
          </w:p>
        </w:tc>
      </w:tr>
      <w:tr>
        <w:tc>
          <w:tcPr>
            <w:tcW w:type="dxa" w:w="3742"/>
          </w:tcPr>
          <w:p>
            <w:pPr>
              <w:spacing w:after="0" w:line="240" w:lineRule="auto"/>
              <w:jc w:val="left"/>
            </w:pPr>
            <w:r/>
            <w:r>
              <w:rPr>
                <w:sz w:val="18"/>
              </w:rPr>
              <w:t>Has tech support (%)</w:t>
            </w:r>
          </w:p>
        </w:tc>
        <w:tc>
          <w:tcPr>
            <w:tcW w:type="dxa" w:w="1814"/>
          </w:tcPr>
          <w:p>
            <w:pPr>
              <w:spacing w:after="0" w:line="240" w:lineRule="auto"/>
              <w:jc w:val="right"/>
            </w:pPr>
            <w:r/>
            <w:r>
              <w:rPr>
                <w:sz w:val="18"/>
              </w:rPr>
              <w:t>29.0</w:t>
            </w:r>
          </w:p>
        </w:tc>
        <w:tc>
          <w:tcPr>
            <w:tcW w:type="dxa" w:w="1814"/>
          </w:tcPr>
          <w:p>
            <w:pPr>
              <w:spacing w:after="0" w:line="240" w:lineRule="auto"/>
              <w:jc w:val="right"/>
            </w:pPr>
            <w:r/>
            <w:r>
              <w:rPr>
                <w:sz w:val="18"/>
              </w:rPr>
              <w:t>33.5</w:t>
            </w:r>
          </w:p>
        </w:tc>
        <w:tc>
          <w:tcPr>
            <w:tcW w:type="dxa" w:w="1814"/>
          </w:tcPr>
          <w:p>
            <w:pPr>
              <w:spacing w:after="0" w:line="240" w:lineRule="auto"/>
              <w:jc w:val="right"/>
            </w:pPr>
            <w:r/>
            <w:r>
              <w:rPr>
                <w:sz w:val="18"/>
              </w:rPr>
              <w:t>16.6</w:t>
            </w:r>
          </w:p>
        </w:tc>
      </w:tr>
    </w:tbl>
    <w:p>
      <w:pPr>
        <w:spacing w:after="40"/>
      </w:pPr>
    </w:p>
    <w:p>
      <w:pPr>
        <w:pStyle w:val="Heading2"/>
      </w:pPr>
      <w:r>
        <w:t>3.2 Distribution of numeric variables</w:t>
      </w:r>
    </w:p>
    <w:p>
      <w:pPr>
        <w:spacing w:after="120"/>
        <w:jc w:val="both"/>
      </w:pPr>
      <w:r>
        <w:t>Figure 4 shows the shape, spread and concentration of each numeric variable as histograms, with customers who stayed and churned stacked in each bar. Table 5 interprets each histogram; the distribution type is computed from the data (number of peaks and skewness), not judged by eye.</w:t>
      </w:r>
    </w:p>
    <w:p>
      <w:pPr>
        <w:keepNext/>
        <w:spacing w:after="40"/>
        <w:jc w:val="center"/>
      </w:pPr>
      <w:r>
        <w:drawing>
          <wp:inline xmlns:a="http://schemas.openxmlformats.org/drawingml/2006/main" xmlns:pic="http://schemas.openxmlformats.org/drawingml/2006/picture">
            <wp:extent cx="4680000" cy="1448775"/>
            <wp:docPr id="5" name="Picture 5"/>
            <wp:cNvGraphicFramePr>
              <a:graphicFrameLocks noChangeAspect="1"/>
            </wp:cNvGraphicFramePr>
            <a:graphic>
              <a:graphicData uri="http://schemas.openxmlformats.org/drawingml/2006/picture">
                <pic:pic>
                  <pic:nvPicPr>
                    <pic:cNvPr id="0" name="fig04_numeric_distributions_by_churn.png"/>
                    <pic:cNvPicPr/>
                  </pic:nvPicPr>
                  <pic:blipFill>
                    <a:blip r:embed="rId14"/>
                    <a:stretch>
                      <a:fillRect/>
                    </a:stretch>
                  </pic:blipFill>
                  <pic:spPr>
                    <a:xfrm>
                      <a:off x="0" y="0"/>
                      <a:ext cx="4680000" cy="1448775"/>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4</w:t>
      </w:r>
      <w:r>
        <w:fldChar w:fldCharType="end"/>
      </w:r>
      <w:r>
        <w:t>: Histograms of tenure, monthly charges and total charges by churn status</w:t>
      </w:r>
    </w:p>
    <w:p>
      <w:pPr>
        <w:pStyle w:val="Caption"/>
        <w:keepNext/>
        <w:spacing w:after="60"/>
      </w:pPr>
      <w:r>
        <w:t xml:space="preserve">Table </w:t>
      </w:r>
      <w:r>
        <w:fldChar w:fldCharType="begin"/>
      </w:r>
      <w:r>
        <w:instrText xml:space="preserve"> SEQ Table \* ARABIC </w:instrText>
      </w:r>
      <w:r>
        <w:fldChar w:fldCharType="separate"/>
      </w:r>
      <w:r>
        <w:t>5</w:t>
      </w:r>
      <w:r>
        <w:fldChar w:fldCharType="end"/>
      </w:r>
      <w:r>
        <w:t>: Interpretation of the histograms</w:t>
      </w:r>
    </w:p>
    <w:tbl>
      <w:tblPr>
        <w:tblW w:type="dxa" w:w="9411"/>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firstColumn="1" w:firstRow="1" w:lastColumn="0" w:lastRow="0" w:noHBand="0" w:noVBand="1" w:val="04A0"/>
      </w:tblPr>
      <w:tblGrid>
        <w:gridCol w:w="1587"/>
        <w:gridCol w:w="2835"/>
        <w:gridCol w:w="2268"/>
        <w:gridCol w:w="2721"/>
      </w:tblGrid>
      <w:tr>
        <w:tc>
          <w:tcPr>
            <w:tcW w:type="dxa" w:w="1587"/>
            <w:shd w:val="clear" w:color="auto" w:fill="DCE6F2"/>
          </w:tcPr>
          <w:p>
            <w:pPr>
              <w:spacing w:after="0" w:line="240" w:lineRule="auto"/>
              <w:jc w:val="left"/>
            </w:pPr>
            <w:r/>
            <w:r>
              <w:rPr>
                <w:b/>
                <w:sz w:val="17"/>
              </w:rPr>
              <w:t>Variable</w:t>
            </w:r>
          </w:p>
        </w:tc>
        <w:tc>
          <w:tcPr>
            <w:tcW w:type="dxa" w:w="2835"/>
            <w:shd w:val="clear" w:color="auto" w:fill="DCE6F2"/>
          </w:tcPr>
          <w:p>
            <w:pPr>
              <w:spacing w:after="0" w:line="240" w:lineRule="auto"/>
              <w:jc w:val="left"/>
            </w:pPr>
            <w:r/>
            <w:r>
              <w:rPr>
                <w:b/>
                <w:sz w:val="17"/>
              </w:rPr>
              <w:t>Observation</w:t>
            </w:r>
          </w:p>
        </w:tc>
        <w:tc>
          <w:tcPr>
            <w:tcW w:type="dxa" w:w="2268"/>
            <w:shd w:val="clear" w:color="auto" w:fill="DCE6F2"/>
          </w:tcPr>
          <w:p>
            <w:pPr>
              <w:spacing w:after="0" w:line="240" w:lineRule="auto"/>
              <w:jc w:val="left"/>
            </w:pPr>
            <w:r/>
            <w:r>
              <w:rPr>
                <w:b/>
                <w:sz w:val="17"/>
              </w:rPr>
              <w:t>Distribution type</w:t>
            </w:r>
          </w:p>
        </w:tc>
        <w:tc>
          <w:tcPr>
            <w:tcW w:type="dxa" w:w="2721"/>
            <w:shd w:val="clear" w:color="auto" w:fill="DCE6F2"/>
          </w:tcPr>
          <w:p>
            <w:pPr>
              <w:spacing w:after="0" w:line="240" w:lineRule="auto"/>
              <w:jc w:val="left"/>
            </w:pPr>
            <w:r/>
            <w:r>
              <w:rPr>
                <w:b/>
                <w:sz w:val="17"/>
              </w:rPr>
              <w:t>Insight (churned vs stayed)</w:t>
            </w:r>
          </w:p>
        </w:tc>
      </w:tr>
      <w:tr>
        <w:tc>
          <w:tcPr>
            <w:tcW w:type="dxa" w:w="1587"/>
          </w:tcPr>
          <w:p>
            <w:pPr>
              <w:spacing w:after="0" w:line="240" w:lineRule="auto"/>
              <w:jc w:val="left"/>
            </w:pPr>
            <w:r/>
            <w:r>
              <w:rPr>
                <w:sz w:val="17"/>
              </w:rPr>
              <w:t>tenure</w:t>
            </w:r>
          </w:p>
        </w:tc>
        <w:tc>
          <w:tcPr>
            <w:tcW w:type="dxa" w:w="2835"/>
          </w:tcPr>
          <w:p>
            <w:pPr>
              <w:spacing w:after="0" w:line="240" w:lineRule="auto"/>
              <w:jc w:val="left"/>
            </w:pPr>
            <w:r/>
            <w:r>
              <w:rPr>
                <w:sz w:val="17"/>
              </w:rPr>
              <w:t>Mean 32.4, median 29.0; range 0–72 months</w:t>
            </w:r>
          </w:p>
        </w:tc>
        <w:tc>
          <w:tcPr>
            <w:tcW w:type="dxa" w:w="2268"/>
          </w:tcPr>
          <w:p>
            <w:pPr>
              <w:spacing w:after="0" w:line="240" w:lineRule="auto"/>
              <w:jc w:val="left"/>
            </w:pPr>
            <w:r/>
            <w:r>
              <w:rPr>
                <w:sz w:val="17"/>
              </w:rPr>
              <w:t>U-shaped (peaks at both ends); skewness 0.24</w:t>
            </w:r>
          </w:p>
        </w:tc>
        <w:tc>
          <w:tcPr>
            <w:tcW w:type="dxa" w:w="2721"/>
          </w:tcPr>
          <w:p>
            <w:pPr>
              <w:spacing w:after="0" w:line="240" w:lineRule="auto"/>
              <w:jc w:val="left"/>
            </w:pPr>
            <w:r/>
            <w:r>
              <w:rPr>
                <w:sz w:val="17"/>
              </w:rPr>
              <w:t>Churners lower (median 10.0 vs 38.0 months)</w:t>
            </w:r>
          </w:p>
        </w:tc>
      </w:tr>
      <w:tr>
        <w:tc>
          <w:tcPr>
            <w:tcW w:type="dxa" w:w="1587"/>
          </w:tcPr>
          <w:p>
            <w:pPr>
              <w:spacing w:after="0" w:line="240" w:lineRule="auto"/>
              <w:jc w:val="left"/>
            </w:pPr>
            <w:r/>
            <w:r>
              <w:rPr>
                <w:sz w:val="17"/>
              </w:rPr>
              <w:t>MonthlyCharges</w:t>
            </w:r>
          </w:p>
        </w:tc>
        <w:tc>
          <w:tcPr>
            <w:tcW w:type="dxa" w:w="2835"/>
          </w:tcPr>
          <w:p>
            <w:pPr>
              <w:spacing w:after="0" w:line="240" w:lineRule="auto"/>
              <w:jc w:val="left"/>
            </w:pPr>
            <w:r/>
            <w:r>
              <w:rPr>
                <w:sz w:val="17"/>
              </w:rPr>
              <w:t>Mean 64.8, median 70.3; range 18–119 USD</w:t>
            </w:r>
          </w:p>
        </w:tc>
        <w:tc>
          <w:tcPr>
            <w:tcW w:type="dxa" w:w="2268"/>
          </w:tcPr>
          <w:p>
            <w:pPr>
              <w:spacing w:after="0" w:line="240" w:lineRule="auto"/>
              <w:jc w:val="left"/>
            </w:pPr>
            <w:r/>
            <w:r>
              <w:rPr>
                <w:sz w:val="17"/>
              </w:rPr>
              <w:t>Bimodal (two peaks); skewness −0.22</w:t>
            </w:r>
          </w:p>
        </w:tc>
        <w:tc>
          <w:tcPr>
            <w:tcW w:type="dxa" w:w="2721"/>
          </w:tcPr>
          <w:p>
            <w:pPr>
              <w:spacing w:after="0" w:line="240" w:lineRule="auto"/>
              <w:jc w:val="left"/>
            </w:pPr>
            <w:r/>
            <w:r>
              <w:rPr>
                <w:sz w:val="17"/>
              </w:rPr>
              <w:t>Churners higher (median 79.6 vs 64.4 USD)</w:t>
            </w:r>
          </w:p>
        </w:tc>
      </w:tr>
      <w:tr>
        <w:tc>
          <w:tcPr>
            <w:tcW w:type="dxa" w:w="1587"/>
          </w:tcPr>
          <w:p>
            <w:pPr>
              <w:spacing w:after="0" w:line="240" w:lineRule="auto"/>
              <w:jc w:val="left"/>
            </w:pPr>
            <w:r/>
            <w:r>
              <w:rPr>
                <w:sz w:val="17"/>
              </w:rPr>
              <w:t>TotalCharges</w:t>
            </w:r>
          </w:p>
        </w:tc>
        <w:tc>
          <w:tcPr>
            <w:tcW w:type="dxa" w:w="2835"/>
          </w:tcPr>
          <w:p>
            <w:pPr>
              <w:spacing w:after="0" w:line="240" w:lineRule="auto"/>
              <w:jc w:val="left"/>
            </w:pPr>
            <w:r/>
            <w:r>
              <w:rPr>
                <w:sz w:val="17"/>
              </w:rPr>
              <w:t>Mean 2,279.8, median 1,394.4; range 0–8,685 USD</w:t>
            </w:r>
          </w:p>
        </w:tc>
        <w:tc>
          <w:tcPr>
            <w:tcW w:type="dxa" w:w="2268"/>
          </w:tcPr>
          <w:p>
            <w:pPr>
              <w:spacing w:after="0" w:line="240" w:lineRule="auto"/>
              <w:jc w:val="left"/>
            </w:pPr>
            <w:r/>
            <w:r>
              <w:rPr>
                <w:sz w:val="17"/>
              </w:rPr>
              <w:t>Right-skewed; skewness 0.96</w:t>
            </w:r>
          </w:p>
        </w:tc>
        <w:tc>
          <w:tcPr>
            <w:tcW w:type="dxa" w:w="2721"/>
          </w:tcPr>
          <w:p>
            <w:pPr>
              <w:spacing w:after="0" w:line="240" w:lineRule="auto"/>
              <w:jc w:val="left"/>
            </w:pPr>
            <w:r/>
            <w:r>
              <w:rPr>
                <w:sz w:val="17"/>
              </w:rPr>
              <w:t>Churners lower (median 703.5 vs 1,679.5 USD)</w:t>
            </w:r>
          </w:p>
        </w:tc>
      </w:tr>
    </w:tbl>
    <w:p>
      <w:pPr>
        <w:spacing w:after="40"/>
      </w:pPr>
    </w:p>
    <w:p>
      <w:pPr>
        <w:spacing w:after="120"/>
        <w:jc w:val="both"/>
      </w:pPr>
      <w:r>
        <w:t>Because none of the numeric variables is normally distributed, rank-based methods (Spearman correlation, Mann-Whitney U) were used in the analysis.</w:t>
      </w:r>
    </w:p>
    <w:p>
      <w:pPr>
        <w:pStyle w:val="Heading2"/>
      </w:pPr>
      <w:r>
        <w:t>3.3 Target variable analysis</w:t>
      </w:r>
    </w:p>
    <w:p>
      <w:pPr>
        <w:spacing w:after="120"/>
        <w:jc w:val="both"/>
      </w:pPr>
      <w:r>
        <w:t>The target variable, Churn, records whether a customer left within the last month. Figure 5 shows that 1,869 of 7,043 customers (26.5%) churned and 5,174 (73.5%) stayed. The classes are therefore imbalanced, about 2.8 customers who stay for every churner. A model that always predicts “no churn” would already be 73.5% accurate while catching no churners, which is why models are judged with recall, precision, F1 and ROC-AUC rather than accuracy alone, and why class weighting is used.</w:t>
      </w:r>
    </w:p>
    <w:p>
      <w:pPr>
        <w:keepNext/>
        <w:spacing w:after="40"/>
        <w:jc w:val="center"/>
      </w:pPr>
      <w:r>
        <w:drawing>
          <wp:inline xmlns:a="http://schemas.openxmlformats.org/drawingml/2006/main" xmlns:pic="http://schemas.openxmlformats.org/drawingml/2006/picture">
            <wp:extent cx="2520000" cy="1726636"/>
            <wp:docPr id="6" name="Picture 6"/>
            <wp:cNvGraphicFramePr>
              <a:graphicFrameLocks noChangeAspect="1"/>
            </wp:cNvGraphicFramePr>
            <a:graphic>
              <a:graphicData uri="http://schemas.openxmlformats.org/drawingml/2006/picture">
                <pic:pic>
                  <pic:nvPicPr>
                    <pic:cNvPr id="0" name="fig03_churn_distribution.png"/>
                    <pic:cNvPicPr/>
                  </pic:nvPicPr>
                  <pic:blipFill>
                    <a:blip r:embed="rId15"/>
                    <a:stretch>
                      <a:fillRect/>
                    </a:stretch>
                  </pic:blipFill>
                  <pic:spPr>
                    <a:xfrm>
                      <a:off x="0" y="0"/>
                      <a:ext cx="2520000" cy="1726636"/>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5</w:t>
      </w:r>
      <w:r>
        <w:fldChar w:fldCharType="end"/>
      </w:r>
      <w:r>
        <w:t>: Distribution of the target variable (churn)</w:t>
      </w:r>
    </w:p>
    <w:p>
      <w:pPr>
        <w:pStyle w:val="Heading2"/>
      </w:pPr>
      <w:r>
        <w:t>3.4 Categorical variable analysis</w:t>
      </w:r>
    </w:p>
    <w:p>
      <w:pPr>
        <w:spacing w:after="120"/>
        <w:jc w:val="both"/>
      </w:pPr>
      <w:r>
        <w:t>Figure 6 compares churn rates across the account and service variables. Month-to-month customers churn at 42.7%, compared with 11.2% on one-year and 2.8% on two-year contracts. Fiber-optic customers churn at 41.9%, more than twice the DSL rate (19.0%). Electronic-check payers churn at 45.3%, against 15.2%–19.1% for other methods, and churn falls from 47.5% in the first year to 9.5% after four years.</w:t>
      </w:r>
    </w:p>
    <w:p>
      <w:pPr>
        <w:keepNext/>
        <w:spacing w:after="40"/>
        <w:jc w:val="center"/>
      </w:pPr>
      <w:r>
        <w:drawing>
          <wp:inline xmlns:a="http://schemas.openxmlformats.org/drawingml/2006/main" xmlns:pic="http://schemas.openxmlformats.org/drawingml/2006/picture">
            <wp:extent cx="3780000" cy="2644673"/>
            <wp:docPr id="7" name="Picture 7"/>
            <wp:cNvGraphicFramePr>
              <a:graphicFrameLocks noChangeAspect="1"/>
            </wp:cNvGraphicFramePr>
            <a:graphic>
              <a:graphicData uri="http://schemas.openxmlformats.org/drawingml/2006/picture">
                <pic:pic>
                  <pic:nvPicPr>
                    <pic:cNvPr id="0" name="fig05_churn_rate_key_segments.png"/>
                    <pic:cNvPicPr/>
                  </pic:nvPicPr>
                  <pic:blipFill>
                    <a:blip r:embed="rId16"/>
                    <a:stretch>
                      <a:fillRect/>
                    </a:stretch>
                  </pic:blipFill>
                  <pic:spPr>
                    <a:xfrm>
                      <a:off x="0" y="0"/>
                      <a:ext cx="3780000" cy="2644673"/>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6</w:t>
      </w:r>
      <w:r>
        <w:fldChar w:fldCharType="end"/>
      </w:r>
      <w:r>
        <w:t>: Churn rate by contract, internet service, payment method and tenure group</w:t>
      </w:r>
    </w:p>
    <w:p>
      <w:pPr>
        <w:spacing w:after="120"/>
        <w:jc w:val="both"/>
      </w:pPr>
      <w:r>
        <w:t>Figure 7 covers the demographic and billing variables. Senior citizens churn at 41.7% vs 23.6%; customers without a partner (33.0%) or dependents (31.3%) churn more, as do customers with paperless billing (33.6%). Gender shows no meaningful difference (26.9% vs 26.2%), nor does phone service. Among internet customers, churn is 41.8% without online security vs 14.6% with it, and 41.6% vs 15.2% for tech support, whereas streaming add-ons make little difference. Because month-to-month customers also tend to be newer, contracts were compared within tenure groups: month-to-month churn falls from 51.4% to 25.8% with tenure but stays far above two-year contracts (at most 3.3%), so contract and tenure each carry information.</w:t>
      </w:r>
    </w:p>
    <w:p>
      <w:pPr>
        <w:keepNext/>
        <w:spacing w:after="40"/>
        <w:jc w:val="center"/>
      </w:pPr>
      <w:r>
        <w:drawing>
          <wp:inline xmlns:a="http://schemas.openxmlformats.org/drawingml/2006/main" xmlns:pic="http://schemas.openxmlformats.org/drawingml/2006/picture">
            <wp:extent cx="3420000" cy="2075797"/>
            <wp:docPr id="8" name="Picture 8"/>
            <wp:cNvGraphicFramePr>
              <a:graphicFrameLocks noChangeAspect="1"/>
            </wp:cNvGraphicFramePr>
            <a:graphic>
              <a:graphicData uri="http://schemas.openxmlformats.org/drawingml/2006/picture">
                <pic:pic>
                  <pic:nvPicPr>
                    <pic:cNvPr id="0" name="fig10_customer_attributes_churn.png"/>
                    <pic:cNvPicPr/>
                  </pic:nvPicPr>
                  <pic:blipFill>
                    <a:blip r:embed="rId17"/>
                    <a:stretch>
                      <a:fillRect/>
                    </a:stretch>
                  </pic:blipFill>
                  <pic:spPr>
                    <a:xfrm>
                      <a:off x="0" y="0"/>
                      <a:ext cx="3420000" cy="2075797"/>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7</w:t>
      </w:r>
      <w:r>
        <w:fldChar w:fldCharType="end"/>
      </w:r>
      <w:r>
        <w:t>: Churn rate by demographic and billing attributes</w:t>
      </w:r>
    </w:p>
    <w:p>
      <w:pPr>
        <w:pStyle w:val="Heading2"/>
      </w:pPr>
      <w:r>
        <w:t>3.5 Correlation analysis</w:t>
      </w:r>
    </w:p>
    <w:p>
      <w:pPr>
        <w:pStyle w:val="Heading3"/>
      </w:pPr>
      <w:r>
        <w:t>3.5.1 Correlation heatmap</w:t>
      </w:r>
    </w:p>
    <w:p>
      <w:pPr>
        <w:spacing w:after="60"/>
        <w:jc w:val="both"/>
      </w:pPr>
      <w:r>
        <w:t>To include the categorical variables, each was converted to 0/1 columns with the same one-hot encoding used by the models: one column for each Yes/No variable (1 = Yes, with "No internet service" and "No phone service" counted as No) and one column per level for InternetService, Contract and PaymentMethod. Label codes such as 0/1/2/3 were avoided because they would impose a false order on the categories. A correlation with a 0/1 column is a standard measure (the phi coefficient between two 0/1 columns, a point-biserial correlation with a numeric one). Figure 8 shows the resulting 28 × 28 Spearman correlation matrix; Spearman's coefficient ranges from −1 to +1, with values near 0 indicating no monotonic relationship, and was used instead of Pearson's because the numeric variables are skewed and bimodal.</w:t>
      </w:r>
    </w:p>
    <w:p>
      <w:pPr>
        <w:pStyle w:val="ListBullet"/>
        <w:spacing w:after="40"/>
        <w:jc w:val="both"/>
      </w:pPr>
      <w:r>
        <w:rPr>
          <w:b/>
          <w:sz w:val="22"/>
        </w:rPr>
        <w:t xml:space="preserve">Higher churn: </w:t>
      </w:r>
      <w:r>
        <w:rPr>
          <w:sz w:val="22"/>
        </w:rPr>
        <w:t>month-to-month contracts (ρ = +0.41), fiber optic internet (+0.31) and electronic-check payment (+0.30).</w:t>
      </w:r>
    </w:p>
    <w:p>
      <w:pPr>
        <w:pStyle w:val="ListBullet"/>
        <w:spacing w:after="40"/>
        <w:jc w:val="both"/>
      </w:pPr>
      <w:r>
        <w:rPr>
          <w:b/>
          <w:sz w:val="22"/>
        </w:rPr>
        <w:t xml:space="preserve">Lower churn: </w:t>
      </w:r>
      <w:r>
        <w:rPr>
          <w:sz w:val="22"/>
        </w:rPr>
        <w:t>tenure (−0.37), two-year contracts (−0.30), no internet service (−0.23), OnlineSecurity (−0.17) and TechSupport (−0.16). Gender (−0.01) and PhoneService (+0.01) are practically unrelated to churn.</w:t>
      </w:r>
    </w:p>
    <w:p>
      <w:pPr>
        <w:pStyle w:val="ListBullet"/>
        <w:spacing w:after="40"/>
        <w:jc w:val="both"/>
      </w:pPr>
      <w:r>
        <w:rPr>
          <w:b/>
          <w:sz w:val="22"/>
        </w:rPr>
        <w:t xml:space="preserve">Related predictors: </w:t>
      </w:r>
      <w:r>
        <w:rPr>
          <w:sz w:val="22"/>
        </w:rPr>
        <w:t>tenure and total charges (ρ = 0.89) and monthly charges and fiber optic internet (0.80) move together – the multicollinearity that led to removing the charge columns from the logistic regression (Section 2.4). Levels of the same variable are negatively correlated by construction (e.g. month-to-month vs two-year, −0.62).</w:t>
      </w:r>
    </w:p>
    <w:p>
      <w:pPr>
        <w:pStyle w:val="ListBullet"/>
        <w:spacing w:after="40"/>
        <w:jc w:val="both"/>
      </w:pPr>
      <w:r>
        <w:rPr>
          <w:b/>
          <w:sz w:val="22"/>
        </w:rPr>
        <w:t xml:space="preserve">The add-on count </w:t>
      </w:r>
      <w:r>
        <w:rPr>
          <w:sz w:val="22"/>
        </w:rPr>
        <w:t>barely correlates with churn overall (−0.06) because customers without internet have no add-ons yet rarely churn – an overall correlation can hide strong subgroup patterns.</w:t>
      </w:r>
    </w:p>
    <w:p>
      <w:pPr>
        <w:keepNext/>
        <w:spacing w:after="40"/>
        <w:jc w:val="center"/>
      </w:pPr>
      <w:r>
        <w:drawing>
          <wp:inline xmlns:a="http://schemas.openxmlformats.org/drawingml/2006/main" xmlns:pic="http://schemas.openxmlformats.org/drawingml/2006/picture">
            <wp:extent cx="5903999" cy="5143375"/>
            <wp:docPr id="9" name="Picture 9"/>
            <wp:cNvGraphicFramePr>
              <a:graphicFrameLocks noChangeAspect="1"/>
            </wp:cNvGraphicFramePr>
            <a:graphic>
              <a:graphicData uri="http://schemas.openxmlformats.org/drawingml/2006/picture">
                <pic:pic>
                  <pic:nvPicPr>
                    <pic:cNvPr id="0" name="fig07_correlation_heatmap.png"/>
                    <pic:cNvPicPr/>
                  </pic:nvPicPr>
                  <pic:blipFill>
                    <a:blip r:embed="rId18"/>
                    <a:stretch>
                      <a:fillRect/>
                    </a:stretch>
                  </pic:blipFill>
                  <pic:spPr>
                    <a:xfrm>
                      <a:off x="0" y="0"/>
                      <a:ext cx="5903999" cy="5143375"/>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8</w:t>
      </w:r>
      <w:r>
        <w:fldChar w:fldCharType="end"/>
      </w:r>
      <w:r>
        <w:t>: Spearman correlation heatmap of all variables (categories one-hot encoded)</w:t>
      </w:r>
    </w:p>
    <w:p>
      <w:pPr>
        <w:pStyle w:val="Heading3"/>
      </w:pPr>
      <w:r>
        <w:t>3.5.2 Relationship plots</w:t>
      </w:r>
    </w:p>
    <w:p>
      <w:pPr>
        <w:spacing w:after="120"/>
        <w:jc w:val="both"/>
      </w:pPr>
      <w:r>
        <w:t>Because churn is a yes/no variable, a plain scatter plot against it would show only two lines of dots. Figure 9 therefore plots the churn rate of groups of customers with the same tenure or a similar charge level, with a smoothed LOWESS trend line. Churn is 62% among customers in their first month and falls steadily with tenure. For monthly charges the relationship is not linear: churn rises from the cheapest plans (mostly no internet) to a peak of 41% around 70–75 USD (mostly fiber optic) and then eases, which is why its correlation is weak (ρ = +0.18) even though price matters. Total charges largely mirror tenure.</w:t>
      </w:r>
    </w:p>
    <w:p>
      <w:pPr>
        <w:keepNext/>
        <w:spacing w:after="40"/>
        <w:jc w:val="center"/>
      </w:pPr>
      <w:r>
        <w:drawing>
          <wp:inline xmlns:a="http://schemas.openxmlformats.org/drawingml/2006/main" xmlns:pic="http://schemas.openxmlformats.org/drawingml/2006/picture">
            <wp:extent cx="4680000" cy="1520771"/>
            <wp:docPr id="10" name="Picture 10"/>
            <wp:cNvGraphicFramePr>
              <a:graphicFrameLocks noChangeAspect="1"/>
            </wp:cNvGraphicFramePr>
            <a:graphic>
              <a:graphicData uri="http://schemas.openxmlformats.org/drawingml/2006/picture">
                <pic:pic>
                  <pic:nvPicPr>
                    <pic:cNvPr id="0" name="fig21_churn_rate_scatter_trend.png"/>
                    <pic:cNvPicPr/>
                  </pic:nvPicPr>
                  <pic:blipFill>
                    <a:blip r:embed="rId19"/>
                    <a:stretch>
                      <a:fillRect/>
                    </a:stretch>
                  </pic:blipFill>
                  <pic:spPr>
                    <a:xfrm>
                      <a:off x="0" y="0"/>
                      <a:ext cx="4680000" cy="1520771"/>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9</w:t>
      </w:r>
      <w:r>
        <w:fldChar w:fldCharType="end"/>
      </w:r>
      <w:r>
        <w:t>: Relationship plots: churn rate against tenure, monthly charges and total charges</w:t>
      </w:r>
    </w:p>
    <w:p>
      <w:pPr>
        <w:pStyle w:val="Heading2"/>
      </w:pPr>
      <w:r>
        <w:t>3.6 Statistical tests of association</w:t>
      </w:r>
    </w:p>
    <w:p>
      <w:pPr>
        <w:spacing w:after="120"/>
        <w:jc w:val="both"/>
      </w:pPr>
      <w:r>
        <w:t>The patterns above, including the correlations in Figure 8, were tested formally. Categorical variables were tested with chi-square tests of independence (all expected cell counts ≥ 5) and Cramér's V as effect size; numeric variables with the Mann-Whitney U test (Mann &amp; Whitney, 1947) and the rank-biserial correlation, because they are not normally distributed. A Bonferroni correction was applied to the 19 tests, and effect sizes (Cohen, 1988: 0.10 small, 0.30 medium, 0.50 large) were used to judge practical importance, since almost any difference is significant with about 7,000 customers.</w:t>
      </w:r>
    </w:p>
    <w:p>
      <w:pPr>
        <w:spacing w:after="120"/>
        <w:jc w:val="both"/>
      </w:pPr>
      <w:r>
        <w:t>13 of 16 categorical variables were significantly associated with churn; gender (p = 0.47), phone service and multiple lines were not, matching their near-zero correlations with churn in Figure 8. Figure 10 shows that contract type has the largest effect (V = 0.41, medium), followed by online security, tech support, internet service and payment method, while demographic variables have small effects (V ≈ 0.15). Among the numeric variables, tenure differs most between churners and non-churners (r = −0.48). Re-testing the add-ons among internet customers only showed that the streaming services' apparent association (V = 0.23) came from the shared “No internet service” level (V = 0.04). Overall, the hypotheses that contract, tenure, internet type, payment method and protective add-ons are associated with churn were supported; monthly charges showed only a small, non-linear association (r = 0.24), and gender showed none.</w:t>
      </w:r>
    </w:p>
    <w:p>
      <w:pPr>
        <w:keepNext/>
        <w:spacing w:after="40"/>
        <w:jc w:val="center"/>
      </w:pPr>
      <w:r>
        <w:drawing>
          <wp:inline xmlns:a="http://schemas.openxmlformats.org/drawingml/2006/main" xmlns:pic="http://schemas.openxmlformats.org/drawingml/2006/picture">
            <wp:extent cx="4320000" cy="1633113"/>
            <wp:docPr id="11" name="Picture 11"/>
            <wp:cNvGraphicFramePr>
              <a:graphicFrameLocks noChangeAspect="1"/>
            </wp:cNvGraphicFramePr>
            <a:graphic>
              <a:graphicData uri="http://schemas.openxmlformats.org/drawingml/2006/picture">
                <pic:pic>
                  <pic:nvPicPr>
                    <pic:cNvPr id="0" name="fig11_effect_sizes.png"/>
                    <pic:cNvPicPr/>
                  </pic:nvPicPr>
                  <pic:blipFill>
                    <a:blip r:embed="rId20"/>
                    <a:stretch>
                      <a:fillRect/>
                    </a:stretch>
                  </pic:blipFill>
                  <pic:spPr>
                    <a:xfrm>
                      <a:off x="0" y="0"/>
                      <a:ext cx="4320000" cy="1633113"/>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10</w:t>
      </w:r>
      <w:r>
        <w:fldChar w:fldCharType="end"/>
      </w:r>
      <w:r>
        <w:t>: Effect sizes of the associations with churn</w:t>
      </w:r>
    </w:p>
    <w:p>
      <w:pPr>
        <w:pStyle w:val="Heading1"/>
      </w:pPr>
      <w:r>
        <w:t>4. Model Fitting</w:t>
      </w:r>
    </w:p>
    <w:p>
      <w:pPr>
        <w:spacing w:after="120"/>
        <w:jc w:val="both"/>
      </w:pPr>
      <w:r>
        <w:t>Churn is a yes/no outcome, so this is a binary classification problem; linear regression, which can predict values outside 0–1, is not appropriate. Three classifiers were compared with a DummyClassifier that always predicts “no churn”: logistic regression, an interpretable model of the log-odds of churn (Hosmer et al., 2013); a decision tree of readable if/then rules (Breiman et al., 1984); and a random forest of 300 trees that captures non-linear patterns (Breiman, 2001).</w:t>
      </w:r>
    </w:p>
    <w:p>
      <w:pPr>
        <w:spacing w:after="120"/>
        <w:jc w:val="both"/>
      </w:pPr>
      <w:r>
        <w:t>Each model was tuned by grid search with stratified 5-fold cross-validation (CV) on the training set only, and all used class_weight = "balanced", which left ranking ability unchanged (CV ROC-AUC 0.845) but raised recall from 0.54 to 0.79. The selection rule was fixed in advance: highest mean CV ROC-AUC, preferring the more interpretable model if another was within 0.01. ROC-AUC measures how well a model ranks churners above non-churners; because only 26.5% of customers churn, accuracy alone would be misleading, so precision, recall, F1 and PR-AUC (Saito &amp; Rehmsmeier, 2015) are also reported. The test set (1,409 customers) was used once, at the end.</w:t>
      </w:r>
    </w:p>
    <w:p>
      <w:pPr>
        <w:pStyle w:val="Heading2"/>
      </w:pPr>
      <w:r>
        <w:t>4.1 Logistic regression model</w:t>
      </w:r>
    </w:p>
    <w:p>
      <w:pPr>
        <w:spacing w:after="120"/>
        <w:jc w:val="both"/>
      </w:pPr>
      <w:r>
        <w:t>Logistic regression was fitted without MonthlyCharges and TotalCharges (Section 2.4). The best regularisation strength was C = 1, giving a CV ROC-AUC of 0.845 and a test ROC-AUC of 0.839. To report standard errors and p-values, an unpenalised statsmodels Logit was fitted to the same training data (Table 6); its odds ratios agree with the final model (largest difference 0.07), 14 of 21 terms are significant at p &lt; 0.05, and McFadden's pseudo-R² is 0.285. Table 6 lists the 12 largest of the 21 terms (full table in the notebook).</w:t>
      </w:r>
    </w:p>
    <w:p>
      <w:pPr>
        <w:pStyle w:val="Caption"/>
        <w:keepNext/>
        <w:spacing w:after="60"/>
      </w:pPr>
      <w:r>
        <w:t xml:space="preserve">Table </w:t>
      </w:r>
      <w:r>
        <w:fldChar w:fldCharType="begin"/>
      </w:r>
      <w:r>
        <w:instrText xml:space="preserve"> SEQ Table \* ARABIC </w:instrText>
      </w:r>
      <w:r>
        <w:fldChar w:fldCharType="separate"/>
      </w:r>
      <w:r>
        <w:t>6</w:t>
      </w:r>
      <w:r>
        <w:fldChar w:fldCharType="end"/>
      </w:r>
      <w:r>
        <w:t>: Logistic regression coefficient summary (training data)</w:t>
      </w:r>
    </w:p>
    <w:tbl>
      <w:tblPr>
        <w:tblW w:type="dxa" w:w="9183"/>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firstColumn="1" w:firstRow="1" w:lastColumn="0" w:lastRow="0" w:noHBand="0" w:noVBand="1" w:val="04A0"/>
      </w:tblPr>
      <w:tblGrid>
        <w:gridCol w:w="3742"/>
        <w:gridCol w:w="1077"/>
        <w:gridCol w:w="1077"/>
        <w:gridCol w:w="963"/>
        <w:gridCol w:w="1190"/>
        <w:gridCol w:w="1134"/>
      </w:tblGrid>
      <w:tr>
        <w:tc>
          <w:tcPr>
            <w:tcW w:type="dxa" w:w="3742"/>
            <w:shd w:val="clear" w:color="auto" w:fill="DCE6F2"/>
          </w:tcPr>
          <w:p>
            <w:pPr>
              <w:spacing w:after="0" w:line="240" w:lineRule="auto"/>
              <w:jc w:val="left"/>
            </w:pPr>
            <w:r/>
            <w:r>
              <w:rPr>
                <w:b/>
                <w:sz w:val="16"/>
              </w:rPr>
              <w:t>Term</w:t>
            </w:r>
          </w:p>
        </w:tc>
        <w:tc>
          <w:tcPr>
            <w:tcW w:type="dxa" w:w="1077"/>
            <w:shd w:val="clear" w:color="auto" w:fill="DCE6F2"/>
          </w:tcPr>
          <w:p>
            <w:pPr>
              <w:spacing w:after="0" w:line="240" w:lineRule="auto"/>
              <w:jc w:val="right"/>
            </w:pPr>
            <w:r/>
            <w:r>
              <w:rPr>
                <w:b/>
                <w:sz w:val="16"/>
              </w:rPr>
              <w:t>Coef.</w:t>
            </w:r>
          </w:p>
        </w:tc>
        <w:tc>
          <w:tcPr>
            <w:tcW w:type="dxa" w:w="1077"/>
            <w:shd w:val="clear" w:color="auto" w:fill="DCE6F2"/>
          </w:tcPr>
          <w:p>
            <w:pPr>
              <w:spacing w:after="0" w:line="240" w:lineRule="auto"/>
              <w:jc w:val="right"/>
            </w:pPr>
            <w:r/>
            <w:r>
              <w:rPr>
                <w:b/>
                <w:sz w:val="16"/>
              </w:rPr>
              <w:t>Std. err.</w:t>
            </w:r>
          </w:p>
        </w:tc>
        <w:tc>
          <w:tcPr>
            <w:tcW w:type="dxa" w:w="963"/>
            <w:shd w:val="clear" w:color="auto" w:fill="DCE6F2"/>
          </w:tcPr>
          <w:p>
            <w:pPr>
              <w:spacing w:after="0" w:line="240" w:lineRule="auto"/>
              <w:jc w:val="right"/>
            </w:pPr>
            <w:r/>
            <w:r>
              <w:rPr>
                <w:b/>
                <w:sz w:val="16"/>
              </w:rPr>
              <w:t>z</w:t>
            </w:r>
          </w:p>
        </w:tc>
        <w:tc>
          <w:tcPr>
            <w:tcW w:type="dxa" w:w="1190"/>
            <w:shd w:val="clear" w:color="auto" w:fill="DCE6F2"/>
          </w:tcPr>
          <w:p>
            <w:pPr>
              <w:spacing w:after="0" w:line="240" w:lineRule="auto"/>
              <w:jc w:val="right"/>
            </w:pPr>
            <w:r/>
            <w:r>
              <w:rPr>
                <w:b/>
                <w:sz w:val="16"/>
              </w:rPr>
              <w:t>p-value</w:t>
            </w:r>
          </w:p>
        </w:tc>
        <w:tc>
          <w:tcPr>
            <w:tcW w:type="dxa" w:w="1134"/>
            <w:shd w:val="clear" w:color="auto" w:fill="DCE6F2"/>
          </w:tcPr>
          <w:p>
            <w:pPr>
              <w:spacing w:after="0" w:line="240" w:lineRule="auto"/>
              <w:jc w:val="right"/>
            </w:pPr>
            <w:r/>
            <w:r>
              <w:rPr>
                <w:b/>
                <w:sz w:val="16"/>
              </w:rPr>
              <w:t>Odds ratio</w:t>
            </w:r>
          </w:p>
        </w:tc>
      </w:tr>
      <w:tr>
        <w:tc>
          <w:tcPr>
            <w:tcW w:type="dxa" w:w="3742"/>
          </w:tcPr>
          <w:p>
            <w:pPr>
              <w:spacing w:after="0" w:line="240" w:lineRule="auto"/>
              <w:jc w:val="left"/>
            </w:pPr>
            <w:r/>
            <w:r>
              <w:rPr>
                <w:sz w:val="16"/>
              </w:rPr>
              <w:t>Intercept</w:t>
            </w:r>
          </w:p>
        </w:tc>
        <w:tc>
          <w:tcPr>
            <w:tcW w:type="dxa" w:w="1077"/>
          </w:tcPr>
          <w:p>
            <w:pPr>
              <w:spacing w:after="0" w:line="240" w:lineRule="auto"/>
              <w:jc w:val="right"/>
            </w:pPr>
            <w:r/>
            <w:r>
              <w:rPr>
                <w:sz w:val="16"/>
              </w:rPr>
              <w:t>-1.411</w:t>
            </w:r>
          </w:p>
        </w:tc>
        <w:tc>
          <w:tcPr>
            <w:tcW w:type="dxa" w:w="1077"/>
          </w:tcPr>
          <w:p>
            <w:pPr>
              <w:spacing w:after="0" w:line="240" w:lineRule="auto"/>
              <w:jc w:val="right"/>
            </w:pPr>
            <w:r/>
            <w:r>
              <w:rPr>
                <w:sz w:val="16"/>
              </w:rPr>
              <w:t>0.181</w:t>
            </w:r>
          </w:p>
        </w:tc>
        <w:tc>
          <w:tcPr>
            <w:tcW w:type="dxa" w:w="963"/>
          </w:tcPr>
          <w:p>
            <w:pPr>
              <w:spacing w:after="0" w:line="240" w:lineRule="auto"/>
              <w:jc w:val="right"/>
            </w:pPr>
            <w:r/>
            <w:r>
              <w:rPr>
                <w:sz w:val="16"/>
              </w:rPr>
              <w:t>-7.80</w:t>
            </w:r>
          </w:p>
        </w:tc>
        <w:tc>
          <w:tcPr>
            <w:tcW w:type="dxa" w:w="1190"/>
          </w:tcPr>
          <w:p>
            <w:pPr>
              <w:spacing w:after="0" w:line="240" w:lineRule="auto"/>
              <w:jc w:val="right"/>
            </w:pPr>
            <w:r/>
            <w:r>
              <w:rPr>
                <w:sz w:val="16"/>
              </w:rPr>
              <w:t>&lt; 0.001</w:t>
            </w:r>
          </w:p>
        </w:tc>
        <w:tc>
          <w:tcPr>
            <w:tcW w:type="dxa" w:w="1134"/>
          </w:tcPr>
          <w:p>
            <w:pPr>
              <w:spacing w:after="0" w:line="240" w:lineRule="auto"/>
              <w:jc w:val="right"/>
            </w:pPr>
            <w:r/>
            <w:r>
              <w:rPr>
                <w:sz w:val="16"/>
              </w:rPr>
              <w:t>0.24</w:t>
            </w:r>
          </w:p>
        </w:tc>
      </w:tr>
      <w:tr>
        <w:tc>
          <w:tcPr>
            <w:tcW w:type="dxa" w:w="3742"/>
          </w:tcPr>
          <w:p>
            <w:pPr>
              <w:spacing w:after="0" w:line="240" w:lineRule="auto"/>
              <w:jc w:val="left"/>
            </w:pPr>
            <w:r/>
            <w:r>
              <w:rPr>
                <w:sz w:val="16"/>
              </w:rPr>
              <w:t>Contract: Two year</w:t>
            </w:r>
          </w:p>
        </w:tc>
        <w:tc>
          <w:tcPr>
            <w:tcW w:type="dxa" w:w="1077"/>
          </w:tcPr>
          <w:p>
            <w:pPr>
              <w:spacing w:after="0" w:line="240" w:lineRule="auto"/>
              <w:jc w:val="right"/>
            </w:pPr>
            <w:r/>
            <w:r>
              <w:rPr>
                <w:sz w:val="16"/>
              </w:rPr>
              <w:t>-1.354</w:t>
            </w:r>
          </w:p>
        </w:tc>
        <w:tc>
          <w:tcPr>
            <w:tcW w:type="dxa" w:w="1077"/>
          </w:tcPr>
          <w:p>
            <w:pPr>
              <w:spacing w:after="0" w:line="240" w:lineRule="auto"/>
              <w:jc w:val="right"/>
            </w:pPr>
            <w:r/>
            <w:r>
              <w:rPr>
                <w:sz w:val="16"/>
              </w:rPr>
              <w:t>0.193</w:t>
            </w:r>
          </w:p>
        </w:tc>
        <w:tc>
          <w:tcPr>
            <w:tcW w:type="dxa" w:w="963"/>
          </w:tcPr>
          <w:p>
            <w:pPr>
              <w:spacing w:after="0" w:line="240" w:lineRule="auto"/>
              <w:jc w:val="right"/>
            </w:pPr>
            <w:r/>
            <w:r>
              <w:rPr>
                <w:sz w:val="16"/>
              </w:rPr>
              <w:t>-7.01</w:t>
            </w:r>
          </w:p>
        </w:tc>
        <w:tc>
          <w:tcPr>
            <w:tcW w:type="dxa" w:w="1190"/>
          </w:tcPr>
          <w:p>
            <w:pPr>
              <w:spacing w:after="0" w:line="240" w:lineRule="auto"/>
              <w:jc w:val="right"/>
            </w:pPr>
            <w:r/>
            <w:r>
              <w:rPr>
                <w:sz w:val="16"/>
              </w:rPr>
              <w:t>&lt; 0.001</w:t>
            </w:r>
          </w:p>
        </w:tc>
        <w:tc>
          <w:tcPr>
            <w:tcW w:type="dxa" w:w="1134"/>
          </w:tcPr>
          <w:p>
            <w:pPr>
              <w:spacing w:after="0" w:line="240" w:lineRule="auto"/>
              <w:jc w:val="right"/>
            </w:pPr>
            <w:r/>
            <w:r>
              <w:rPr>
                <w:sz w:val="16"/>
              </w:rPr>
              <w:t>0.26</w:t>
            </w:r>
          </w:p>
        </w:tc>
      </w:tr>
      <w:tr>
        <w:tc>
          <w:tcPr>
            <w:tcW w:type="dxa" w:w="3742"/>
          </w:tcPr>
          <w:p>
            <w:pPr>
              <w:spacing w:after="0" w:line="240" w:lineRule="auto"/>
              <w:jc w:val="left"/>
            </w:pPr>
            <w:r/>
            <w:r>
              <w:rPr>
                <w:sz w:val="16"/>
              </w:rPr>
              <w:t>InternetService: Fiber optic</w:t>
            </w:r>
          </w:p>
        </w:tc>
        <w:tc>
          <w:tcPr>
            <w:tcW w:type="dxa" w:w="1077"/>
          </w:tcPr>
          <w:p>
            <w:pPr>
              <w:spacing w:after="0" w:line="240" w:lineRule="auto"/>
              <w:jc w:val="right"/>
            </w:pPr>
            <w:r/>
            <w:r>
              <w:rPr>
                <w:sz w:val="16"/>
              </w:rPr>
              <w:t>0.918</w:t>
            </w:r>
          </w:p>
        </w:tc>
        <w:tc>
          <w:tcPr>
            <w:tcW w:type="dxa" w:w="1077"/>
          </w:tcPr>
          <w:p>
            <w:pPr>
              <w:spacing w:after="0" w:line="240" w:lineRule="auto"/>
              <w:jc w:val="right"/>
            </w:pPr>
            <w:r/>
            <w:r>
              <w:rPr>
                <w:sz w:val="16"/>
              </w:rPr>
              <w:t>0.103</w:t>
            </w:r>
          </w:p>
        </w:tc>
        <w:tc>
          <w:tcPr>
            <w:tcW w:type="dxa" w:w="963"/>
          </w:tcPr>
          <w:p>
            <w:pPr>
              <w:spacing w:after="0" w:line="240" w:lineRule="auto"/>
              <w:jc w:val="right"/>
            </w:pPr>
            <w:r/>
            <w:r>
              <w:rPr>
                <w:sz w:val="16"/>
              </w:rPr>
              <w:t>8.91</w:t>
            </w:r>
          </w:p>
        </w:tc>
        <w:tc>
          <w:tcPr>
            <w:tcW w:type="dxa" w:w="1190"/>
          </w:tcPr>
          <w:p>
            <w:pPr>
              <w:spacing w:after="0" w:line="240" w:lineRule="auto"/>
              <w:jc w:val="right"/>
            </w:pPr>
            <w:r/>
            <w:r>
              <w:rPr>
                <w:sz w:val="16"/>
              </w:rPr>
              <w:t>&lt; 0.001</w:t>
            </w:r>
          </w:p>
        </w:tc>
        <w:tc>
          <w:tcPr>
            <w:tcW w:type="dxa" w:w="1134"/>
          </w:tcPr>
          <w:p>
            <w:pPr>
              <w:spacing w:after="0" w:line="240" w:lineRule="auto"/>
              <w:jc w:val="right"/>
            </w:pPr>
            <w:r/>
            <w:r>
              <w:rPr>
                <w:sz w:val="16"/>
              </w:rPr>
              <w:t>2.50</w:t>
            </w:r>
          </w:p>
        </w:tc>
      </w:tr>
      <w:tr>
        <w:tc>
          <w:tcPr>
            <w:tcW w:type="dxa" w:w="3742"/>
          </w:tcPr>
          <w:p>
            <w:pPr>
              <w:spacing w:after="0" w:line="240" w:lineRule="auto"/>
              <w:jc w:val="left"/>
            </w:pPr>
            <w:r/>
            <w:r>
              <w:rPr>
                <w:sz w:val="16"/>
              </w:rPr>
              <w:t>InternetService: No</w:t>
            </w:r>
          </w:p>
        </w:tc>
        <w:tc>
          <w:tcPr>
            <w:tcW w:type="dxa" w:w="1077"/>
          </w:tcPr>
          <w:p>
            <w:pPr>
              <w:spacing w:after="0" w:line="240" w:lineRule="auto"/>
              <w:jc w:val="right"/>
            </w:pPr>
            <w:r/>
            <w:r>
              <w:rPr>
                <w:sz w:val="16"/>
              </w:rPr>
              <w:t>-0.835</w:t>
            </w:r>
          </w:p>
        </w:tc>
        <w:tc>
          <w:tcPr>
            <w:tcW w:type="dxa" w:w="1077"/>
          </w:tcPr>
          <w:p>
            <w:pPr>
              <w:spacing w:after="0" w:line="240" w:lineRule="auto"/>
              <w:jc w:val="right"/>
            </w:pPr>
            <w:r/>
            <w:r>
              <w:rPr>
                <w:sz w:val="16"/>
              </w:rPr>
              <w:t>0.156</w:t>
            </w:r>
          </w:p>
        </w:tc>
        <w:tc>
          <w:tcPr>
            <w:tcW w:type="dxa" w:w="963"/>
          </w:tcPr>
          <w:p>
            <w:pPr>
              <w:spacing w:after="0" w:line="240" w:lineRule="auto"/>
              <w:jc w:val="right"/>
            </w:pPr>
            <w:r/>
            <w:r>
              <w:rPr>
                <w:sz w:val="16"/>
              </w:rPr>
              <w:t>-5.37</w:t>
            </w:r>
          </w:p>
        </w:tc>
        <w:tc>
          <w:tcPr>
            <w:tcW w:type="dxa" w:w="1190"/>
          </w:tcPr>
          <w:p>
            <w:pPr>
              <w:spacing w:after="0" w:line="240" w:lineRule="auto"/>
              <w:jc w:val="right"/>
            </w:pPr>
            <w:r/>
            <w:r>
              <w:rPr>
                <w:sz w:val="16"/>
              </w:rPr>
              <w:t>&lt; 0.001</w:t>
            </w:r>
          </w:p>
        </w:tc>
        <w:tc>
          <w:tcPr>
            <w:tcW w:type="dxa" w:w="1134"/>
          </w:tcPr>
          <w:p>
            <w:pPr>
              <w:spacing w:after="0" w:line="240" w:lineRule="auto"/>
              <w:jc w:val="right"/>
            </w:pPr>
            <w:r/>
            <w:r>
              <w:rPr>
                <w:sz w:val="16"/>
              </w:rPr>
              <w:t>0.43</w:t>
            </w:r>
          </w:p>
        </w:tc>
      </w:tr>
      <w:tr>
        <w:tc>
          <w:tcPr>
            <w:tcW w:type="dxa" w:w="3742"/>
          </w:tcPr>
          <w:p>
            <w:pPr>
              <w:spacing w:after="0" w:line="240" w:lineRule="auto"/>
              <w:jc w:val="left"/>
            </w:pPr>
            <w:r/>
            <w:r>
              <w:rPr>
                <w:sz w:val="16"/>
              </w:rPr>
              <w:t>tenure (standardised)</w:t>
            </w:r>
          </w:p>
        </w:tc>
        <w:tc>
          <w:tcPr>
            <w:tcW w:type="dxa" w:w="1077"/>
          </w:tcPr>
          <w:p>
            <w:pPr>
              <w:spacing w:after="0" w:line="240" w:lineRule="auto"/>
              <w:jc w:val="right"/>
            </w:pPr>
            <w:r/>
            <w:r>
              <w:rPr>
                <w:sz w:val="16"/>
              </w:rPr>
              <w:t>-0.804</w:t>
            </w:r>
          </w:p>
        </w:tc>
        <w:tc>
          <w:tcPr>
            <w:tcW w:type="dxa" w:w="1077"/>
          </w:tcPr>
          <w:p>
            <w:pPr>
              <w:spacing w:after="0" w:line="240" w:lineRule="auto"/>
              <w:jc w:val="right"/>
            </w:pPr>
            <w:r/>
            <w:r>
              <w:rPr>
                <w:sz w:val="16"/>
              </w:rPr>
              <w:t>0.065</w:t>
            </w:r>
          </w:p>
        </w:tc>
        <w:tc>
          <w:tcPr>
            <w:tcW w:type="dxa" w:w="963"/>
          </w:tcPr>
          <w:p>
            <w:pPr>
              <w:spacing w:after="0" w:line="240" w:lineRule="auto"/>
              <w:jc w:val="right"/>
            </w:pPr>
            <w:r/>
            <w:r>
              <w:rPr>
                <w:sz w:val="16"/>
              </w:rPr>
              <w:t>-12.42</w:t>
            </w:r>
          </w:p>
        </w:tc>
        <w:tc>
          <w:tcPr>
            <w:tcW w:type="dxa" w:w="1190"/>
          </w:tcPr>
          <w:p>
            <w:pPr>
              <w:spacing w:after="0" w:line="240" w:lineRule="auto"/>
              <w:jc w:val="right"/>
            </w:pPr>
            <w:r/>
            <w:r>
              <w:rPr>
                <w:sz w:val="16"/>
              </w:rPr>
              <w:t>&lt; 0.001</w:t>
            </w:r>
          </w:p>
        </w:tc>
        <w:tc>
          <w:tcPr>
            <w:tcW w:type="dxa" w:w="1134"/>
          </w:tcPr>
          <w:p>
            <w:pPr>
              <w:spacing w:after="0" w:line="240" w:lineRule="auto"/>
              <w:jc w:val="right"/>
            </w:pPr>
            <w:r/>
            <w:r>
              <w:rPr>
                <w:sz w:val="16"/>
              </w:rPr>
              <w:t>0.45</w:t>
            </w:r>
          </w:p>
        </w:tc>
      </w:tr>
      <w:tr>
        <w:tc>
          <w:tcPr>
            <w:tcW w:type="dxa" w:w="3742"/>
          </w:tcPr>
          <w:p>
            <w:pPr>
              <w:spacing w:after="0" w:line="240" w:lineRule="auto"/>
              <w:jc w:val="left"/>
            </w:pPr>
            <w:r/>
            <w:r>
              <w:rPr>
                <w:sz w:val="16"/>
              </w:rPr>
              <w:t>Contract: One year</w:t>
            </w:r>
          </w:p>
        </w:tc>
        <w:tc>
          <w:tcPr>
            <w:tcW w:type="dxa" w:w="1077"/>
          </w:tcPr>
          <w:p>
            <w:pPr>
              <w:spacing w:after="0" w:line="240" w:lineRule="auto"/>
              <w:jc w:val="right"/>
            </w:pPr>
            <w:r/>
            <w:r>
              <w:rPr>
                <w:sz w:val="16"/>
              </w:rPr>
              <w:t>-0.711</w:t>
            </w:r>
          </w:p>
        </w:tc>
        <w:tc>
          <w:tcPr>
            <w:tcW w:type="dxa" w:w="1077"/>
          </w:tcPr>
          <w:p>
            <w:pPr>
              <w:spacing w:after="0" w:line="240" w:lineRule="auto"/>
              <w:jc w:val="right"/>
            </w:pPr>
            <w:r/>
            <w:r>
              <w:rPr>
                <w:sz w:val="16"/>
              </w:rPr>
              <w:t>0.121</w:t>
            </w:r>
          </w:p>
        </w:tc>
        <w:tc>
          <w:tcPr>
            <w:tcW w:type="dxa" w:w="963"/>
          </w:tcPr>
          <w:p>
            <w:pPr>
              <w:spacing w:after="0" w:line="240" w:lineRule="auto"/>
              <w:jc w:val="right"/>
            </w:pPr>
            <w:r/>
            <w:r>
              <w:rPr>
                <w:sz w:val="16"/>
              </w:rPr>
              <w:t>-5.88</w:t>
            </w:r>
          </w:p>
        </w:tc>
        <w:tc>
          <w:tcPr>
            <w:tcW w:type="dxa" w:w="1190"/>
          </w:tcPr>
          <w:p>
            <w:pPr>
              <w:spacing w:after="0" w:line="240" w:lineRule="auto"/>
              <w:jc w:val="right"/>
            </w:pPr>
            <w:r/>
            <w:r>
              <w:rPr>
                <w:sz w:val="16"/>
              </w:rPr>
              <w:t>&lt; 0.001</w:t>
            </w:r>
          </w:p>
        </w:tc>
        <w:tc>
          <w:tcPr>
            <w:tcW w:type="dxa" w:w="1134"/>
          </w:tcPr>
          <w:p>
            <w:pPr>
              <w:spacing w:after="0" w:line="240" w:lineRule="auto"/>
              <w:jc w:val="right"/>
            </w:pPr>
            <w:r/>
            <w:r>
              <w:rPr>
                <w:sz w:val="16"/>
              </w:rPr>
              <w:t>0.49</w:t>
            </w:r>
          </w:p>
        </w:tc>
      </w:tr>
      <w:tr>
        <w:tc>
          <w:tcPr>
            <w:tcW w:type="dxa" w:w="3742"/>
          </w:tcPr>
          <w:p>
            <w:pPr>
              <w:spacing w:after="0" w:line="240" w:lineRule="auto"/>
              <w:jc w:val="left"/>
            </w:pPr>
            <w:r/>
            <w:r>
              <w:rPr>
                <w:sz w:val="16"/>
              </w:rPr>
              <w:t>PhoneService: Yes</w:t>
            </w:r>
          </w:p>
        </w:tc>
        <w:tc>
          <w:tcPr>
            <w:tcW w:type="dxa" w:w="1077"/>
          </w:tcPr>
          <w:p>
            <w:pPr>
              <w:spacing w:after="0" w:line="240" w:lineRule="auto"/>
              <w:jc w:val="right"/>
            </w:pPr>
            <w:r/>
            <w:r>
              <w:rPr>
                <w:sz w:val="16"/>
              </w:rPr>
              <w:t>-0.467</w:t>
            </w:r>
          </w:p>
        </w:tc>
        <w:tc>
          <w:tcPr>
            <w:tcW w:type="dxa" w:w="1077"/>
          </w:tcPr>
          <w:p>
            <w:pPr>
              <w:spacing w:after="0" w:line="240" w:lineRule="auto"/>
              <w:jc w:val="right"/>
            </w:pPr>
            <w:r/>
            <w:r>
              <w:rPr>
                <w:sz w:val="16"/>
              </w:rPr>
              <w:t>0.142</w:t>
            </w:r>
          </w:p>
        </w:tc>
        <w:tc>
          <w:tcPr>
            <w:tcW w:type="dxa" w:w="963"/>
          </w:tcPr>
          <w:p>
            <w:pPr>
              <w:spacing w:after="0" w:line="240" w:lineRule="auto"/>
              <w:jc w:val="right"/>
            </w:pPr>
            <w:r/>
            <w:r>
              <w:rPr>
                <w:sz w:val="16"/>
              </w:rPr>
              <w:t>-3.29</w:t>
            </w:r>
          </w:p>
        </w:tc>
        <w:tc>
          <w:tcPr>
            <w:tcW w:type="dxa" w:w="1190"/>
          </w:tcPr>
          <w:p>
            <w:pPr>
              <w:spacing w:after="0" w:line="240" w:lineRule="auto"/>
              <w:jc w:val="right"/>
            </w:pPr>
            <w:r/>
            <w:r>
              <w:rPr>
                <w:sz w:val="16"/>
              </w:rPr>
              <w:t>&lt; 0.001</w:t>
            </w:r>
          </w:p>
        </w:tc>
        <w:tc>
          <w:tcPr>
            <w:tcW w:type="dxa" w:w="1134"/>
          </w:tcPr>
          <w:p>
            <w:pPr>
              <w:spacing w:after="0" w:line="240" w:lineRule="auto"/>
              <w:jc w:val="right"/>
            </w:pPr>
            <w:r/>
            <w:r>
              <w:rPr>
                <w:sz w:val="16"/>
              </w:rPr>
              <w:t>0.63</w:t>
            </w:r>
          </w:p>
        </w:tc>
      </w:tr>
      <w:tr>
        <w:tc>
          <w:tcPr>
            <w:tcW w:type="dxa" w:w="3742"/>
          </w:tcPr>
          <w:p>
            <w:pPr>
              <w:spacing w:after="0" w:line="240" w:lineRule="auto"/>
              <w:jc w:val="left"/>
            </w:pPr>
            <w:r/>
            <w:r>
              <w:rPr>
                <w:sz w:val="16"/>
              </w:rPr>
              <w:t>OnlineSecurity: Yes</w:t>
            </w:r>
          </w:p>
        </w:tc>
        <w:tc>
          <w:tcPr>
            <w:tcW w:type="dxa" w:w="1077"/>
          </w:tcPr>
          <w:p>
            <w:pPr>
              <w:spacing w:after="0" w:line="240" w:lineRule="auto"/>
              <w:jc w:val="right"/>
            </w:pPr>
            <w:r/>
            <w:r>
              <w:rPr>
                <w:sz w:val="16"/>
              </w:rPr>
              <w:t>-0.395</w:t>
            </w:r>
          </w:p>
        </w:tc>
        <w:tc>
          <w:tcPr>
            <w:tcW w:type="dxa" w:w="1077"/>
          </w:tcPr>
          <w:p>
            <w:pPr>
              <w:spacing w:after="0" w:line="240" w:lineRule="auto"/>
              <w:jc w:val="right"/>
            </w:pPr>
            <w:r/>
            <w:r>
              <w:rPr>
                <w:sz w:val="16"/>
              </w:rPr>
              <w:t>0.095</w:t>
            </w:r>
          </w:p>
        </w:tc>
        <w:tc>
          <w:tcPr>
            <w:tcW w:type="dxa" w:w="963"/>
          </w:tcPr>
          <w:p>
            <w:pPr>
              <w:spacing w:after="0" w:line="240" w:lineRule="auto"/>
              <w:jc w:val="right"/>
            </w:pPr>
            <w:r/>
            <w:r>
              <w:rPr>
                <w:sz w:val="16"/>
              </w:rPr>
              <w:t>-4.17</w:t>
            </w:r>
          </w:p>
        </w:tc>
        <w:tc>
          <w:tcPr>
            <w:tcW w:type="dxa" w:w="1190"/>
          </w:tcPr>
          <w:p>
            <w:pPr>
              <w:spacing w:after="0" w:line="240" w:lineRule="auto"/>
              <w:jc w:val="right"/>
            </w:pPr>
            <w:r/>
            <w:r>
              <w:rPr>
                <w:sz w:val="16"/>
              </w:rPr>
              <w:t>&lt; 0.001</w:t>
            </w:r>
          </w:p>
        </w:tc>
        <w:tc>
          <w:tcPr>
            <w:tcW w:type="dxa" w:w="1134"/>
          </w:tcPr>
          <w:p>
            <w:pPr>
              <w:spacing w:after="0" w:line="240" w:lineRule="auto"/>
              <w:jc w:val="right"/>
            </w:pPr>
            <w:r/>
            <w:r>
              <w:rPr>
                <w:sz w:val="16"/>
              </w:rPr>
              <w:t>0.67</w:t>
            </w:r>
          </w:p>
        </w:tc>
      </w:tr>
      <w:tr>
        <w:tc>
          <w:tcPr>
            <w:tcW w:type="dxa" w:w="3742"/>
          </w:tcPr>
          <w:p>
            <w:pPr>
              <w:spacing w:after="0" w:line="240" w:lineRule="auto"/>
              <w:jc w:val="left"/>
            </w:pPr>
            <w:r/>
            <w:r>
              <w:rPr>
                <w:sz w:val="16"/>
              </w:rPr>
              <w:t>PaymentMethod: Electronic check</w:t>
            </w:r>
          </w:p>
        </w:tc>
        <w:tc>
          <w:tcPr>
            <w:tcW w:type="dxa" w:w="1077"/>
          </w:tcPr>
          <w:p>
            <w:pPr>
              <w:spacing w:after="0" w:line="240" w:lineRule="auto"/>
              <w:jc w:val="right"/>
            </w:pPr>
            <w:r/>
            <w:r>
              <w:rPr>
                <w:sz w:val="16"/>
              </w:rPr>
              <w:t>0.387</w:t>
            </w:r>
          </w:p>
        </w:tc>
        <w:tc>
          <w:tcPr>
            <w:tcW w:type="dxa" w:w="1077"/>
          </w:tcPr>
          <w:p>
            <w:pPr>
              <w:spacing w:after="0" w:line="240" w:lineRule="auto"/>
              <w:jc w:val="right"/>
            </w:pPr>
            <w:r/>
            <w:r>
              <w:rPr>
                <w:sz w:val="16"/>
              </w:rPr>
              <w:t>0.106</w:t>
            </w:r>
          </w:p>
        </w:tc>
        <w:tc>
          <w:tcPr>
            <w:tcW w:type="dxa" w:w="963"/>
          </w:tcPr>
          <w:p>
            <w:pPr>
              <w:spacing w:after="0" w:line="240" w:lineRule="auto"/>
              <w:jc w:val="right"/>
            </w:pPr>
            <w:r/>
            <w:r>
              <w:rPr>
                <w:sz w:val="16"/>
              </w:rPr>
              <w:t>3.64</w:t>
            </w:r>
          </w:p>
        </w:tc>
        <w:tc>
          <w:tcPr>
            <w:tcW w:type="dxa" w:w="1190"/>
          </w:tcPr>
          <w:p>
            <w:pPr>
              <w:spacing w:after="0" w:line="240" w:lineRule="auto"/>
              <w:jc w:val="right"/>
            </w:pPr>
            <w:r/>
            <w:r>
              <w:rPr>
                <w:sz w:val="16"/>
              </w:rPr>
              <w:t>&lt; 0.001</w:t>
            </w:r>
          </w:p>
        </w:tc>
        <w:tc>
          <w:tcPr>
            <w:tcW w:type="dxa" w:w="1134"/>
          </w:tcPr>
          <w:p>
            <w:pPr>
              <w:spacing w:after="0" w:line="240" w:lineRule="auto"/>
              <w:jc w:val="right"/>
            </w:pPr>
            <w:r/>
            <w:r>
              <w:rPr>
                <w:sz w:val="16"/>
              </w:rPr>
              <w:t>1.47</w:t>
            </w:r>
          </w:p>
        </w:tc>
      </w:tr>
      <w:tr>
        <w:tc>
          <w:tcPr>
            <w:tcW w:type="dxa" w:w="3742"/>
          </w:tcPr>
          <w:p>
            <w:pPr>
              <w:spacing w:after="0" w:line="240" w:lineRule="auto"/>
              <w:jc w:val="left"/>
            </w:pPr>
            <w:r/>
            <w:r>
              <w:rPr>
                <w:sz w:val="16"/>
              </w:rPr>
              <w:t>PaperlessBilling: Yes</w:t>
            </w:r>
          </w:p>
        </w:tc>
        <w:tc>
          <w:tcPr>
            <w:tcW w:type="dxa" w:w="1077"/>
          </w:tcPr>
          <w:p>
            <w:pPr>
              <w:spacing w:after="0" w:line="240" w:lineRule="auto"/>
              <w:jc w:val="right"/>
            </w:pPr>
            <w:r/>
            <w:r>
              <w:rPr>
                <w:sz w:val="16"/>
              </w:rPr>
              <w:t>0.369</w:t>
            </w:r>
          </w:p>
        </w:tc>
        <w:tc>
          <w:tcPr>
            <w:tcW w:type="dxa" w:w="1077"/>
          </w:tcPr>
          <w:p>
            <w:pPr>
              <w:spacing w:after="0" w:line="240" w:lineRule="auto"/>
              <w:jc w:val="right"/>
            </w:pPr>
            <w:r/>
            <w:r>
              <w:rPr>
                <w:sz w:val="16"/>
              </w:rPr>
              <w:t>0.083</w:t>
            </w:r>
          </w:p>
        </w:tc>
        <w:tc>
          <w:tcPr>
            <w:tcW w:type="dxa" w:w="963"/>
          </w:tcPr>
          <w:p>
            <w:pPr>
              <w:spacing w:after="0" w:line="240" w:lineRule="auto"/>
              <w:jc w:val="right"/>
            </w:pPr>
            <w:r/>
            <w:r>
              <w:rPr>
                <w:sz w:val="16"/>
              </w:rPr>
              <w:t>4.44</w:t>
            </w:r>
          </w:p>
        </w:tc>
        <w:tc>
          <w:tcPr>
            <w:tcW w:type="dxa" w:w="1190"/>
          </w:tcPr>
          <w:p>
            <w:pPr>
              <w:spacing w:after="0" w:line="240" w:lineRule="auto"/>
              <w:jc w:val="right"/>
            </w:pPr>
            <w:r/>
            <w:r>
              <w:rPr>
                <w:sz w:val="16"/>
              </w:rPr>
              <w:t>&lt; 0.001</w:t>
            </w:r>
          </w:p>
        </w:tc>
        <w:tc>
          <w:tcPr>
            <w:tcW w:type="dxa" w:w="1134"/>
          </w:tcPr>
          <w:p>
            <w:pPr>
              <w:spacing w:after="0" w:line="240" w:lineRule="auto"/>
              <w:jc w:val="right"/>
            </w:pPr>
            <w:r/>
            <w:r>
              <w:rPr>
                <w:sz w:val="16"/>
              </w:rPr>
              <w:t>1.45</w:t>
            </w:r>
          </w:p>
        </w:tc>
      </w:tr>
      <w:tr>
        <w:tc>
          <w:tcPr>
            <w:tcW w:type="dxa" w:w="3742"/>
          </w:tcPr>
          <w:p>
            <w:pPr>
              <w:spacing w:after="0" w:line="240" w:lineRule="auto"/>
              <w:jc w:val="left"/>
            </w:pPr>
            <w:r/>
            <w:r>
              <w:rPr>
                <w:sz w:val="16"/>
              </w:rPr>
              <w:t>TechSupport: Yes</w:t>
            </w:r>
          </w:p>
        </w:tc>
        <w:tc>
          <w:tcPr>
            <w:tcW w:type="dxa" w:w="1077"/>
          </w:tcPr>
          <w:p>
            <w:pPr>
              <w:spacing w:after="0" w:line="240" w:lineRule="auto"/>
              <w:jc w:val="right"/>
            </w:pPr>
            <w:r/>
            <w:r>
              <w:rPr>
                <w:sz w:val="16"/>
              </w:rPr>
              <w:t>-0.341</w:t>
            </w:r>
          </w:p>
        </w:tc>
        <w:tc>
          <w:tcPr>
            <w:tcW w:type="dxa" w:w="1077"/>
          </w:tcPr>
          <w:p>
            <w:pPr>
              <w:spacing w:after="0" w:line="240" w:lineRule="auto"/>
              <w:jc w:val="right"/>
            </w:pPr>
            <w:r/>
            <w:r>
              <w:rPr>
                <w:sz w:val="16"/>
              </w:rPr>
              <w:t>0.096</w:t>
            </w:r>
          </w:p>
        </w:tc>
        <w:tc>
          <w:tcPr>
            <w:tcW w:type="dxa" w:w="963"/>
          </w:tcPr>
          <w:p>
            <w:pPr>
              <w:spacing w:after="0" w:line="240" w:lineRule="auto"/>
              <w:jc w:val="right"/>
            </w:pPr>
            <w:r/>
            <w:r>
              <w:rPr>
                <w:sz w:val="16"/>
              </w:rPr>
              <w:t>-3.57</w:t>
            </w:r>
          </w:p>
        </w:tc>
        <w:tc>
          <w:tcPr>
            <w:tcW w:type="dxa" w:w="1190"/>
          </w:tcPr>
          <w:p>
            <w:pPr>
              <w:spacing w:after="0" w:line="240" w:lineRule="auto"/>
              <w:jc w:val="right"/>
            </w:pPr>
            <w:r/>
            <w:r>
              <w:rPr>
                <w:sz w:val="16"/>
              </w:rPr>
              <w:t>&lt; 0.001</w:t>
            </w:r>
          </w:p>
        </w:tc>
        <w:tc>
          <w:tcPr>
            <w:tcW w:type="dxa" w:w="1134"/>
          </w:tcPr>
          <w:p>
            <w:pPr>
              <w:spacing w:after="0" w:line="240" w:lineRule="auto"/>
              <w:jc w:val="right"/>
            </w:pPr>
            <w:r/>
            <w:r>
              <w:rPr>
                <w:sz w:val="16"/>
              </w:rPr>
              <w:t>0.71</w:t>
            </w:r>
          </w:p>
        </w:tc>
      </w:tr>
      <w:tr>
        <w:tc>
          <w:tcPr>
            <w:tcW w:type="dxa" w:w="3742"/>
          </w:tcPr>
          <w:p>
            <w:pPr>
              <w:spacing w:after="0" w:line="240" w:lineRule="auto"/>
              <w:jc w:val="left"/>
            </w:pPr>
            <w:r/>
            <w:r>
              <w:rPr>
                <w:sz w:val="16"/>
              </w:rPr>
              <w:t>MultipleLines: Yes</w:t>
            </w:r>
          </w:p>
        </w:tc>
        <w:tc>
          <w:tcPr>
            <w:tcW w:type="dxa" w:w="1077"/>
          </w:tcPr>
          <w:p>
            <w:pPr>
              <w:spacing w:after="0" w:line="240" w:lineRule="auto"/>
              <w:jc w:val="right"/>
            </w:pPr>
            <w:r/>
            <w:r>
              <w:rPr>
                <w:sz w:val="16"/>
              </w:rPr>
              <w:t>0.324</w:t>
            </w:r>
          </w:p>
        </w:tc>
        <w:tc>
          <w:tcPr>
            <w:tcW w:type="dxa" w:w="1077"/>
          </w:tcPr>
          <w:p>
            <w:pPr>
              <w:spacing w:after="0" w:line="240" w:lineRule="auto"/>
              <w:jc w:val="right"/>
            </w:pPr>
            <w:r/>
            <w:r>
              <w:rPr>
                <w:sz w:val="16"/>
              </w:rPr>
              <w:t>0.088</w:t>
            </w:r>
          </w:p>
        </w:tc>
        <w:tc>
          <w:tcPr>
            <w:tcW w:type="dxa" w:w="963"/>
          </w:tcPr>
          <w:p>
            <w:pPr>
              <w:spacing w:after="0" w:line="240" w:lineRule="auto"/>
              <w:jc w:val="right"/>
            </w:pPr>
            <w:r/>
            <w:r>
              <w:rPr>
                <w:sz w:val="16"/>
              </w:rPr>
              <w:t>3.67</w:t>
            </w:r>
          </w:p>
        </w:tc>
        <w:tc>
          <w:tcPr>
            <w:tcW w:type="dxa" w:w="1190"/>
          </w:tcPr>
          <w:p>
            <w:pPr>
              <w:spacing w:after="0" w:line="240" w:lineRule="auto"/>
              <w:jc w:val="right"/>
            </w:pPr>
            <w:r/>
            <w:r>
              <w:rPr>
                <w:sz w:val="16"/>
              </w:rPr>
              <w:t>&lt; 0.001</w:t>
            </w:r>
          </w:p>
        </w:tc>
        <w:tc>
          <w:tcPr>
            <w:tcW w:type="dxa" w:w="1134"/>
          </w:tcPr>
          <w:p>
            <w:pPr>
              <w:spacing w:after="0" w:line="240" w:lineRule="auto"/>
              <w:jc w:val="right"/>
            </w:pPr>
            <w:r/>
            <w:r>
              <w:rPr>
                <w:sz w:val="16"/>
              </w:rPr>
              <w:t>1.38</w:t>
            </w:r>
          </w:p>
        </w:tc>
      </w:tr>
      <w:tr>
        <w:tc>
          <w:tcPr>
            <w:tcW w:type="dxa" w:w="3742"/>
          </w:tcPr>
          <w:p>
            <w:pPr>
              <w:spacing w:after="0" w:line="240" w:lineRule="auto"/>
              <w:jc w:val="left"/>
            </w:pPr>
            <w:r/>
            <w:r>
              <w:rPr>
                <w:sz w:val="16"/>
              </w:rPr>
              <w:t>StreamingMovies: Yes</w:t>
            </w:r>
          </w:p>
        </w:tc>
        <w:tc>
          <w:tcPr>
            <w:tcW w:type="dxa" w:w="1077"/>
          </w:tcPr>
          <w:p>
            <w:pPr>
              <w:spacing w:after="0" w:line="240" w:lineRule="auto"/>
              <w:jc w:val="right"/>
            </w:pPr>
            <w:r/>
            <w:r>
              <w:rPr>
                <w:sz w:val="16"/>
              </w:rPr>
              <w:t>0.282</w:t>
            </w:r>
          </w:p>
        </w:tc>
        <w:tc>
          <w:tcPr>
            <w:tcW w:type="dxa" w:w="1077"/>
          </w:tcPr>
          <w:p>
            <w:pPr>
              <w:spacing w:after="0" w:line="240" w:lineRule="auto"/>
              <w:jc w:val="right"/>
            </w:pPr>
            <w:r/>
            <w:r>
              <w:rPr>
                <w:sz w:val="16"/>
              </w:rPr>
              <w:t>0.089</w:t>
            </w:r>
          </w:p>
        </w:tc>
        <w:tc>
          <w:tcPr>
            <w:tcW w:type="dxa" w:w="963"/>
          </w:tcPr>
          <w:p>
            <w:pPr>
              <w:spacing w:after="0" w:line="240" w:lineRule="auto"/>
              <w:jc w:val="right"/>
            </w:pPr>
            <w:r/>
            <w:r>
              <w:rPr>
                <w:sz w:val="16"/>
              </w:rPr>
              <w:t>3.16</w:t>
            </w:r>
          </w:p>
        </w:tc>
        <w:tc>
          <w:tcPr>
            <w:tcW w:type="dxa" w:w="1190"/>
          </w:tcPr>
          <w:p>
            <w:pPr>
              <w:spacing w:after="0" w:line="240" w:lineRule="auto"/>
              <w:jc w:val="right"/>
            </w:pPr>
            <w:r/>
            <w:r>
              <w:rPr>
                <w:sz w:val="16"/>
              </w:rPr>
              <w:t>0.002</w:t>
            </w:r>
          </w:p>
        </w:tc>
        <w:tc>
          <w:tcPr>
            <w:tcW w:type="dxa" w:w="1134"/>
          </w:tcPr>
          <w:p>
            <w:pPr>
              <w:spacing w:after="0" w:line="240" w:lineRule="auto"/>
              <w:jc w:val="right"/>
            </w:pPr>
            <w:r/>
            <w:r>
              <w:rPr>
                <w:sz w:val="16"/>
              </w:rPr>
              <w:t>1.33</w:t>
            </w:r>
          </w:p>
        </w:tc>
      </w:tr>
    </w:tbl>
    <w:p>
      <w:pPr>
        <w:spacing w:after="40"/>
      </w:pPr>
    </w:p>
    <w:p>
      <w:pPr>
        <w:spacing w:after="120"/>
        <w:jc w:val="both"/>
      </w:pPr>
      <w:r>
        <w:t>Figure 11 shows the odds ratios (OR) with bootstrap confidence intervals. For otherwise identical customers, a two-year contract has about a quarter of the churn odds of a month-to-month contract (OR = 0.25); each additional 25 months of tenure roughly halves the odds (OR = 0.47); fiber-optic service has 2.5 times the odds of DSL; and electronic-check payment 1.50 times the odds of automatic bank transfer. Online security (OR = 0.68) and tech support (OR = 0.72) are associated with lower odds, whereas gender (OR = 1.04) and senior status show no clear effect once other factors are included.</w:t>
      </w:r>
    </w:p>
    <w:p>
      <w:pPr>
        <w:keepNext/>
        <w:spacing w:after="40"/>
        <w:jc w:val="center"/>
      </w:pPr>
      <w:r>
        <w:drawing>
          <wp:inline xmlns:a="http://schemas.openxmlformats.org/drawingml/2006/main" xmlns:pic="http://schemas.openxmlformats.org/drawingml/2006/picture">
            <wp:extent cx="3060000" cy="1640153"/>
            <wp:docPr id="12" name="Picture 12"/>
            <wp:cNvGraphicFramePr>
              <a:graphicFrameLocks noChangeAspect="1"/>
            </wp:cNvGraphicFramePr>
            <a:graphic>
              <a:graphicData uri="http://schemas.openxmlformats.org/drawingml/2006/picture">
                <pic:pic>
                  <pic:nvPicPr>
                    <pic:cNvPr id="0" name="fig16_odds_ratios.png"/>
                    <pic:cNvPicPr/>
                  </pic:nvPicPr>
                  <pic:blipFill>
                    <a:blip r:embed="rId21"/>
                    <a:stretch>
                      <a:fillRect/>
                    </a:stretch>
                  </pic:blipFill>
                  <pic:spPr>
                    <a:xfrm>
                      <a:off x="0" y="0"/>
                      <a:ext cx="3060000" cy="1640153"/>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11</w:t>
      </w:r>
      <w:r>
        <w:fldChar w:fldCharType="end"/>
      </w:r>
      <w:r>
        <w:t>: Logistic regression odds ratios with 95% bootstrap confidence intervals</w:t>
      </w:r>
    </w:p>
    <w:p>
      <w:pPr>
        <w:pStyle w:val="Heading3"/>
      </w:pPr>
      <w:r>
        <w:t>4.1.1 Logistic regression model equation</w:t>
      </w:r>
    </w:p>
    <w:p>
      <w:pPr>
        <w:spacing w:after="40"/>
        <w:jc w:val="both"/>
      </w:pPr>
      <w:r>
        <w:t>The fitted model, with its eight largest terms, is:</w:t>
      </w:r>
    </w:p>
    <w:p>
      <w:pPr>
        <w:spacing w:after="40"/>
      </w:pPr>
      <w:r>
        <w:rPr>
          <w:sz w:val="19"/>
        </w:rPr>
        <w:t>log-odds(churn) = −0.40 − 1.39·[two-year contract] + 0.90·[fiber optic] − 0.84·[no internet] − 0.76·[z_tenure] − 0.73·[one-year contract] − 0.41·[phone service] + 0.40·[electronic check] − 0.39·[online security] + …</w:t>
      </w:r>
    </w:p>
    <w:p>
      <w:pPr>
        <w:spacing w:after="120"/>
        <w:jc w:val="both"/>
      </w:pPr>
      <w:r>
        <w:t>where z_tenure = (tenure − 32.5) / 24.6, each bracket is 1 for customers in that category and 0 otherwise, and the predicted probability is p(churn) = 1 / (1 + e^(−log-odds)); the remaining 13 smaller terms are listed in the notebook. A negative coefficient lowers the predicted churn risk and a positive one raises it. Because balanced class weights shift the intercept, the model is used to rank customers by risk rather than as a calibrated probability.</w:t>
      </w:r>
    </w:p>
    <w:p>
      <w:pPr>
        <w:pStyle w:val="Heading2"/>
      </w:pPr>
      <w:r>
        <w:t>4.2 Decision tree model</w:t>
      </w:r>
    </w:p>
    <w:p>
      <w:pPr>
        <w:spacing w:after="120"/>
        <w:jc w:val="both"/>
      </w:pPr>
      <w:r>
        <w:t>The tuned decision tree has a maximum depth of 5 and at least 50 customers per final group, which limits overfitting (training-to-validation AUC gap 0.021). It reached a CV ROC-AUC of 0.831 and a test ROC-AUC of 0.836. To show how its decisions work, a simplified depth-3 tree (test ROC-AUC 0.815) was also fitted; Table 7 lists its rules. The tree splits first on contract type, then on internet service or monthly charges, then on tenure – the same drivers identified in the EDA.</w:t>
      </w:r>
    </w:p>
    <w:p>
      <w:pPr>
        <w:pStyle w:val="Caption"/>
        <w:keepNext/>
        <w:spacing w:after="60"/>
      </w:pPr>
      <w:r>
        <w:t xml:space="preserve">Table </w:t>
      </w:r>
      <w:r>
        <w:fldChar w:fldCharType="begin"/>
      </w:r>
      <w:r>
        <w:instrText xml:space="preserve"> SEQ Table \* ARABIC </w:instrText>
      </w:r>
      <w:r>
        <w:fldChar w:fldCharType="separate"/>
      </w:r>
      <w:r>
        <w:t>7</w:t>
      </w:r>
      <w:r>
        <w:fldChar w:fldCharType="end"/>
      </w:r>
      <w:r>
        <w:t>: Decision rules of the simplified decision tree (training data)</w:t>
      </w:r>
    </w:p>
    <w:tbl>
      <w:tblPr>
        <w:tblW w:type="dxa" w:w="9411"/>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firstColumn="1" w:firstRow="1" w:lastColumn="0" w:lastRow="0" w:noHBand="0" w:noVBand="1" w:val="04A0"/>
      </w:tblPr>
      <w:tblGrid>
        <w:gridCol w:w="7030"/>
        <w:gridCol w:w="1134"/>
        <w:gridCol w:w="1247"/>
      </w:tblGrid>
      <w:tr>
        <w:tc>
          <w:tcPr>
            <w:tcW w:type="dxa" w:w="7030"/>
            <w:shd w:val="clear" w:color="auto" w:fill="DCE6F2"/>
          </w:tcPr>
          <w:p>
            <w:pPr>
              <w:spacing w:after="0" w:line="240" w:lineRule="auto"/>
              <w:jc w:val="left"/>
            </w:pPr>
            <w:r/>
            <w:r>
              <w:rPr>
                <w:b/>
                <w:sz w:val="16"/>
              </w:rPr>
              <w:t>Rule (path through the tree)</w:t>
            </w:r>
          </w:p>
        </w:tc>
        <w:tc>
          <w:tcPr>
            <w:tcW w:type="dxa" w:w="1134"/>
            <w:shd w:val="clear" w:color="auto" w:fill="DCE6F2"/>
          </w:tcPr>
          <w:p>
            <w:pPr>
              <w:spacing w:after="0" w:line="240" w:lineRule="auto"/>
              <w:jc w:val="right"/>
            </w:pPr>
            <w:r/>
            <w:r>
              <w:rPr>
                <w:b/>
                <w:sz w:val="16"/>
              </w:rPr>
              <w:t>Customers</w:t>
            </w:r>
          </w:p>
        </w:tc>
        <w:tc>
          <w:tcPr>
            <w:tcW w:type="dxa" w:w="1247"/>
            <w:shd w:val="clear" w:color="auto" w:fill="DCE6F2"/>
          </w:tcPr>
          <w:p>
            <w:pPr>
              <w:spacing w:after="0" w:line="240" w:lineRule="auto"/>
              <w:jc w:val="right"/>
            </w:pPr>
            <w:r/>
            <w:r>
              <w:rPr>
                <w:b/>
                <w:sz w:val="16"/>
              </w:rPr>
              <w:t>Churn rate</w:t>
            </w:r>
          </w:p>
        </w:tc>
      </w:tr>
      <w:tr>
        <w:tc>
          <w:tcPr>
            <w:tcW w:type="dxa" w:w="7030"/>
          </w:tcPr>
          <w:p>
            <w:pPr>
              <w:spacing w:after="0" w:line="240" w:lineRule="auto"/>
              <w:jc w:val="left"/>
            </w:pPr>
            <w:r/>
            <w:r>
              <w:rPr>
                <w:sz w:val="16"/>
              </w:rPr>
              <w:t>Contract = Month-to-month and InternetService = Fiber optic and tenure ≤ 13.5</w:t>
            </w:r>
          </w:p>
        </w:tc>
        <w:tc>
          <w:tcPr>
            <w:tcW w:type="dxa" w:w="1134"/>
          </w:tcPr>
          <w:p>
            <w:pPr>
              <w:spacing w:after="0" w:line="240" w:lineRule="auto"/>
              <w:jc w:val="right"/>
            </w:pPr>
            <w:r/>
            <w:r>
              <w:rPr>
                <w:sz w:val="16"/>
              </w:rPr>
              <w:t>762</w:t>
            </w:r>
          </w:p>
        </w:tc>
        <w:tc>
          <w:tcPr>
            <w:tcW w:type="dxa" w:w="1247"/>
          </w:tcPr>
          <w:p>
            <w:pPr>
              <w:spacing w:after="0" w:line="240" w:lineRule="auto"/>
              <w:jc w:val="right"/>
            </w:pPr>
            <w:r/>
            <w:r>
              <w:rPr>
                <w:sz w:val="16"/>
              </w:rPr>
              <w:t>71%</w:t>
            </w:r>
          </w:p>
        </w:tc>
      </w:tr>
      <w:tr>
        <w:tc>
          <w:tcPr>
            <w:tcW w:type="dxa" w:w="7030"/>
          </w:tcPr>
          <w:p>
            <w:pPr>
              <w:spacing w:after="0" w:line="240" w:lineRule="auto"/>
              <w:jc w:val="left"/>
            </w:pPr>
            <w:r/>
            <w:r>
              <w:rPr>
                <w:sz w:val="16"/>
              </w:rPr>
              <w:t>Contract = Month-to-month and InternetService = Fiber optic and tenure &gt; 13.5</w:t>
            </w:r>
          </w:p>
        </w:tc>
        <w:tc>
          <w:tcPr>
            <w:tcW w:type="dxa" w:w="1134"/>
          </w:tcPr>
          <w:p>
            <w:pPr>
              <w:spacing w:after="0" w:line="240" w:lineRule="auto"/>
              <w:jc w:val="right"/>
            </w:pPr>
            <w:r/>
            <w:r>
              <w:rPr>
                <w:sz w:val="16"/>
              </w:rPr>
              <w:t>954</w:t>
            </w:r>
          </w:p>
        </w:tc>
        <w:tc>
          <w:tcPr>
            <w:tcW w:type="dxa" w:w="1247"/>
          </w:tcPr>
          <w:p>
            <w:pPr>
              <w:spacing w:after="0" w:line="240" w:lineRule="auto"/>
              <w:jc w:val="right"/>
            </w:pPr>
            <w:r/>
            <w:r>
              <w:rPr>
                <w:sz w:val="16"/>
              </w:rPr>
              <w:t>42%</w:t>
            </w:r>
          </w:p>
        </w:tc>
      </w:tr>
      <w:tr>
        <w:tc>
          <w:tcPr>
            <w:tcW w:type="dxa" w:w="7030"/>
          </w:tcPr>
          <w:p>
            <w:pPr>
              <w:spacing w:after="0" w:line="240" w:lineRule="auto"/>
              <w:jc w:val="left"/>
            </w:pPr>
            <w:r/>
            <w:r>
              <w:rPr>
                <w:sz w:val="16"/>
              </w:rPr>
              <w:t>Contract = Month-to-month and InternetService is not Fiber optic and tenure ≤ 5.5</w:t>
            </w:r>
          </w:p>
        </w:tc>
        <w:tc>
          <w:tcPr>
            <w:tcW w:type="dxa" w:w="1134"/>
          </w:tcPr>
          <w:p>
            <w:pPr>
              <w:spacing w:after="0" w:line="240" w:lineRule="auto"/>
              <w:jc w:val="right"/>
            </w:pPr>
            <w:r/>
            <w:r>
              <w:rPr>
                <w:sz w:val="16"/>
              </w:rPr>
              <w:t>595</w:t>
            </w:r>
          </w:p>
        </w:tc>
        <w:tc>
          <w:tcPr>
            <w:tcW w:type="dxa" w:w="1247"/>
          </w:tcPr>
          <w:p>
            <w:pPr>
              <w:spacing w:after="0" w:line="240" w:lineRule="auto"/>
              <w:jc w:val="right"/>
            </w:pPr>
            <w:r/>
            <w:r>
              <w:rPr>
                <w:sz w:val="16"/>
              </w:rPr>
              <w:t>40%</w:t>
            </w:r>
          </w:p>
        </w:tc>
      </w:tr>
      <w:tr>
        <w:tc>
          <w:tcPr>
            <w:tcW w:type="dxa" w:w="7030"/>
          </w:tcPr>
          <w:p>
            <w:pPr>
              <w:spacing w:after="0" w:line="240" w:lineRule="auto"/>
              <w:jc w:val="left"/>
            </w:pPr>
            <w:r/>
            <w:r>
              <w:rPr>
                <w:sz w:val="16"/>
              </w:rPr>
              <w:t>Contract is not Month-to-month and MonthlyCharges &gt; 93.7 and Contract is not Two year</w:t>
            </w:r>
          </w:p>
        </w:tc>
        <w:tc>
          <w:tcPr>
            <w:tcW w:type="dxa" w:w="1134"/>
          </w:tcPr>
          <w:p>
            <w:pPr>
              <w:spacing w:after="0" w:line="240" w:lineRule="auto"/>
              <w:jc w:val="right"/>
            </w:pPr>
            <w:r/>
            <w:r>
              <w:rPr>
                <w:sz w:val="16"/>
              </w:rPr>
              <w:t>320</w:t>
            </w:r>
          </w:p>
        </w:tc>
        <w:tc>
          <w:tcPr>
            <w:tcW w:type="dxa" w:w="1247"/>
          </w:tcPr>
          <w:p>
            <w:pPr>
              <w:spacing w:after="0" w:line="240" w:lineRule="auto"/>
              <w:jc w:val="right"/>
            </w:pPr>
            <w:r/>
            <w:r>
              <w:rPr>
                <w:sz w:val="16"/>
              </w:rPr>
              <w:t>21%</w:t>
            </w:r>
          </w:p>
        </w:tc>
      </w:tr>
      <w:tr>
        <w:tc>
          <w:tcPr>
            <w:tcW w:type="dxa" w:w="7030"/>
          </w:tcPr>
          <w:p>
            <w:pPr>
              <w:spacing w:after="0" w:line="240" w:lineRule="auto"/>
              <w:jc w:val="left"/>
            </w:pPr>
            <w:r/>
            <w:r>
              <w:rPr>
                <w:sz w:val="16"/>
              </w:rPr>
              <w:t>Contract = Month-to-month and InternetService is not Fiber optic and tenure &gt; 5.5</w:t>
            </w:r>
          </w:p>
        </w:tc>
        <w:tc>
          <w:tcPr>
            <w:tcW w:type="dxa" w:w="1134"/>
          </w:tcPr>
          <w:p>
            <w:pPr>
              <w:spacing w:after="0" w:line="240" w:lineRule="auto"/>
              <w:jc w:val="right"/>
            </w:pPr>
            <w:r/>
            <w:r>
              <w:rPr>
                <w:sz w:val="16"/>
              </w:rPr>
              <w:t>806</w:t>
            </w:r>
          </w:p>
        </w:tc>
        <w:tc>
          <w:tcPr>
            <w:tcW w:type="dxa" w:w="1247"/>
          </w:tcPr>
          <w:p>
            <w:pPr>
              <w:spacing w:after="0" w:line="240" w:lineRule="auto"/>
              <w:jc w:val="right"/>
            </w:pPr>
            <w:r/>
            <w:r>
              <w:rPr>
                <w:sz w:val="16"/>
              </w:rPr>
              <w:t>18%</w:t>
            </w:r>
          </w:p>
        </w:tc>
      </w:tr>
      <w:tr>
        <w:tc>
          <w:tcPr>
            <w:tcW w:type="dxa" w:w="7030"/>
          </w:tcPr>
          <w:p>
            <w:pPr>
              <w:spacing w:after="0" w:line="240" w:lineRule="auto"/>
              <w:jc w:val="left"/>
            </w:pPr>
            <w:r/>
            <w:r>
              <w:rPr>
                <w:sz w:val="16"/>
              </w:rPr>
              <w:t>Contract is not Month-to-month and MonthlyCharges &gt; 93.7 and Contract = Two year</w:t>
            </w:r>
          </w:p>
        </w:tc>
        <w:tc>
          <w:tcPr>
            <w:tcW w:type="dxa" w:w="1134"/>
          </w:tcPr>
          <w:p>
            <w:pPr>
              <w:spacing w:after="0" w:line="240" w:lineRule="auto"/>
              <w:jc w:val="right"/>
            </w:pPr>
            <w:r/>
            <w:r>
              <w:rPr>
                <w:sz w:val="16"/>
              </w:rPr>
              <w:t>301</w:t>
            </w:r>
          </w:p>
        </w:tc>
        <w:tc>
          <w:tcPr>
            <w:tcW w:type="dxa" w:w="1247"/>
          </w:tcPr>
          <w:p>
            <w:pPr>
              <w:spacing w:after="0" w:line="240" w:lineRule="auto"/>
              <w:jc w:val="right"/>
            </w:pPr>
            <w:r/>
            <w:r>
              <w:rPr>
                <w:sz w:val="16"/>
              </w:rPr>
              <w:t>8%</w:t>
            </w:r>
          </w:p>
        </w:tc>
      </w:tr>
      <w:tr>
        <w:tc>
          <w:tcPr>
            <w:tcW w:type="dxa" w:w="7030"/>
          </w:tcPr>
          <w:p>
            <w:pPr>
              <w:spacing w:after="0" w:line="240" w:lineRule="auto"/>
              <w:jc w:val="left"/>
            </w:pPr>
            <w:r/>
            <w:r>
              <w:rPr>
                <w:sz w:val="16"/>
              </w:rPr>
              <w:t>Contract is not Month-to-month and MonthlyCharges ≤ 93.7 and Contract is not Two year</w:t>
            </w:r>
          </w:p>
        </w:tc>
        <w:tc>
          <w:tcPr>
            <w:tcW w:type="dxa" w:w="1134"/>
          </w:tcPr>
          <w:p>
            <w:pPr>
              <w:spacing w:after="0" w:line="240" w:lineRule="auto"/>
              <w:jc w:val="right"/>
            </w:pPr>
            <w:r/>
            <w:r>
              <w:rPr>
                <w:sz w:val="16"/>
              </w:rPr>
              <w:t>842</w:t>
            </w:r>
          </w:p>
        </w:tc>
        <w:tc>
          <w:tcPr>
            <w:tcW w:type="dxa" w:w="1247"/>
          </w:tcPr>
          <w:p>
            <w:pPr>
              <w:spacing w:after="0" w:line="240" w:lineRule="auto"/>
              <w:jc w:val="right"/>
            </w:pPr>
            <w:r/>
            <w:r>
              <w:rPr>
                <w:sz w:val="16"/>
              </w:rPr>
              <w:t>7%</w:t>
            </w:r>
          </w:p>
        </w:tc>
      </w:tr>
      <w:tr>
        <w:tc>
          <w:tcPr>
            <w:tcW w:type="dxa" w:w="7030"/>
          </w:tcPr>
          <w:p>
            <w:pPr>
              <w:spacing w:after="0" w:line="240" w:lineRule="auto"/>
              <w:jc w:val="left"/>
            </w:pPr>
            <w:r/>
            <w:r>
              <w:rPr>
                <w:sz w:val="16"/>
              </w:rPr>
              <w:t>Contract is not Month-to-month and MonthlyCharges ≤ 93.7 and Contract = Two year</w:t>
            </w:r>
          </w:p>
        </w:tc>
        <w:tc>
          <w:tcPr>
            <w:tcW w:type="dxa" w:w="1134"/>
          </w:tcPr>
          <w:p>
            <w:pPr>
              <w:spacing w:after="0" w:line="240" w:lineRule="auto"/>
              <w:jc w:val="right"/>
            </w:pPr>
            <w:r/>
            <w:r>
              <w:rPr>
                <w:sz w:val="16"/>
              </w:rPr>
              <w:t>1,054</w:t>
            </w:r>
          </w:p>
        </w:tc>
        <w:tc>
          <w:tcPr>
            <w:tcW w:type="dxa" w:w="1247"/>
          </w:tcPr>
          <w:p>
            <w:pPr>
              <w:spacing w:after="0" w:line="240" w:lineRule="auto"/>
              <w:jc w:val="right"/>
            </w:pPr>
            <w:r/>
            <w:r>
              <w:rPr>
                <w:sz w:val="16"/>
              </w:rPr>
              <w:t>1%</w:t>
            </w:r>
          </w:p>
        </w:tc>
      </w:tr>
    </w:tbl>
    <w:p>
      <w:pPr>
        <w:spacing w:after="40"/>
      </w:pPr>
    </w:p>
    <w:p>
      <w:pPr>
        <w:pStyle w:val="Heading2"/>
      </w:pPr>
      <w:r>
        <w:t>4.3 Random forest model</w:t>
      </w:r>
    </w:p>
    <w:p>
      <w:pPr>
        <w:spacing w:after="120"/>
        <w:jc w:val="both"/>
      </w:pPr>
      <w:r>
        <w:t>The random forest combines 300 trees (maximum depth 8, at least 10 customers per leaf). Its ROC-AUC was 0.890 on the training folds, 0.849 in CV and 0.845 on the test set: moderate overfitting, but the test score matches the CV estimate, so the model generalises well.</w:t>
      </w:r>
    </w:p>
    <w:p>
      <w:pPr>
        <w:spacing w:after="120"/>
        <w:jc w:val="both"/>
      </w:pPr>
      <w:r>
        <w:t>Feature importance was measured by permutation importance: how much the test ROC-AUC drops when one variable is randomly shuffled (Figure 12). This was preferred to the forest's built-in impurity importance, which is biased towards continuous variables (Strobl et al., 2007). Contract is the forest's most important input (0.094), followed by internet service and tenure; for the logistic regression, tenure (0.080) leads. Both models rely mainly on the same three variables, and gender has no importance in either.</w:t>
      </w:r>
    </w:p>
    <w:p>
      <w:pPr>
        <w:keepNext/>
        <w:spacing w:after="40"/>
        <w:jc w:val="center"/>
      </w:pPr>
      <w:r>
        <w:drawing>
          <wp:inline xmlns:a="http://schemas.openxmlformats.org/drawingml/2006/main" xmlns:pic="http://schemas.openxmlformats.org/drawingml/2006/picture">
            <wp:extent cx="3600000" cy="1397765"/>
            <wp:docPr id="13" name="Picture 13"/>
            <wp:cNvGraphicFramePr>
              <a:graphicFrameLocks noChangeAspect="1"/>
            </wp:cNvGraphicFramePr>
            <a:graphic>
              <a:graphicData uri="http://schemas.openxmlformats.org/drawingml/2006/picture">
                <pic:pic>
                  <pic:nvPicPr>
                    <pic:cNvPr id="0" name="fig17_permutation_importance.png"/>
                    <pic:cNvPicPr/>
                  </pic:nvPicPr>
                  <pic:blipFill>
                    <a:blip r:embed="rId22"/>
                    <a:stretch>
                      <a:fillRect/>
                    </a:stretch>
                  </pic:blipFill>
                  <pic:spPr>
                    <a:xfrm>
                      <a:off x="0" y="0"/>
                      <a:ext cx="3600000" cy="1397765"/>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12</w:t>
      </w:r>
      <w:r>
        <w:fldChar w:fldCharType="end"/>
      </w:r>
      <w:r>
        <w:t>: Permutation importance of the input variables</w:t>
      </w:r>
    </w:p>
    <w:p>
      <w:pPr>
        <w:pStyle w:val="Heading2"/>
      </w:pPr>
      <w:r>
        <w:t>4.4 Model comparison</w:t>
      </w:r>
    </w:p>
    <w:p>
      <w:pPr>
        <w:pStyle w:val="Heading3"/>
      </w:pPr>
      <w:r>
        <w:t>4.4.1 Performance results</w:t>
      </w:r>
    </w:p>
    <w:p>
      <w:pPr>
        <w:spacing w:after="120"/>
        <w:jc w:val="both"/>
      </w:pPr>
      <w:r>
        <w:t>Table 8 and Figure 13 compare the models on the test set. All three clearly outperform the baseline, which is 73.5% accurate but catches no churners. The random forest scores highest on every metric (ROC-AUC 0.845), closely followed by the logistic regression (0.839) and the decision tree (0.836); all catch about 78%–79% of churners.</w:t>
      </w:r>
    </w:p>
    <w:p>
      <w:pPr>
        <w:pStyle w:val="Caption"/>
        <w:keepNext/>
        <w:spacing w:after="60"/>
      </w:pPr>
      <w:r>
        <w:t xml:space="preserve">Table </w:t>
      </w:r>
      <w:r>
        <w:fldChar w:fldCharType="begin"/>
      </w:r>
      <w:r>
        <w:instrText xml:space="preserve"> SEQ Table \* ARABIC </w:instrText>
      </w:r>
      <w:r>
        <w:fldChar w:fldCharType="separate"/>
      </w:r>
      <w:r>
        <w:t>8</w:t>
      </w:r>
      <w:r>
        <w:fldChar w:fldCharType="end"/>
      </w:r>
      <w:r>
        <w:t>: Cross-validated and test-set performance of the models</w:t>
      </w:r>
    </w:p>
    <w:tbl>
      <w:tblPr>
        <w:tblW w:type="dxa" w:w="9296"/>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firstColumn="1" w:firstRow="1" w:lastColumn="0" w:lastRow="0" w:noHBand="0" w:noVBand="1" w:val="04A0"/>
      </w:tblPr>
      <w:tblGrid>
        <w:gridCol w:w="2268"/>
        <w:gridCol w:w="1474"/>
        <w:gridCol w:w="907"/>
        <w:gridCol w:w="907"/>
        <w:gridCol w:w="963"/>
        <w:gridCol w:w="963"/>
        <w:gridCol w:w="907"/>
        <w:gridCol w:w="907"/>
      </w:tblGrid>
      <w:tr>
        <w:tc>
          <w:tcPr>
            <w:tcW w:type="dxa" w:w="2268"/>
            <w:shd w:val="clear" w:color="auto" w:fill="DCE6F2"/>
          </w:tcPr>
          <w:p>
            <w:pPr>
              <w:spacing w:after="0" w:line="240" w:lineRule="auto"/>
              <w:jc w:val="left"/>
            </w:pPr>
            <w:r/>
            <w:r>
              <w:rPr>
                <w:b/>
                <w:sz w:val="18"/>
              </w:rPr>
              <w:t>Model</w:t>
            </w:r>
          </w:p>
        </w:tc>
        <w:tc>
          <w:tcPr>
            <w:tcW w:type="dxa" w:w="1474"/>
            <w:shd w:val="clear" w:color="auto" w:fill="DCE6F2"/>
          </w:tcPr>
          <w:p>
            <w:pPr>
              <w:spacing w:after="0" w:line="240" w:lineRule="auto"/>
              <w:jc w:val="center"/>
            </w:pPr>
            <w:r/>
            <w:r>
              <w:rPr>
                <w:b/>
                <w:sz w:val="18"/>
              </w:rPr>
              <w:t>CV ROC-AUC</w:t>
            </w:r>
          </w:p>
        </w:tc>
        <w:tc>
          <w:tcPr>
            <w:tcW w:type="dxa" w:w="907"/>
            <w:shd w:val="clear" w:color="auto" w:fill="DCE6F2"/>
          </w:tcPr>
          <w:p>
            <w:pPr>
              <w:spacing w:after="0" w:line="240" w:lineRule="auto"/>
              <w:jc w:val="center"/>
            </w:pPr>
            <w:r/>
            <w:r>
              <w:rPr>
                <w:b/>
                <w:sz w:val="18"/>
              </w:rPr>
              <w:t>ROC-AUC</w:t>
            </w:r>
          </w:p>
        </w:tc>
        <w:tc>
          <w:tcPr>
            <w:tcW w:type="dxa" w:w="907"/>
            <w:shd w:val="clear" w:color="auto" w:fill="DCE6F2"/>
          </w:tcPr>
          <w:p>
            <w:pPr>
              <w:spacing w:after="0" w:line="240" w:lineRule="auto"/>
              <w:jc w:val="center"/>
            </w:pPr>
            <w:r/>
            <w:r>
              <w:rPr>
                <w:b/>
                <w:sz w:val="18"/>
              </w:rPr>
              <w:t>PR-AUC</w:t>
            </w:r>
          </w:p>
        </w:tc>
        <w:tc>
          <w:tcPr>
            <w:tcW w:type="dxa" w:w="963"/>
            <w:shd w:val="clear" w:color="auto" w:fill="DCE6F2"/>
          </w:tcPr>
          <w:p>
            <w:pPr>
              <w:spacing w:after="0" w:line="240" w:lineRule="auto"/>
              <w:jc w:val="center"/>
            </w:pPr>
            <w:r/>
            <w:r>
              <w:rPr>
                <w:b/>
                <w:sz w:val="18"/>
              </w:rPr>
              <w:t>Accuracy</w:t>
            </w:r>
          </w:p>
        </w:tc>
        <w:tc>
          <w:tcPr>
            <w:tcW w:type="dxa" w:w="963"/>
            <w:shd w:val="clear" w:color="auto" w:fill="DCE6F2"/>
          </w:tcPr>
          <w:p>
            <w:pPr>
              <w:spacing w:after="0" w:line="240" w:lineRule="auto"/>
              <w:jc w:val="center"/>
            </w:pPr>
            <w:r/>
            <w:r>
              <w:rPr>
                <w:b/>
                <w:sz w:val="18"/>
              </w:rPr>
              <w:t>Precision</w:t>
            </w:r>
          </w:p>
        </w:tc>
        <w:tc>
          <w:tcPr>
            <w:tcW w:type="dxa" w:w="907"/>
            <w:shd w:val="clear" w:color="auto" w:fill="DCE6F2"/>
          </w:tcPr>
          <w:p>
            <w:pPr>
              <w:spacing w:after="0" w:line="240" w:lineRule="auto"/>
              <w:jc w:val="center"/>
            </w:pPr>
            <w:r/>
            <w:r>
              <w:rPr>
                <w:b/>
                <w:sz w:val="18"/>
              </w:rPr>
              <w:t>Recall</w:t>
            </w:r>
          </w:p>
        </w:tc>
        <w:tc>
          <w:tcPr>
            <w:tcW w:type="dxa" w:w="907"/>
            <w:shd w:val="clear" w:color="auto" w:fill="DCE6F2"/>
          </w:tcPr>
          <w:p>
            <w:pPr>
              <w:spacing w:after="0" w:line="240" w:lineRule="auto"/>
              <w:jc w:val="center"/>
            </w:pPr>
            <w:r/>
            <w:r>
              <w:rPr>
                <w:b/>
                <w:sz w:val="18"/>
              </w:rPr>
              <w:t>F1</w:t>
            </w:r>
          </w:p>
        </w:tc>
      </w:tr>
      <w:tr>
        <w:tc>
          <w:tcPr>
            <w:tcW w:type="dxa" w:w="2268"/>
          </w:tcPr>
          <w:p>
            <w:pPr>
              <w:spacing w:after="0" w:line="240" w:lineRule="auto"/>
              <w:jc w:val="left"/>
            </w:pPr>
            <w:r/>
            <w:r>
              <w:rPr>
                <w:sz w:val="18"/>
              </w:rPr>
              <w:t>Dummy baseline</w:t>
            </w:r>
          </w:p>
        </w:tc>
        <w:tc>
          <w:tcPr>
            <w:tcW w:type="dxa" w:w="1474"/>
          </w:tcPr>
          <w:p>
            <w:pPr>
              <w:spacing w:after="0" w:line="240" w:lineRule="auto"/>
              <w:jc w:val="center"/>
            </w:pPr>
            <w:r/>
            <w:r>
              <w:rPr>
                <w:sz w:val="18"/>
              </w:rPr>
              <w:t>0.500 ± 0.000</w:t>
            </w:r>
          </w:p>
        </w:tc>
        <w:tc>
          <w:tcPr>
            <w:tcW w:type="dxa" w:w="907"/>
          </w:tcPr>
          <w:p>
            <w:pPr>
              <w:spacing w:after="0" w:line="240" w:lineRule="auto"/>
              <w:jc w:val="center"/>
            </w:pPr>
            <w:r/>
            <w:r>
              <w:rPr>
                <w:sz w:val="18"/>
              </w:rPr>
              <w:t>0.500</w:t>
            </w:r>
          </w:p>
        </w:tc>
        <w:tc>
          <w:tcPr>
            <w:tcW w:type="dxa" w:w="907"/>
          </w:tcPr>
          <w:p>
            <w:pPr>
              <w:spacing w:after="0" w:line="240" w:lineRule="auto"/>
              <w:jc w:val="center"/>
            </w:pPr>
            <w:r/>
            <w:r>
              <w:rPr>
                <w:sz w:val="18"/>
              </w:rPr>
              <w:t>0.265</w:t>
            </w:r>
          </w:p>
        </w:tc>
        <w:tc>
          <w:tcPr>
            <w:tcW w:type="dxa" w:w="963"/>
          </w:tcPr>
          <w:p>
            <w:pPr>
              <w:spacing w:after="0" w:line="240" w:lineRule="auto"/>
              <w:jc w:val="center"/>
            </w:pPr>
            <w:r/>
            <w:r>
              <w:rPr>
                <w:sz w:val="18"/>
              </w:rPr>
              <w:t>0.735</w:t>
            </w:r>
          </w:p>
        </w:tc>
        <w:tc>
          <w:tcPr>
            <w:tcW w:type="dxa" w:w="963"/>
          </w:tcPr>
          <w:p>
            <w:pPr>
              <w:spacing w:after="0" w:line="240" w:lineRule="auto"/>
              <w:jc w:val="center"/>
            </w:pPr>
            <w:r/>
            <w:r>
              <w:rPr>
                <w:sz w:val="18"/>
              </w:rPr>
              <w:t>0.000</w:t>
            </w:r>
          </w:p>
        </w:tc>
        <w:tc>
          <w:tcPr>
            <w:tcW w:type="dxa" w:w="907"/>
          </w:tcPr>
          <w:p>
            <w:pPr>
              <w:spacing w:after="0" w:line="240" w:lineRule="auto"/>
              <w:jc w:val="center"/>
            </w:pPr>
            <w:r/>
            <w:r>
              <w:rPr>
                <w:sz w:val="18"/>
              </w:rPr>
              <w:t>0.000</w:t>
            </w:r>
          </w:p>
        </w:tc>
        <w:tc>
          <w:tcPr>
            <w:tcW w:type="dxa" w:w="907"/>
          </w:tcPr>
          <w:p>
            <w:pPr>
              <w:spacing w:after="0" w:line="240" w:lineRule="auto"/>
              <w:jc w:val="center"/>
            </w:pPr>
            <w:r/>
            <w:r>
              <w:rPr>
                <w:sz w:val="18"/>
              </w:rPr>
              <w:t>0.000</w:t>
            </w:r>
          </w:p>
        </w:tc>
      </w:tr>
      <w:tr>
        <w:tc>
          <w:tcPr>
            <w:tcW w:type="dxa" w:w="2268"/>
          </w:tcPr>
          <w:p>
            <w:pPr>
              <w:spacing w:after="0" w:line="240" w:lineRule="auto"/>
              <w:jc w:val="left"/>
            </w:pPr>
            <w:r/>
            <w:r>
              <w:rPr>
                <w:sz w:val="18"/>
              </w:rPr>
              <w:t>Logistic Regression (selected)</w:t>
            </w:r>
          </w:p>
        </w:tc>
        <w:tc>
          <w:tcPr>
            <w:tcW w:type="dxa" w:w="1474"/>
          </w:tcPr>
          <w:p>
            <w:pPr>
              <w:spacing w:after="0" w:line="240" w:lineRule="auto"/>
              <w:jc w:val="center"/>
            </w:pPr>
            <w:r/>
            <w:r>
              <w:rPr>
                <w:sz w:val="18"/>
              </w:rPr>
              <w:t>0.845 ± 0.012</w:t>
            </w:r>
          </w:p>
        </w:tc>
        <w:tc>
          <w:tcPr>
            <w:tcW w:type="dxa" w:w="907"/>
          </w:tcPr>
          <w:p>
            <w:pPr>
              <w:spacing w:after="0" w:line="240" w:lineRule="auto"/>
              <w:jc w:val="center"/>
            </w:pPr>
            <w:r/>
            <w:r>
              <w:rPr>
                <w:sz w:val="18"/>
              </w:rPr>
              <w:t>0.839</w:t>
            </w:r>
          </w:p>
        </w:tc>
        <w:tc>
          <w:tcPr>
            <w:tcW w:type="dxa" w:w="907"/>
          </w:tcPr>
          <w:p>
            <w:pPr>
              <w:spacing w:after="0" w:line="240" w:lineRule="auto"/>
              <w:jc w:val="center"/>
            </w:pPr>
            <w:r/>
            <w:r>
              <w:rPr>
                <w:sz w:val="18"/>
              </w:rPr>
              <w:t>0.629</w:t>
            </w:r>
          </w:p>
        </w:tc>
        <w:tc>
          <w:tcPr>
            <w:tcW w:type="dxa" w:w="963"/>
          </w:tcPr>
          <w:p>
            <w:pPr>
              <w:spacing w:after="0" w:line="240" w:lineRule="auto"/>
              <w:jc w:val="center"/>
            </w:pPr>
            <w:r/>
            <w:r>
              <w:rPr>
                <w:sz w:val="18"/>
              </w:rPr>
              <w:t>0.742</w:t>
            </w:r>
          </w:p>
        </w:tc>
        <w:tc>
          <w:tcPr>
            <w:tcW w:type="dxa" w:w="963"/>
          </w:tcPr>
          <w:p>
            <w:pPr>
              <w:spacing w:after="0" w:line="240" w:lineRule="auto"/>
              <w:jc w:val="center"/>
            </w:pPr>
            <w:r/>
            <w:r>
              <w:rPr>
                <w:sz w:val="18"/>
              </w:rPr>
              <w:t>0.510</w:t>
            </w:r>
          </w:p>
        </w:tc>
        <w:tc>
          <w:tcPr>
            <w:tcW w:type="dxa" w:w="907"/>
          </w:tcPr>
          <w:p>
            <w:pPr>
              <w:spacing w:after="0" w:line="240" w:lineRule="auto"/>
              <w:jc w:val="center"/>
            </w:pPr>
            <w:r/>
            <w:r>
              <w:rPr>
                <w:sz w:val="18"/>
              </w:rPr>
              <w:t>0.778</w:t>
            </w:r>
          </w:p>
        </w:tc>
        <w:tc>
          <w:tcPr>
            <w:tcW w:type="dxa" w:w="907"/>
          </w:tcPr>
          <w:p>
            <w:pPr>
              <w:spacing w:after="0" w:line="240" w:lineRule="auto"/>
              <w:jc w:val="center"/>
            </w:pPr>
            <w:r/>
            <w:r>
              <w:rPr>
                <w:sz w:val="18"/>
              </w:rPr>
              <w:t>0.616</w:t>
            </w:r>
          </w:p>
        </w:tc>
      </w:tr>
      <w:tr>
        <w:tc>
          <w:tcPr>
            <w:tcW w:type="dxa" w:w="2268"/>
          </w:tcPr>
          <w:p>
            <w:pPr>
              <w:spacing w:after="0" w:line="240" w:lineRule="auto"/>
              <w:jc w:val="left"/>
            </w:pPr>
            <w:r/>
            <w:r>
              <w:rPr>
                <w:sz w:val="18"/>
              </w:rPr>
              <w:t>Decision Tree</w:t>
            </w:r>
          </w:p>
        </w:tc>
        <w:tc>
          <w:tcPr>
            <w:tcW w:type="dxa" w:w="1474"/>
          </w:tcPr>
          <w:p>
            <w:pPr>
              <w:spacing w:after="0" w:line="240" w:lineRule="auto"/>
              <w:jc w:val="center"/>
            </w:pPr>
            <w:r/>
            <w:r>
              <w:rPr>
                <w:sz w:val="18"/>
              </w:rPr>
              <w:t>0.831 ± 0.013</w:t>
            </w:r>
          </w:p>
        </w:tc>
        <w:tc>
          <w:tcPr>
            <w:tcW w:type="dxa" w:w="907"/>
          </w:tcPr>
          <w:p>
            <w:pPr>
              <w:spacing w:after="0" w:line="240" w:lineRule="auto"/>
              <w:jc w:val="center"/>
            </w:pPr>
            <w:r/>
            <w:r>
              <w:rPr>
                <w:sz w:val="18"/>
              </w:rPr>
              <w:t>0.836</w:t>
            </w:r>
          </w:p>
        </w:tc>
        <w:tc>
          <w:tcPr>
            <w:tcW w:type="dxa" w:w="907"/>
          </w:tcPr>
          <w:p>
            <w:pPr>
              <w:spacing w:after="0" w:line="240" w:lineRule="auto"/>
              <w:jc w:val="center"/>
            </w:pPr>
            <w:r/>
            <w:r>
              <w:rPr>
                <w:sz w:val="18"/>
              </w:rPr>
              <w:t>0.620</w:t>
            </w:r>
          </w:p>
        </w:tc>
        <w:tc>
          <w:tcPr>
            <w:tcW w:type="dxa" w:w="963"/>
          </w:tcPr>
          <w:p>
            <w:pPr>
              <w:spacing w:after="0" w:line="240" w:lineRule="auto"/>
              <w:jc w:val="center"/>
            </w:pPr>
            <w:r/>
            <w:r>
              <w:rPr>
                <w:sz w:val="18"/>
              </w:rPr>
              <w:t>0.755</w:t>
            </w:r>
          </w:p>
        </w:tc>
        <w:tc>
          <w:tcPr>
            <w:tcW w:type="dxa" w:w="963"/>
          </w:tcPr>
          <w:p>
            <w:pPr>
              <w:spacing w:after="0" w:line="240" w:lineRule="auto"/>
              <w:jc w:val="center"/>
            </w:pPr>
            <w:r/>
            <w:r>
              <w:rPr>
                <w:sz w:val="18"/>
              </w:rPr>
              <w:t>0.526</w:t>
            </w:r>
          </w:p>
        </w:tc>
        <w:tc>
          <w:tcPr>
            <w:tcW w:type="dxa" w:w="907"/>
          </w:tcPr>
          <w:p>
            <w:pPr>
              <w:spacing w:after="0" w:line="240" w:lineRule="auto"/>
              <w:jc w:val="center"/>
            </w:pPr>
            <w:r/>
            <w:r>
              <w:rPr>
                <w:sz w:val="18"/>
              </w:rPr>
              <w:t>0.794</w:t>
            </w:r>
          </w:p>
        </w:tc>
        <w:tc>
          <w:tcPr>
            <w:tcW w:type="dxa" w:w="907"/>
          </w:tcPr>
          <w:p>
            <w:pPr>
              <w:spacing w:after="0" w:line="240" w:lineRule="auto"/>
              <w:jc w:val="center"/>
            </w:pPr>
            <w:r/>
            <w:r>
              <w:rPr>
                <w:sz w:val="18"/>
              </w:rPr>
              <w:t>0.633</w:t>
            </w:r>
          </w:p>
        </w:tc>
      </w:tr>
      <w:tr>
        <w:tc>
          <w:tcPr>
            <w:tcW w:type="dxa" w:w="2268"/>
          </w:tcPr>
          <w:p>
            <w:pPr>
              <w:spacing w:after="0" w:line="240" w:lineRule="auto"/>
              <w:jc w:val="left"/>
            </w:pPr>
            <w:r/>
            <w:r>
              <w:rPr>
                <w:sz w:val="18"/>
              </w:rPr>
              <w:t>Random Forest</w:t>
            </w:r>
          </w:p>
        </w:tc>
        <w:tc>
          <w:tcPr>
            <w:tcW w:type="dxa" w:w="1474"/>
          </w:tcPr>
          <w:p>
            <w:pPr>
              <w:spacing w:after="0" w:line="240" w:lineRule="auto"/>
              <w:jc w:val="center"/>
            </w:pPr>
            <w:r/>
            <w:r>
              <w:rPr>
                <w:sz w:val="18"/>
              </w:rPr>
              <w:t>0.849 ± 0.011</w:t>
            </w:r>
          </w:p>
        </w:tc>
        <w:tc>
          <w:tcPr>
            <w:tcW w:type="dxa" w:w="907"/>
          </w:tcPr>
          <w:p>
            <w:pPr>
              <w:spacing w:after="0" w:line="240" w:lineRule="auto"/>
              <w:jc w:val="center"/>
            </w:pPr>
            <w:r/>
            <w:r>
              <w:rPr>
                <w:sz w:val="18"/>
              </w:rPr>
              <w:t>0.845</w:t>
            </w:r>
          </w:p>
        </w:tc>
        <w:tc>
          <w:tcPr>
            <w:tcW w:type="dxa" w:w="907"/>
          </w:tcPr>
          <w:p>
            <w:pPr>
              <w:spacing w:after="0" w:line="240" w:lineRule="auto"/>
              <w:jc w:val="center"/>
            </w:pPr>
            <w:r/>
            <w:r>
              <w:rPr>
                <w:sz w:val="18"/>
              </w:rPr>
              <w:t>0.657</w:t>
            </w:r>
          </w:p>
        </w:tc>
        <w:tc>
          <w:tcPr>
            <w:tcW w:type="dxa" w:w="963"/>
          </w:tcPr>
          <w:p>
            <w:pPr>
              <w:spacing w:after="0" w:line="240" w:lineRule="auto"/>
              <w:jc w:val="center"/>
            </w:pPr>
            <w:r/>
            <w:r>
              <w:rPr>
                <w:sz w:val="18"/>
              </w:rPr>
              <w:t>0.762</w:t>
            </w:r>
          </w:p>
        </w:tc>
        <w:tc>
          <w:tcPr>
            <w:tcW w:type="dxa" w:w="963"/>
          </w:tcPr>
          <w:p>
            <w:pPr>
              <w:spacing w:after="0" w:line="240" w:lineRule="auto"/>
              <w:jc w:val="center"/>
            </w:pPr>
            <w:r/>
            <w:r>
              <w:rPr>
                <w:sz w:val="18"/>
              </w:rPr>
              <w:t>0.534</w:t>
            </w:r>
          </w:p>
        </w:tc>
        <w:tc>
          <w:tcPr>
            <w:tcW w:type="dxa" w:w="907"/>
          </w:tcPr>
          <w:p>
            <w:pPr>
              <w:spacing w:after="0" w:line="240" w:lineRule="auto"/>
              <w:jc w:val="center"/>
            </w:pPr>
            <w:r/>
            <w:r>
              <w:rPr>
                <w:sz w:val="18"/>
              </w:rPr>
              <w:t>0.791</w:t>
            </w:r>
          </w:p>
        </w:tc>
        <w:tc>
          <w:tcPr>
            <w:tcW w:type="dxa" w:w="907"/>
          </w:tcPr>
          <w:p>
            <w:pPr>
              <w:spacing w:after="0" w:line="240" w:lineRule="auto"/>
              <w:jc w:val="center"/>
            </w:pPr>
            <w:r/>
            <w:r>
              <w:rPr>
                <w:sz w:val="18"/>
              </w:rPr>
              <w:t>0.638</w:t>
            </w:r>
          </w:p>
        </w:tc>
      </w:tr>
    </w:tbl>
    <w:p>
      <w:pPr>
        <w:spacing w:after="40"/>
      </w:pPr>
    </w:p>
    <w:p>
      <w:pPr>
        <w:keepNext/>
        <w:spacing w:after="40"/>
        <w:jc w:val="center"/>
      </w:pPr>
      <w:r>
        <w:drawing>
          <wp:inline xmlns:a="http://schemas.openxmlformats.org/drawingml/2006/main" xmlns:pic="http://schemas.openxmlformats.org/drawingml/2006/picture">
            <wp:extent cx="4320000" cy="2187642"/>
            <wp:docPr id="14" name="Picture 14"/>
            <wp:cNvGraphicFramePr>
              <a:graphicFrameLocks noChangeAspect="1"/>
            </wp:cNvGraphicFramePr>
            <a:graphic>
              <a:graphicData uri="http://schemas.openxmlformats.org/drawingml/2006/picture">
                <pic:pic>
                  <pic:nvPicPr>
                    <pic:cNvPr id="0" name="fig12_model_comparison.png"/>
                    <pic:cNvPicPr/>
                  </pic:nvPicPr>
                  <pic:blipFill>
                    <a:blip r:embed="rId23"/>
                    <a:stretch>
                      <a:fillRect/>
                    </a:stretch>
                  </pic:blipFill>
                  <pic:spPr>
                    <a:xfrm>
                      <a:off x="0" y="0"/>
                      <a:ext cx="4320000" cy="2187642"/>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13</w:t>
      </w:r>
      <w:r>
        <w:fldChar w:fldCharType="end"/>
      </w:r>
      <w:r>
        <w:t>: Model comparison on the test set</w:t>
      </w:r>
    </w:p>
    <w:p>
      <w:pPr>
        <w:pStyle w:val="Heading3"/>
      </w:pPr>
      <w:r>
        <w:t>4.4.2 Interpretation of results</w:t>
      </w:r>
    </w:p>
    <w:p>
      <w:pPr>
        <w:spacing w:after="120"/>
        <w:jc w:val="both"/>
      </w:pPr>
      <w:r>
        <w:t>Although the random forest scored slightly higher, the logistic regression was selected: its CV ROC-AUC (0.845) was within the 0.01 tolerance of the forest's (0.849), and the forest's test advantage is not statistically reliable – the paired bootstrap ROC-AUC difference is +0.006 (95% CI −0.001 to 0.014), which includes zero (Efron &amp; Tibshirani, 1993). The logistic regression (test ROC-AUC 0.839, 95% CI 0.815–0.859) also overfits least (gap 0.003 vs 0.041) and is easier to explain. The 0.50 threshold was kept, as the F1-optimal threshold (0.55) performed almost identically; in practice it should follow the retention budget.</w:t>
      </w:r>
    </w:p>
    <w:p>
      <w:pPr>
        <w:pStyle w:val="Heading3"/>
      </w:pPr>
      <w:r>
        <w:t>4.4.3 Actual vs predicted values</w:t>
      </w:r>
    </w:p>
    <w:p>
      <w:pPr>
        <w:spacing w:after="120"/>
        <w:jc w:val="both"/>
      </w:pPr>
      <w:r>
        <w:t>Figure 14 compares actual and predicted classes for every model. The logistic regression correctly identifies 291 of 374 churners; 83 are missed (false negatives – customers lost without a retention attempt) and 280 loyal customers are flagged (false positives – retention offers that were not needed). Ranking customers by predicted risk is also effective: the 20% with the highest scores contain 50% of all churners. Table 9 compares the two strongest models.</w:t>
      </w:r>
    </w:p>
    <w:p>
      <w:pPr>
        <w:pStyle w:val="Caption"/>
        <w:keepNext/>
        <w:spacing w:after="60"/>
      </w:pPr>
      <w:r>
        <w:t xml:space="preserve">Table </w:t>
      </w:r>
      <w:r>
        <w:fldChar w:fldCharType="begin"/>
      </w:r>
      <w:r>
        <w:instrText xml:space="preserve"> SEQ Table \* ARABIC </w:instrText>
      </w:r>
      <w:r>
        <w:fldChar w:fldCharType="separate"/>
      </w:r>
      <w:r>
        <w:t>9</w:t>
      </w:r>
      <w:r>
        <w:fldChar w:fldCharType="end"/>
      </w:r>
      <w:r>
        <w:t>: Actual vs predicted values: comparison of the two strongest models</w:t>
      </w:r>
    </w:p>
    <w:tbl>
      <w:tblPr>
        <w:tblW w:type="dxa" w:w="9412"/>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firstColumn="1" w:firstRow="1" w:lastColumn="0" w:lastRow="0" w:noHBand="0" w:noVBand="1" w:val="04A0"/>
      </w:tblPr>
      <w:tblGrid>
        <w:gridCol w:w="2608"/>
        <w:gridCol w:w="3402"/>
        <w:gridCol w:w="3402"/>
      </w:tblGrid>
      <w:tr>
        <w:tc>
          <w:tcPr>
            <w:tcW w:type="dxa" w:w="2608"/>
            <w:shd w:val="clear" w:color="auto" w:fill="DCE6F2"/>
          </w:tcPr>
          <w:p>
            <w:pPr>
              <w:spacing w:after="0" w:line="240" w:lineRule="auto"/>
              <w:jc w:val="left"/>
            </w:pPr>
            <w:r/>
            <w:r>
              <w:rPr>
                <w:b/>
                <w:sz w:val="17"/>
              </w:rPr>
            </w:r>
          </w:p>
        </w:tc>
        <w:tc>
          <w:tcPr>
            <w:tcW w:type="dxa" w:w="3402"/>
            <w:shd w:val="clear" w:color="auto" w:fill="DCE6F2"/>
          </w:tcPr>
          <w:p>
            <w:pPr>
              <w:spacing w:after="0" w:line="240" w:lineRule="auto"/>
              <w:jc w:val="left"/>
            </w:pPr>
            <w:r/>
            <w:r>
              <w:rPr>
                <w:b/>
                <w:sz w:val="17"/>
              </w:rPr>
              <w:t>Logistic regression (selected)</w:t>
            </w:r>
          </w:p>
        </w:tc>
        <w:tc>
          <w:tcPr>
            <w:tcW w:type="dxa" w:w="3402"/>
            <w:shd w:val="clear" w:color="auto" w:fill="DCE6F2"/>
          </w:tcPr>
          <w:p>
            <w:pPr>
              <w:spacing w:after="0" w:line="240" w:lineRule="auto"/>
              <w:jc w:val="left"/>
            </w:pPr>
            <w:r/>
            <w:r>
              <w:rPr>
                <w:b/>
                <w:sz w:val="17"/>
              </w:rPr>
              <w:t>Random forest</w:t>
            </w:r>
          </w:p>
        </w:tc>
      </w:tr>
      <w:tr>
        <w:tc>
          <w:tcPr>
            <w:tcW w:type="dxa" w:w="2608"/>
          </w:tcPr>
          <w:p>
            <w:pPr>
              <w:spacing w:after="0" w:line="240" w:lineRule="auto"/>
              <w:jc w:val="left"/>
            </w:pPr>
            <w:r/>
            <w:r>
              <w:rPr>
                <w:sz w:val="17"/>
              </w:rPr>
              <w:t>Churners correctly predicted (TP)</w:t>
            </w:r>
          </w:p>
        </w:tc>
        <w:tc>
          <w:tcPr>
            <w:tcW w:type="dxa" w:w="3402"/>
          </w:tcPr>
          <w:p>
            <w:pPr>
              <w:spacing w:after="0" w:line="240" w:lineRule="auto"/>
              <w:jc w:val="left"/>
            </w:pPr>
            <w:r/>
            <w:r>
              <w:rPr>
                <w:sz w:val="17"/>
              </w:rPr>
              <w:t>291 of 374 (77.8%)</w:t>
            </w:r>
          </w:p>
        </w:tc>
        <w:tc>
          <w:tcPr>
            <w:tcW w:type="dxa" w:w="3402"/>
          </w:tcPr>
          <w:p>
            <w:pPr>
              <w:spacing w:after="0" w:line="240" w:lineRule="auto"/>
              <w:jc w:val="left"/>
            </w:pPr>
            <w:r/>
            <w:r>
              <w:rPr>
                <w:sz w:val="17"/>
              </w:rPr>
              <w:t>296 of 374 (79.1%)</w:t>
            </w:r>
          </w:p>
        </w:tc>
      </w:tr>
      <w:tr>
        <w:tc>
          <w:tcPr>
            <w:tcW w:type="dxa" w:w="2608"/>
          </w:tcPr>
          <w:p>
            <w:pPr>
              <w:spacing w:after="0" w:line="240" w:lineRule="auto"/>
              <w:jc w:val="left"/>
            </w:pPr>
            <w:r/>
            <w:r>
              <w:rPr>
                <w:sz w:val="17"/>
              </w:rPr>
              <w:t>Churners missed (FN)</w:t>
            </w:r>
          </w:p>
        </w:tc>
        <w:tc>
          <w:tcPr>
            <w:tcW w:type="dxa" w:w="3402"/>
          </w:tcPr>
          <w:p>
            <w:pPr>
              <w:spacing w:after="0" w:line="240" w:lineRule="auto"/>
              <w:jc w:val="left"/>
            </w:pPr>
            <w:r/>
            <w:r>
              <w:rPr>
                <w:sz w:val="17"/>
              </w:rPr>
              <w:t>83</w:t>
            </w:r>
          </w:p>
        </w:tc>
        <w:tc>
          <w:tcPr>
            <w:tcW w:type="dxa" w:w="3402"/>
          </w:tcPr>
          <w:p>
            <w:pPr>
              <w:spacing w:after="0" w:line="240" w:lineRule="auto"/>
              <w:jc w:val="left"/>
            </w:pPr>
            <w:r/>
            <w:r>
              <w:rPr>
                <w:sz w:val="17"/>
              </w:rPr>
              <w:t>78</w:t>
            </w:r>
          </w:p>
        </w:tc>
      </w:tr>
      <w:tr>
        <w:tc>
          <w:tcPr>
            <w:tcW w:type="dxa" w:w="2608"/>
          </w:tcPr>
          <w:p>
            <w:pPr>
              <w:spacing w:after="0" w:line="240" w:lineRule="auto"/>
              <w:jc w:val="left"/>
            </w:pPr>
            <w:r/>
            <w:r>
              <w:rPr>
                <w:sz w:val="17"/>
              </w:rPr>
              <w:t>Loyal customers wrongly flagged (FP)</w:t>
            </w:r>
          </w:p>
        </w:tc>
        <w:tc>
          <w:tcPr>
            <w:tcW w:type="dxa" w:w="3402"/>
          </w:tcPr>
          <w:p>
            <w:pPr>
              <w:spacing w:after="0" w:line="240" w:lineRule="auto"/>
              <w:jc w:val="left"/>
            </w:pPr>
            <w:r/>
            <w:r>
              <w:rPr>
                <w:sz w:val="17"/>
              </w:rPr>
              <w:t>280</w:t>
            </w:r>
          </w:p>
        </w:tc>
        <w:tc>
          <w:tcPr>
            <w:tcW w:type="dxa" w:w="3402"/>
          </w:tcPr>
          <w:p>
            <w:pPr>
              <w:spacing w:after="0" w:line="240" w:lineRule="auto"/>
              <w:jc w:val="left"/>
            </w:pPr>
            <w:r/>
            <w:r>
              <w:rPr>
                <w:sz w:val="17"/>
              </w:rPr>
              <w:t>258</w:t>
            </w:r>
          </w:p>
        </w:tc>
      </w:tr>
      <w:tr>
        <w:tc>
          <w:tcPr>
            <w:tcW w:type="dxa" w:w="2608"/>
          </w:tcPr>
          <w:p>
            <w:pPr>
              <w:spacing w:after="0" w:line="240" w:lineRule="auto"/>
              <w:jc w:val="left"/>
            </w:pPr>
            <w:r/>
            <w:r>
              <w:rPr>
                <w:sz w:val="17"/>
              </w:rPr>
              <w:t>Loyal customers correctly predicted (TN)</w:t>
            </w:r>
          </w:p>
        </w:tc>
        <w:tc>
          <w:tcPr>
            <w:tcW w:type="dxa" w:w="3402"/>
          </w:tcPr>
          <w:p>
            <w:pPr>
              <w:spacing w:after="0" w:line="240" w:lineRule="auto"/>
              <w:jc w:val="left"/>
            </w:pPr>
            <w:r/>
            <w:r>
              <w:rPr>
                <w:sz w:val="17"/>
              </w:rPr>
              <w:t>755</w:t>
            </w:r>
          </w:p>
        </w:tc>
        <w:tc>
          <w:tcPr>
            <w:tcW w:type="dxa" w:w="3402"/>
          </w:tcPr>
          <w:p>
            <w:pPr>
              <w:spacing w:after="0" w:line="240" w:lineRule="auto"/>
              <w:jc w:val="left"/>
            </w:pPr>
            <w:r/>
            <w:r>
              <w:rPr>
                <w:sz w:val="17"/>
              </w:rPr>
              <w:t>777</w:t>
            </w:r>
          </w:p>
        </w:tc>
      </w:tr>
      <w:tr>
        <w:tc>
          <w:tcPr>
            <w:tcW w:type="dxa" w:w="2608"/>
          </w:tcPr>
          <w:p>
            <w:pPr>
              <w:spacing w:after="0" w:line="240" w:lineRule="auto"/>
              <w:jc w:val="left"/>
            </w:pPr>
            <w:r/>
            <w:r>
              <w:rPr>
                <w:sz w:val="17"/>
              </w:rPr>
              <w:t>Share of flagged customers who churn</w:t>
            </w:r>
          </w:p>
        </w:tc>
        <w:tc>
          <w:tcPr>
            <w:tcW w:type="dxa" w:w="3402"/>
          </w:tcPr>
          <w:p>
            <w:pPr>
              <w:spacing w:after="0" w:line="240" w:lineRule="auto"/>
              <w:jc w:val="left"/>
            </w:pPr>
            <w:r/>
            <w:r>
              <w:rPr>
                <w:sz w:val="17"/>
              </w:rPr>
              <w:t>51.0%</w:t>
            </w:r>
          </w:p>
        </w:tc>
        <w:tc>
          <w:tcPr>
            <w:tcW w:type="dxa" w:w="3402"/>
          </w:tcPr>
          <w:p>
            <w:pPr>
              <w:spacing w:after="0" w:line="240" w:lineRule="auto"/>
              <w:jc w:val="left"/>
            </w:pPr>
            <w:r/>
            <w:r>
              <w:rPr>
                <w:sz w:val="17"/>
              </w:rPr>
              <w:t>53.4%</w:t>
            </w:r>
          </w:p>
        </w:tc>
      </w:tr>
      <w:tr>
        <w:tc>
          <w:tcPr>
            <w:tcW w:type="dxa" w:w="2608"/>
          </w:tcPr>
          <w:p>
            <w:pPr>
              <w:spacing w:after="0" w:line="240" w:lineRule="auto"/>
              <w:jc w:val="left"/>
            </w:pPr>
            <w:r/>
            <w:r>
              <w:rPr>
                <w:sz w:val="17"/>
              </w:rPr>
              <w:t>Overall assessment</w:t>
            </w:r>
          </w:p>
        </w:tc>
        <w:tc>
          <w:tcPr>
            <w:tcW w:type="dxa" w:w="3402"/>
          </w:tcPr>
          <w:p>
            <w:pPr>
              <w:spacing w:after="0" w:line="240" w:lineRule="auto"/>
              <w:jc w:val="left"/>
            </w:pPr>
            <w:r/>
            <w:r>
              <w:rPr>
                <w:sz w:val="17"/>
              </w:rPr>
              <w:t>Slightly more false alarms; transparent coefficients; least overfitting (gap 0.003). Missed churners resemble loyal customers (median tenure 30 vs 6 months for caught churners).</w:t>
            </w:r>
          </w:p>
        </w:tc>
        <w:tc>
          <w:tcPr>
            <w:tcW w:type="dxa" w:w="3402"/>
          </w:tcPr>
          <w:p>
            <w:pPr>
              <w:spacing w:after="0" w:line="240" w:lineRule="auto"/>
              <w:jc w:val="left"/>
            </w:pPr>
            <w:r/>
            <w:r>
              <w:rPr>
                <w:sz w:val="17"/>
              </w:rPr>
              <w:t>Marginally better on every count, but the difference is not statistically reliable; harder to explain and more overfitting (gap 0.041).</w:t>
            </w:r>
          </w:p>
        </w:tc>
      </w:tr>
    </w:tbl>
    <w:p>
      <w:pPr>
        <w:spacing w:after="40"/>
      </w:pPr>
    </w:p>
    <w:p>
      <w:pPr>
        <w:keepNext/>
        <w:spacing w:after="40"/>
        <w:jc w:val="center"/>
      </w:pPr>
      <w:r>
        <w:drawing>
          <wp:inline xmlns:a="http://schemas.openxmlformats.org/drawingml/2006/main" xmlns:pic="http://schemas.openxmlformats.org/drawingml/2006/picture">
            <wp:extent cx="4680000" cy="1175055"/>
            <wp:docPr id="15" name="Picture 15"/>
            <wp:cNvGraphicFramePr>
              <a:graphicFrameLocks noChangeAspect="1"/>
            </wp:cNvGraphicFramePr>
            <a:graphic>
              <a:graphicData uri="http://schemas.openxmlformats.org/drawingml/2006/picture">
                <pic:pic>
                  <pic:nvPicPr>
                    <pic:cNvPr id="0" name="fig13_confusion_matrices.png"/>
                    <pic:cNvPicPr/>
                  </pic:nvPicPr>
                  <pic:blipFill>
                    <a:blip r:embed="rId24"/>
                    <a:stretch>
                      <a:fillRect/>
                    </a:stretch>
                  </pic:blipFill>
                  <pic:spPr>
                    <a:xfrm>
                      <a:off x="0" y="0"/>
                      <a:ext cx="4680000" cy="1175055"/>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14</w:t>
      </w:r>
      <w:r>
        <w:fldChar w:fldCharType="end"/>
      </w:r>
      <w:r>
        <w:t>: Actual vs predicted classes: confusion matrices on the test set</w:t>
      </w:r>
    </w:p>
    <w:p>
      <w:pPr>
        <w:pStyle w:val="Heading1"/>
      </w:pPr>
      <w:r>
        <w:t>5. Conclusion</w:t>
      </w:r>
    </w:p>
    <w:p>
      <w:pPr>
        <w:spacing w:after="120"/>
        <w:jc w:val="both"/>
      </w:pPr>
      <w:r>
        <w:t>A documented cleaning process repaired a deliberately corrupted dataset without deleting customers or leaking test information, and the EDA and statistical tests showed clear differences between churners and other customers. The selected logistic regression predicts churn with a test ROC-AUC of 0.84 and catches 78% of churners, matching a random forest within statistical uncertainty. The most influential predictors were:</w:t>
      </w:r>
    </w:p>
    <w:p>
      <w:pPr>
        <w:pStyle w:val="ListBullet"/>
        <w:spacing w:after="40"/>
        <w:jc w:val="both"/>
      </w:pPr>
      <w:r>
        <w:rPr>
          <w:b/>
          <w:sz w:val="22"/>
        </w:rPr>
        <w:t xml:space="preserve">Contract type, </w:t>
      </w:r>
      <w:r>
        <w:rPr>
          <w:sz w:val="22"/>
        </w:rPr>
        <w:t>with month-to-month customers churning at 42.7% against 2.8% on two-year contracts (negative impact of short contracts);</w:t>
      </w:r>
    </w:p>
    <w:p>
      <w:pPr>
        <w:pStyle w:val="ListBullet"/>
        <w:spacing w:after="40"/>
        <w:jc w:val="both"/>
      </w:pPr>
      <w:r>
        <w:rPr>
          <w:b/>
          <w:sz w:val="22"/>
        </w:rPr>
        <w:t xml:space="preserve">Tenure, </w:t>
      </w:r>
      <w:r>
        <w:rPr>
          <w:sz w:val="22"/>
        </w:rPr>
        <w:t>with churn highest in the first year (47.5%) (protective effect of longer tenure);</w:t>
      </w:r>
    </w:p>
    <w:p>
      <w:pPr>
        <w:pStyle w:val="ListBullet"/>
        <w:spacing w:after="40"/>
        <w:jc w:val="both"/>
      </w:pPr>
      <w:r>
        <w:rPr>
          <w:b/>
          <w:sz w:val="22"/>
        </w:rPr>
        <w:t xml:space="preserve">Internet service, </w:t>
      </w:r>
      <w:r>
        <w:rPr>
          <w:sz w:val="22"/>
        </w:rPr>
        <w:t>with fiber-optic customers churning at 41.9% (higher risk);</w:t>
      </w:r>
    </w:p>
    <w:p>
      <w:pPr>
        <w:pStyle w:val="ListBullet"/>
        <w:spacing w:after="40"/>
        <w:jc w:val="both"/>
      </w:pPr>
      <w:r>
        <w:rPr>
          <w:b/>
          <w:sz w:val="22"/>
        </w:rPr>
        <w:t xml:space="preserve">Payment method and add-ons, </w:t>
      </w:r>
      <w:r>
        <w:rPr>
          <w:sz w:val="22"/>
        </w:rPr>
        <w:t>with electronic-check payment linked to higher churn and online security or tech support to lower churn.</w:t>
      </w:r>
    </w:p>
    <w:p>
      <w:pPr>
        <w:spacing w:after="120"/>
        <w:jc w:val="both"/>
      </w:pPr>
      <w:r>
        <w:t>These are also the variables most strongly correlated with churn in the full correlation matrix (Figure 8). Gender showed no association with churn, and all findings are associations, not proof of cause.</w:t>
      </w:r>
    </w:p>
    <w:p>
      <w:pPr>
        <w:pStyle w:val="Heading2"/>
      </w:pPr>
      <w:r>
        <w:t>5.1 Recommendations</w:t>
      </w:r>
    </w:p>
    <w:p>
      <w:pPr>
        <w:spacing w:after="60"/>
        <w:jc w:val="both"/>
      </w:pPr>
      <w:r>
        <w:t>Table 10 links each recommendation to the evidence that supports it.</w:t>
      </w:r>
    </w:p>
    <w:p>
      <w:pPr>
        <w:pStyle w:val="Caption"/>
        <w:keepNext/>
        <w:spacing w:after="60"/>
      </w:pPr>
      <w:r>
        <w:t xml:space="preserve">Table </w:t>
      </w:r>
      <w:r>
        <w:fldChar w:fldCharType="begin"/>
      </w:r>
      <w:r>
        <w:instrText xml:space="preserve"> SEQ Table \* ARABIC </w:instrText>
      </w:r>
      <w:r>
        <w:fldChar w:fldCharType="separate"/>
      </w:r>
      <w:r>
        <w:t>10</w:t>
      </w:r>
      <w:r>
        <w:fldChar w:fldCharType="end"/>
      </w:r>
      <w:r>
        <w:t>: Retention recommendations and supporting evidence</w:t>
      </w:r>
    </w:p>
    <w:tbl>
      <w:tblPr>
        <w:tblW w:type="dxa" w:w="9411"/>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firstColumn="1" w:firstRow="1" w:lastColumn="0" w:lastRow="0" w:noHBand="0" w:noVBand="1" w:val="04A0"/>
      </w:tblPr>
      <w:tblGrid>
        <w:gridCol w:w="2211"/>
        <w:gridCol w:w="3742"/>
        <w:gridCol w:w="3458"/>
      </w:tblGrid>
      <w:tr>
        <w:tc>
          <w:tcPr>
            <w:tcW w:type="dxa" w:w="2211"/>
            <w:shd w:val="clear" w:color="auto" w:fill="DCE6F2"/>
          </w:tcPr>
          <w:p>
            <w:pPr>
              <w:spacing w:after="0" w:line="240" w:lineRule="auto"/>
              <w:jc w:val="left"/>
            </w:pPr>
            <w:r/>
            <w:r>
              <w:rPr>
                <w:b/>
                <w:sz w:val="16"/>
              </w:rPr>
              <w:t>Recommendation</w:t>
            </w:r>
          </w:p>
        </w:tc>
        <w:tc>
          <w:tcPr>
            <w:tcW w:type="dxa" w:w="3742"/>
            <w:shd w:val="clear" w:color="auto" w:fill="DCE6F2"/>
          </w:tcPr>
          <w:p>
            <w:pPr>
              <w:spacing w:after="0" w:line="240" w:lineRule="auto"/>
              <w:jc w:val="left"/>
            </w:pPr>
            <w:r/>
            <w:r>
              <w:rPr>
                <w:b/>
                <w:sz w:val="16"/>
              </w:rPr>
              <w:t>Evidence</w:t>
            </w:r>
          </w:p>
        </w:tc>
        <w:tc>
          <w:tcPr>
            <w:tcW w:type="dxa" w:w="3458"/>
            <w:shd w:val="clear" w:color="auto" w:fill="DCE6F2"/>
          </w:tcPr>
          <w:p>
            <w:pPr>
              <w:spacing w:after="0" w:line="240" w:lineRule="auto"/>
              <w:jc w:val="left"/>
            </w:pPr>
            <w:r/>
            <w:r>
              <w:rPr>
                <w:b/>
                <w:sz w:val="16"/>
              </w:rPr>
              <w:t>Suggested action</w:t>
            </w:r>
          </w:p>
        </w:tc>
      </w:tr>
      <w:tr>
        <w:tc>
          <w:tcPr>
            <w:tcW w:type="dxa" w:w="2211"/>
          </w:tcPr>
          <w:p>
            <w:pPr>
              <w:spacing w:after="0" w:line="240" w:lineRule="auto"/>
              <w:jc w:val="left"/>
            </w:pPr>
            <w:r/>
            <w:r>
              <w:rPr>
                <w:sz w:val="16"/>
              </w:rPr>
              <w:t>Move month-to-month customers onto longer contracts</w:t>
            </w:r>
          </w:p>
        </w:tc>
        <w:tc>
          <w:tcPr>
            <w:tcW w:type="dxa" w:w="3742"/>
          </w:tcPr>
          <w:p>
            <w:pPr>
              <w:spacing w:after="0" w:line="240" w:lineRule="auto"/>
              <w:jc w:val="left"/>
            </w:pPr>
            <w:r/>
            <w:r>
              <w:rPr>
                <w:sz w:val="16"/>
              </w:rPr>
              <w:t>Churn 42.7% vs 2.8% (two-year); OR two-year vs month-to-month = 0.25</w:t>
            </w:r>
          </w:p>
        </w:tc>
        <w:tc>
          <w:tcPr>
            <w:tcW w:type="dxa" w:w="3458"/>
          </w:tcPr>
          <w:p>
            <w:pPr>
              <w:spacing w:after="0" w:line="240" w:lineRule="auto"/>
              <w:jc w:val="left"/>
            </w:pPr>
            <w:r/>
            <w:r>
              <w:rPr>
                <w:sz w:val="16"/>
              </w:rPr>
              <w:t>Offer loyalty discounts or added benefits for switching to 1- or 2-year plans, especially in the first year</w:t>
            </w:r>
          </w:p>
        </w:tc>
      </w:tr>
      <w:tr>
        <w:tc>
          <w:tcPr>
            <w:tcW w:type="dxa" w:w="2211"/>
          </w:tcPr>
          <w:p>
            <w:pPr>
              <w:spacing w:after="0" w:line="240" w:lineRule="auto"/>
              <w:jc w:val="left"/>
            </w:pPr>
            <w:r/>
            <w:r>
              <w:rPr>
                <w:sz w:val="16"/>
              </w:rPr>
              <w:t>Strengthen onboarding in the first 12 months</w:t>
            </w:r>
          </w:p>
        </w:tc>
        <w:tc>
          <w:tcPr>
            <w:tcW w:type="dxa" w:w="3742"/>
          </w:tcPr>
          <w:p>
            <w:pPr>
              <w:spacing w:after="0" w:line="240" w:lineRule="auto"/>
              <w:jc w:val="left"/>
            </w:pPr>
            <w:r/>
            <w:r>
              <w:rPr>
                <w:sz w:val="16"/>
              </w:rPr>
              <w:t>Churn 47.5% in the first year vs 9.5% after 4 years; OR per +1 SD tenure = 0.47</w:t>
            </w:r>
          </w:p>
        </w:tc>
        <w:tc>
          <w:tcPr>
            <w:tcW w:type="dxa" w:w="3458"/>
          </w:tcPr>
          <w:p>
            <w:pPr>
              <w:spacing w:after="0" w:line="240" w:lineRule="auto"/>
              <w:jc w:val="left"/>
            </w:pPr>
            <w:r/>
            <w:r>
              <w:rPr>
                <w:sz w:val="16"/>
              </w:rPr>
              <w:t>Welcome calls, early check-ins and service-quality follow-ups for new customers</w:t>
            </w:r>
          </w:p>
        </w:tc>
      </w:tr>
      <w:tr>
        <w:tc>
          <w:tcPr>
            <w:tcW w:type="dxa" w:w="2211"/>
          </w:tcPr>
          <w:p>
            <w:pPr>
              <w:spacing w:after="0" w:line="240" w:lineRule="auto"/>
              <w:jc w:val="left"/>
            </w:pPr>
            <w:r/>
            <w:r>
              <w:rPr>
                <w:sz w:val="16"/>
              </w:rPr>
              <w:t>Investigate the fiber-optic experience</w:t>
            </w:r>
          </w:p>
        </w:tc>
        <w:tc>
          <w:tcPr>
            <w:tcW w:type="dxa" w:w="3742"/>
          </w:tcPr>
          <w:p>
            <w:pPr>
              <w:spacing w:after="0" w:line="240" w:lineRule="auto"/>
              <w:jc w:val="left"/>
            </w:pPr>
            <w:r/>
            <w:r>
              <w:rPr>
                <w:sz w:val="16"/>
              </w:rPr>
              <w:t>Churn 41.9% vs 19.0% (DSL); OR fiber vs DSL = 2.46 even after controlling for other factors</w:t>
            </w:r>
          </w:p>
        </w:tc>
        <w:tc>
          <w:tcPr>
            <w:tcW w:type="dxa" w:w="3458"/>
          </w:tcPr>
          <w:p>
            <w:pPr>
              <w:spacing w:after="0" w:line="240" w:lineRule="auto"/>
              <w:jc w:val="left"/>
            </w:pPr>
            <w:r/>
            <w:r>
              <w:rPr>
                <w:sz w:val="16"/>
              </w:rPr>
              <w:t>Review fiber pricing, reliability and support; survey departing fiber customers</w:t>
            </w:r>
          </w:p>
        </w:tc>
      </w:tr>
      <w:tr>
        <w:tc>
          <w:tcPr>
            <w:tcW w:type="dxa" w:w="2211"/>
          </w:tcPr>
          <w:p>
            <w:pPr>
              <w:spacing w:after="0" w:line="240" w:lineRule="auto"/>
              <w:jc w:val="left"/>
            </w:pPr>
            <w:r/>
            <w:r>
              <w:rPr>
                <w:sz w:val="16"/>
              </w:rPr>
              <w:t>Encourage automatic payment</w:t>
            </w:r>
          </w:p>
        </w:tc>
        <w:tc>
          <w:tcPr>
            <w:tcW w:type="dxa" w:w="3742"/>
          </w:tcPr>
          <w:p>
            <w:pPr>
              <w:spacing w:after="0" w:line="240" w:lineRule="auto"/>
              <w:jc w:val="left"/>
            </w:pPr>
            <w:r/>
            <w:r>
              <w:rPr>
                <w:sz w:val="16"/>
              </w:rPr>
              <w:t>Churn 45.3% for electronic check vs 15.2% for automatic credit card; OR = 1.50 vs bank transfer</w:t>
            </w:r>
          </w:p>
        </w:tc>
        <w:tc>
          <w:tcPr>
            <w:tcW w:type="dxa" w:w="3458"/>
          </w:tcPr>
          <w:p>
            <w:pPr>
              <w:spacing w:after="0" w:line="240" w:lineRule="auto"/>
              <w:jc w:val="left"/>
            </w:pPr>
            <w:r/>
            <w:r>
              <w:rPr>
                <w:sz w:val="16"/>
              </w:rPr>
              <w:t>Small incentives to switch from electronic check to automatic bank or card payment</w:t>
            </w:r>
          </w:p>
        </w:tc>
      </w:tr>
      <w:tr>
        <w:tc>
          <w:tcPr>
            <w:tcW w:type="dxa" w:w="2211"/>
          </w:tcPr>
          <w:p>
            <w:pPr>
              <w:spacing w:after="0" w:line="240" w:lineRule="auto"/>
              <w:jc w:val="left"/>
            </w:pPr>
            <w:r/>
            <w:r>
              <w:rPr>
                <w:sz w:val="16"/>
              </w:rPr>
              <w:t>Promote security and support add-ons</w:t>
            </w:r>
          </w:p>
        </w:tc>
        <w:tc>
          <w:tcPr>
            <w:tcW w:type="dxa" w:w="3742"/>
          </w:tcPr>
          <w:p>
            <w:pPr>
              <w:spacing w:after="0" w:line="240" w:lineRule="auto"/>
              <w:jc w:val="left"/>
            </w:pPr>
            <w:r/>
            <w:r>
              <w:rPr>
                <w:sz w:val="16"/>
              </w:rPr>
              <w:t>Internet customers: churn with/without OnlineSecurity 14.6% / 41.8%; TechSupport 15.2% / 41.6%; ORs 0.68 and 0.72</w:t>
            </w:r>
          </w:p>
        </w:tc>
        <w:tc>
          <w:tcPr>
            <w:tcW w:type="dxa" w:w="3458"/>
          </w:tcPr>
          <w:p>
            <w:pPr>
              <w:spacing w:after="0" w:line="240" w:lineRule="auto"/>
              <w:jc w:val="left"/>
            </w:pPr>
            <w:r/>
            <w:r>
              <w:rPr>
                <w:sz w:val="16"/>
              </w:rPr>
              <w:t>Bundle or offer free trials of online security and tech support, prioritising high-risk customers</w:t>
            </w:r>
          </w:p>
        </w:tc>
      </w:tr>
      <w:tr>
        <w:tc>
          <w:tcPr>
            <w:tcW w:type="dxa" w:w="2211"/>
          </w:tcPr>
          <w:p>
            <w:pPr>
              <w:spacing w:after="0" w:line="240" w:lineRule="auto"/>
              <w:jc w:val="left"/>
            </w:pPr>
            <w:r/>
            <w:r>
              <w:rPr>
                <w:sz w:val="16"/>
              </w:rPr>
              <w:t>Use the model to prioritise, not to decide alone</w:t>
            </w:r>
          </w:p>
        </w:tc>
        <w:tc>
          <w:tcPr>
            <w:tcW w:type="dxa" w:w="3742"/>
          </w:tcPr>
          <w:p>
            <w:pPr>
              <w:spacing w:after="0" w:line="240" w:lineRule="auto"/>
              <w:jc w:val="left"/>
            </w:pPr>
            <w:r/>
            <w:r>
              <w:rPr>
                <w:sz w:val="16"/>
              </w:rPr>
              <w:t>Contacting the top 20% riskiest customers reaches 50% of churners (top 30%: 64%)</w:t>
            </w:r>
          </w:p>
        </w:tc>
        <w:tc>
          <w:tcPr>
            <w:tcW w:type="dxa" w:w="3458"/>
          </w:tcPr>
          <w:p>
            <w:pPr>
              <w:spacing w:after="0" w:line="240" w:lineRule="auto"/>
              <w:jc w:val="left"/>
            </w:pPr>
            <w:r/>
            <w:r>
              <w:rPr>
                <w:sz w:val="16"/>
              </w:rPr>
              <w:t>Score customers monthly, contact the highest-risk group first, and size the group to the retention budget</w:t>
            </w:r>
          </w:p>
        </w:tc>
      </w:tr>
      <w:tr>
        <w:tc>
          <w:tcPr>
            <w:tcW w:type="dxa" w:w="2211"/>
          </w:tcPr>
          <w:p>
            <w:pPr>
              <w:spacing w:after="0" w:line="240" w:lineRule="auto"/>
              <w:jc w:val="left"/>
            </w:pPr>
            <w:r/>
            <w:r>
              <w:rPr>
                <w:sz w:val="16"/>
              </w:rPr>
              <w:t>Measure impact with a controlled trial</w:t>
            </w:r>
          </w:p>
        </w:tc>
        <w:tc>
          <w:tcPr>
            <w:tcW w:type="dxa" w:w="3742"/>
          </w:tcPr>
          <w:p>
            <w:pPr>
              <w:spacing w:after="0" w:line="240" w:lineRule="auto"/>
              <w:jc w:val="left"/>
            </w:pPr>
            <w:r/>
            <w:r>
              <w:rPr>
                <w:sz w:val="16"/>
              </w:rPr>
              <w:t>The data are observational, so the effect of interventions is unknown</w:t>
            </w:r>
          </w:p>
        </w:tc>
        <w:tc>
          <w:tcPr>
            <w:tcW w:type="dxa" w:w="3458"/>
          </w:tcPr>
          <w:p>
            <w:pPr>
              <w:spacing w:after="0" w:line="240" w:lineRule="auto"/>
              <w:jc w:val="left"/>
            </w:pPr>
            <w:r/>
            <w:r>
              <w:rPr>
                <w:sz w:val="16"/>
              </w:rPr>
              <w:t>Randomly assign retention offers within the high-risk group (A/B test) to measure their real effect before scaling</w:t>
            </w:r>
          </w:p>
        </w:tc>
      </w:tr>
    </w:tbl>
    <w:p>
      <w:pPr>
        <w:spacing w:after="40"/>
      </w:pPr>
    </w:p>
    <w:p>
      <w:pPr>
        <w:pStyle w:val="Heading2"/>
      </w:pPr>
      <w:r>
        <w:t>5.2 Limitations and responsible use</w:t>
      </w:r>
    </w:p>
    <w:p>
      <w:pPr>
        <w:pStyle w:val="ListBullet"/>
        <w:spacing w:after="40"/>
        <w:jc w:val="both"/>
      </w:pPr>
      <w:r>
        <w:rPr>
          <w:b/>
          <w:sz w:val="22"/>
        </w:rPr>
        <w:t xml:space="preserve">Association, not causation: </w:t>
      </w:r>
      <w:r>
        <w:rPr>
          <w:sz w:val="22"/>
        </w:rPr>
        <w:t>the effect of retention actions should be tested with randomised trials.</w:t>
      </w:r>
    </w:p>
    <w:p>
      <w:pPr>
        <w:pStyle w:val="ListBullet"/>
        <w:spacing w:after="40"/>
        <w:jc w:val="both"/>
      </w:pPr>
      <w:r>
        <w:rPr>
          <w:b/>
          <w:sz w:val="22"/>
        </w:rPr>
        <w:t xml:space="preserve">Limited information: </w:t>
      </w:r>
      <w:r>
        <w:rPr>
          <w:sz w:val="22"/>
        </w:rPr>
        <w:t>complaints, service quality and competitor offers are not in the data, so some churners who look loyal are missed.</w:t>
      </w:r>
    </w:p>
    <w:p>
      <w:pPr>
        <w:pStyle w:val="ListBullet"/>
        <w:spacing w:after="40"/>
        <w:jc w:val="both"/>
      </w:pPr>
      <w:r>
        <w:rPr>
          <w:b/>
          <w:sz w:val="22"/>
        </w:rPr>
        <w:t xml:space="preserve">Generalisability: </w:t>
      </w:r>
      <w:r>
        <w:rPr>
          <w:sz w:val="22"/>
        </w:rPr>
        <w:t>the data are an IBM sample for one provider; re-validate on local data before use.</w:t>
      </w:r>
    </w:p>
    <w:p>
      <w:pPr>
        <w:pStyle w:val="ListBullet"/>
        <w:spacing w:after="40"/>
        <w:jc w:val="both"/>
      </w:pPr>
      <w:r>
        <w:rPr>
          <w:b/>
          <w:sz w:val="22"/>
        </w:rPr>
        <w:t xml:space="preserve">Responsible use: </w:t>
      </w:r>
      <w:r>
        <w:rPr>
          <w:sz w:val="22"/>
        </w:rPr>
        <w:t>use the model to support staff decisions, never to give worse terms based on gender or age, and monitor and retrain it regularly.</w:t>
      </w:r>
    </w:p>
    <w:p>
      <w:pPr>
        <w:pStyle w:val="Heading1"/>
      </w:pPr>
      <w:r>
        <w:t>References</w:t>
      </w:r>
    </w:p>
    <w:p>
      <w:pPr>
        <w:spacing w:after="60" w:line="240" w:lineRule="auto"/>
        <w:ind w:left="567" w:hanging="567"/>
      </w:pPr>
      <w:r>
        <w:rPr>
          <w:sz w:val="17"/>
        </w:rPr>
        <w:t>BlastChar. (2018). Telco customer churn [Data set]. Kaggle. https://www.kaggle.com/datasets/blastchar/telco-customer-churn</w:t>
      </w:r>
    </w:p>
    <w:p>
      <w:pPr>
        <w:spacing w:after="60" w:line="240" w:lineRule="auto"/>
        <w:ind w:left="567" w:hanging="567"/>
      </w:pPr>
      <w:r>
        <w:rPr>
          <w:sz w:val="17"/>
        </w:rPr>
        <w:t>Breiman, L. (2001). Random forests. Machine Learning, 45(1), 5–32.</w:t>
      </w:r>
    </w:p>
    <w:p>
      <w:pPr>
        <w:spacing w:after="60" w:line="240" w:lineRule="auto"/>
        <w:ind w:left="567" w:hanging="567"/>
      </w:pPr>
      <w:r>
        <w:rPr>
          <w:sz w:val="17"/>
        </w:rPr>
        <w:t>Breiman, L., Friedman, J. H., Olshen, R. A., &amp; Stone, C. J. (1984). Classification and regression trees. Wadsworth.</w:t>
      </w:r>
    </w:p>
    <w:p>
      <w:pPr>
        <w:spacing w:after="60" w:line="240" w:lineRule="auto"/>
        <w:ind w:left="567" w:hanging="567"/>
      </w:pPr>
      <w:r>
        <w:rPr>
          <w:sz w:val="17"/>
        </w:rPr>
        <w:t>Cohen, J. (1988). Statistical power analysis for the behavioral sciences (2nd ed.). Lawrence Erlbaum Associates.</w:t>
      </w:r>
    </w:p>
    <w:p>
      <w:pPr>
        <w:spacing w:after="60" w:line="240" w:lineRule="auto"/>
        <w:ind w:left="567" w:hanging="567"/>
      </w:pPr>
      <w:r>
        <w:rPr>
          <w:sz w:val="17"/>
        </w:rPr>
        <w:t>Efron, B., &amp; Tibshirani, R. J. (1993). An introduction to the bootstrap. Chapman &amp; Hall.</w:t>
      </w:r>
    </w:p>
    <w:p>
      <w:pPr>
        <w:spacing w:after="60" w:line="240" w:lineRule="auto"/>
        <w:ind w:left="567" w:hanging="567"/>
      </w:pPr>
      <w:r>
        <w:rPr>
          <w:sz w:val="17"/>
        </w:rPr>
        <w:t>Hosmer, D. W., Lemeshow, S., &amp; Sturdivant, R. X. (2013). Applied logistic regression (3rd ed.). Wiley.</w:t>
      </w:r>
    </w:p>
    <w:p>
      <w:pPr>
        <w:spacing w:after="60" w:line="240" w:lineRule="auto"/>
        <w:ind w:left="567" w:hanging="567"/>
      </w:pPr>
      <w:r>
        <w:rPr>
          <w:sz w:val="17"/>
        </w:rPr>
        <w:t>Hunter, J. D. (2007). Matplotlib: A 2D graphics environment. Computing in Science &amp; Engineering, 9(3), 90–95.</w:t>
      </w:r>
    </w:p>
    <w:p>
      <w:pPr>
        <w:spacing w:after="60" w:line="240" w:lineRule="auto"/>
        <w:ind w:left="567" w:hanging="567"/>
      </w:pPr>
      <w:r>
        <w:rPr>
          <w:sz w:val="17"/>
        </w:rPr>
        <w:t>Kaufman, S., Rosset, S., Perlich, C., &amp; Stitelman, O. (2012). Leakage in data mining: Formulation, detection, and avoidance. ACM Transactions on Knowledge Discovery from Data, 6(4), Article 15.</w:t>
      </w:r>
    </w:p>
    <w:p>
      <w:pPr>
        <w:spacing w:after="60" w:line="240" w:lineRule="auto"/>
        <w:ind w:left="567" w:hanging="567"/>
      </w:pPr>
      <w:r>
        <w:rPr>
          <w:sz w:val="17"/>
        </w:rPr>
        <w:t>Mann, H. B., &amp; Whitney, D. R. (1947). On a test of whether one of two random variables is stochastically larger than the other. The Annals of Mathematical Statistics, 18(1), 50–60.</w:t>
      </w:r>
    </w:p>
    <w:p>
      <w:pPr>
        <w:spacing w:after="60" w:line="240" w:lineRule="auto"/>
        <w:ind w:left="567" w:hanging="567"/>
      </w:pPr>
      <w:r>
        <w:rPr>
          <w:sz w:val="17"/>
        </w:rPr>
        <w:t>McKinney, W. (2010). Data structures for statistical computing in Python. Proceedings of the 9th Python in Science Conference, 56–61.</w:t>
      </w:r>
    </w:p>
    <w:p>
      <w:pPr>
        <w:spacing w:after="60" w:line="240" w:lineRule="auto"/>
        <w:ind w:left="567" w:hanging="567"/>
      </w:pPr>
      <w:r>
        <w:rPr>
          <w:sz w:val="17"/>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60" w:line="240" w:lineRule="auto"/>
        <w:ind w:left="567" w:hanging="567"/>
      </w:pPr>
      <w:r>
        <w:rPr>
          <w:sz w:val="17"/>
        </w:rPr>
        <w:t>Saito, T., &amp; Rehmsmeier, M. (2015). The precision-recall plot is more informative than the ROC plot when evaluating binary classifiers on imbalanced datasets. PLOS ONE, 10(3), e0118432.</w:t>
      </w:r>
    </w:p>
    <w:p>
      <w:pPr>
        <w:spacing w:after="60" w:line="240" w:lineRule="auto"/>
        <w:ind w:left="567" w:hanging="567"/>
      </w:pPr>
      <w:r>
        <w:rPr>
          <w:sz w:val="17"/>
        </w:rPr>
        <w:t>Seabold, S., &amp; Perktold, J. (2010). Statsmodels: Econometric and statistical modeling with Python. Proceedings of the 9th Python in Science Conference, 92–96.</w:t>
      </w:r>
    </w:p>
    <w:p>
      <w:pPr>
        <w:spacing w:after="60" w:line="240" w:lineRule="auto"/>
        <w:ind w:left="567" w:hanging="567"/>
      </w:pPr>
      <w:r>
        <w:rPr>
          <w:sz w:val="17"/>
        </w:rPr>
        <w:t>Strobl, C., Boulesteix, A.-L., Zeileis, A., &amp; Hothorn, T. (2007). Bias in random forest variable importance measures: Illustrations, sources and a solution. BMC Bioinformatics, 8, 25.</w:t>
      </w:r>
    </w:p>
    <w:p>
      <w:pPr>
        <w:spacing w:after="60" w:line="240" w:lineRule="auto"/>
        <w:ind w:left="567" w:hanging="567"/>
      </w:pPr>
      <w:r>
        <w:rPr>
          <w:sz w:val="17"/>
        </w:rPr>
        <w:t>Verbeke, W., Dejaeger, K., Martens, D., Hur, J., &amp; Baesens, B. (2012). New insights into churn prediction in the telecommunication sector: A profit driven data mining approach. European Journal of Operational Research, 218(1), 211–229.</w:t>
      </w:r>
    </w:p>
    <w:p>
      <w:pPr>
        <w:spacing w:after="60" w:line="240" w:lineRule="auto"/>
        <w:ind w:left="567" w:hanging="567"/>
      </w:pPr>
      <w:r>
        <w:rPr>
          <w:sz w:val="17"/>
        </w:rPr>
        <w:t>Virtanen, P., Gommers, R., Oliphant, T. E., et al. (2020). SciPy 1.0: Fundamental algorithms for scientific computing in Python. Nature Methods, 17, 261–272.</w:t>
      </w:r>
    </w:p>
    <w:sectPr w:rsidR="00FC693F" w:rsidRPr="0006063C" w:rsidSect="00034616">
      <w:pgSz w:w="11906" w:h="16838"/>
      <w:pgMar w:top="1247" w:right="1247" w:bottom="1247" w:left="1247"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Calibri" w:hAnsi="Calibri" w:cs="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Calibri" w:hAnsi="Calibri" w:cs="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Calibri" w:hAnsi="Calibri" w:cs="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val="0"/>
      <w:bCs/>
      <w:i/>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Prediction and Analysis Using Machine Learning</dc:title>
  <dc:subject>TM3221 Data Science for BPM – Group Assignment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