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bidi w:val="1"/>
        <w:jc w:val="center"/>
        <w:rPr>
          <w:rFonts w:ascii="David" w:cs="David" w:eastAsia="David" w:hAnsi="David"/>
          <w:b w:val="1"/>
          <w:color w:val="0000ff"/>
        </w:rPr>
      </w:pPr>
      <w:bookmarkStart w:colFirst="0" w:colLast="0" w:name="_gjdgxs" w:id="0"/>
      <w:bookmarkEnd w:id="0"/>
      <w:r w:rsidDel="00000000" w:rsidR="00000000" w:rsidRPr="00000000">
        <w:rPr>
          <w:rFonts w:ascii="David" w:cs="David" w:eastAsia="David" w:hAnsi="David"/>
          <w:b w:val="1"/>
          <w:color w:val="0000ff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b w:val="1"/>
          <w:color w:val="0000ff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b w:val="1"/>
          <w:color w:val="0000ff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color w:val="0000ff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ff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b w:val="1"/>
          <w:color w:val="0000ff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ff"/>
          <w:rtl w:val="0"/>
        </w:rPr>
        <w:t xml:space="preserve">Discont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b w:val="1"/>
          <w:color w:val="0000ff"/>
          <w:sz w:val="34"/>
          <w:szCs w:val="34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b w:val="1"/>
          <w:color w:val="0000ff"/>
          <w:sz w:val="34"/>
          <w:szCs w:val="34"/>
          <w:rtl w:val="1"/>
        </w:rPr>
        <w:t xml:space="preserve">: 18.0.0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bidi w:val="1"/>
        <w:rPr>
          <w:rFonts w:ascii="David" w:cs="David" w:eastAsia="David" w:hAnsi="David"/>
          <w:sz w:val="36"/>
          <w:szCs w:val="36"/>
        </w:rPr>
      </w:pPr>
      <w:bookmarkStart w:colFirst="0" w:colLast="0" w:name="_3znysh7" w:id="1"/>
      <w:bookmarkEnd w:id="1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="259" w:lineRule="auto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משלבת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פיננסיים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ידידותי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וקל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מאפשרת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ללקוחות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חשבונותיהם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בקלות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ובבטיחות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מגוון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בנקאיות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כספים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חשבונות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יתרות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השקעות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="240" w:lineRule="auto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מוצגות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שנערכו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בחינת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עמידת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בקריטריוני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היציאה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שנקבעו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pStyle w:val="Heading1"/>
        <w:bidi w:val="1"/>
        <w:rPr>
          <w:rFonts w:ascii="David" w:cs="David" w:eastAsia="David" w:hAnsi="David"/>
          <w:sz w:val="36"/>
          <w:szCs w:val="36"/>
        </w:rPr>
      </w:pPr>
      <w:bookmarkStart w:colFirst="0" w:colLast="0" w:name="_1o0q8anmpzct" w:id="2"/>
      <w:bookmarkEnd w:id="2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מטרה</w:t>
      </w:r>
      <w:r w:rsidDel="00000000" w:rsidR="00000000" w:rsidRPr="00000000">
        <w:rPr>
          <w:rFonts w:ascii="David" w:cs="David" w:eastAsia="David" w:hAnsi="David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bidi w:val="1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בנק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דיסקונט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פועלת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כראוי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ועומדת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בדרישות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הפונקציונליות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והביצועיות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שנקבעו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תתמקד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באימות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הבנקאיות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המרכזיות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התחברות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לאפליקציה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צפייה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במידע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פיננסי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והודעות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רספונסיביות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וחווית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bidi w:val="1"/>
        <w:rPr>
          <w:sz w:val="30"/>
          <w:szCs w:val="30"/>
        </w:rPr>
      </w:pPr>
      <w:bookmarkStart w:colFirst="0" w:colLast="0" w:name="_3dy6vkm" w:id="3"/>
      <w:bookmarkEnd w:id="3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תאריכים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240" w:lineRule="auto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24/11/24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STD + Bug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240" w:lineRule="auto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04/12/24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line="240" w:lineRule="auto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04/12/24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240" w:lineRule="auto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11/12/24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240" w:lineRule="auto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18/12/24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bidi w:val="1"/>
        <w:rPr>
          <w:sz w:val="32"/>
          <w:szCs w:val="32"/>
        </w:rPr>
      </w:pPr>
      <w:bookmarkStart w:colFirst="0" w:colLast="0" w:name="_4d34og8" w:id="4"/>
      <w:bookmarkEnd w:id="4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בודקים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spacing w:line="240" w:lineRule="auto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line="240" w:lineRule="auto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תפקיד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spacing w:line="240" w:lineRule="auto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אביבה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וובט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0"/>
              </w:rPr>
              <w:t xml:space="preserve">QA junior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bidi w:val="1"/>
        <w:spacing w:after="160" w:line="259" w:lineRule="auto"/>
        <w:rPr>
          <w:sz w:val="32"/>
          <w:szCs w:val="32"/>
        </w:rPr>
      </w:pPr>
      <w:bookmarkStart w:colFirst="0" w:colLast="0" w:name="_rwh0tse21a7t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87.6367187500006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36"/>
                <w:szCs w:val="36"/>
              </w:rPr>
            </w:pPr>
            <w:r w:rsidDel="00000000" w:rsidR="00000000" w:rsidRPr="00000000">
              <w:rPr>
                <w:rFonts w:ascii="David" w:cs="David" w:eastAsia="David" w:hAnsi="David"/>
                <w:sz w:val="36"/>
                <w:szCs w:val="36"/>
                <w:rtl w:val="1"/>
              </w:rPr>
              <w:t xml:space="preserve">בדיקות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sz w:val="36"/>
                <w:szCs w:val="36"/>
              </w:rPr>
            </w:pPr>
            <w:r w:rsidDel="00000000" w:rsidR="00000000" w:rsidRPr="00000000">
              <w:rPr>
                <w:rFonts w:ascii="David" w:cs="David" w:eastAsia="David" w:hAnsi="David"/>
                <w:sz w:val="36"/>
                <w:szCs w:val="36"/>
                <w:rtl w:val="1"/>
              </w:rPr>
              <w:t xml:space="preserve">בוצע</w:t>
            </w:r>
            <w:r w:rsidDel="00000000" w:rsidR="00000000" w:rsidRPr="00000000">
              <w:rPr>
                <w:rFonts w:ascii="David" w:cs="David" w:eastAsia="David" w:hAnsi="David"/>
                <w:sz w:val="36"/>
                <w:szCs w:val="36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sz w:val="36"/>
                <w:szCs w:val="36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36"/>
                <w:szCs w:val="36"/>
                <w:rtl w:val="1"/>
              </w:rPr>
              <w:t xml:space="preserve">בוצע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0"/>
              </w:rPr>
              <w:t xml:space="preserve">GUI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בוצע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בוצע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0"/>
              </w:rPr>
              <w:t xml:space="preserve">Compatibility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jc w:val="left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                                 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בוצע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בוצע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0"/>
              </w:rPr>
              <w:t xml:space="preserve">Accessibility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בוצע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0"/>
              </w:rPr>
              <w:t xml:space="preserve">Interface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בוצע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0"/>
              </w:rPr>
              <w:t xml:space="preserve">Functionality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בוצע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0"/>
              </w:rPr>
              <w:t xml:space="preserve">Localization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בוצע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0"/>
              </w:rPr>
              <w:t xml:space="preserve">Recovery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בוצע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95" w:tblpY="14.023437500002274"/>
        <w:bidiVisual w:val="1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530"/>
        <w:gridCol w:w="1305"/>
        <w:gridCol w:w="1515"/>
        <w:gridCol w:w="1530"/>
        <w:tblGridChange w:id="0">
          <w:tblGrid>
            <w:gridCol w:w="3300"/>
            <w:gridCol w:w="1530"/>
            <w:gridCol w:w="1305"/>
            <w:gridCol w:w="1515"/>
            <w:gridCol w:w="1530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gridSpan w:val="5"/>
            <w:shd w:fill="ead1dc" w:val="clear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תסריטי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הבדיקה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לפי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פיצ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'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רים</w:t>
            </w:r>
          </w:p>
        </w:tc>
      </w:tr>
      <w:tr>
        <w:trPr>
          <w:cantSplit w:val="0"/>
          <w:tblHeader w:val="1"/>
        </w:trPr>
        <w:tc>
          <w:tcPr>
            <w:shd w:fill="ead1dc" w:val="clear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פיצ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'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ר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סה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כ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בדיקות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שעברו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שלא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עברו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שלא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הרצנו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3B">
            <w:pPr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לאפליקציה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40">
            <w:pPr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צפייה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במידע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פיננסי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45">
            <w:pPr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פעולות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4A">
            <w:pPr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קבלת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התראות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והודעות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       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4F">
            <w:pPr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רספונסיביות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וחווית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סה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1"/>
              </w:rPr>
              <w:t xml:space="preserve">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David" w:cs="David" w:eastAsia="David" w:hAnsi="David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David" w:cs="David" w:eastAsia="David" w:hAnsi="David"/>
                <w:color w:val="434343"/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bidi w:val="1"/>
        <w:rPr>
          <w:rFonts w:ascii="David" w:cs="David" w:eastAsia="David" w:hAnsi="David"/>
          <w:sz w:val="36"/>
          <w:szCs w:val="36"/>
          <w:u w:val="single"/>
        </w:rPr>
      </w:pPr>
      <w:bookmarkStart w:colFirst="0" w:colLast="0" w:name="_k7i5kwu48513" w:id="6"/>
      <w:bookmarkEnd w:id="6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גרף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שעברו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פיצ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רים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bidi w:val="1"/>
        <w:rPr>
          <w:rFonts w:ascii="David" w:cs="David" w:eastAsia="David" w:hAnsi="David"/>
          <w:sz w:val="36"/>
          <w:szCs w:val="36"/>
          <w:u w:val="single"/>
        </w:rPr>
      </w:pPr>
      <w:bookmarkStart w:colFirst="0" w:colLast="0" w:name="_2i7a8bort3s2" w:id="7"/>
      <w:bookmarkEnd w:id="7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חומרה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bidi w:val="1"/>
        <w:spacing w:after="160" w:line="259" w:lineRule="auto"/>
        <w:rPr>
          <w:rFonts w:ascii="David" w:cs="David" w:eastAsia="David" w:hAnsi="David"/>
          <w:sz w:val="36"/>
          <w:szCs w:val="36"/>
          <w:u w:val="single"/>
        </w:rPr>
      </w:pPr>
      <w:bookmarkStart w:colFirst="0" w:colLast="0" w:name="_26in1rg" w:id="8"/>
      <w:bookmarkEnd w:id="8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ליציאה</w:t>
      </w:r>
    </w:p>
    <w:p w:rsidR="00000000" w:rsidDel="00000000" w:rsidP="00000000" w:rsidRDefault="00000000" w:rsidRPr="00000000" w14:paraId="00000062">
      <w:pPr>
        <w:bidi w:val="1"/>
        <w:spacing w:line="240" w:lineRule="auto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עשן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-  100%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הצלחה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Smoke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Test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3">
      <w:pPr>
        <w:widowControl w:val="0"/>
        <w:bidi w:val="1"/>
        <w:spacing w:line="240" w:lineRule="auto"/>
        <w:ind w:right="-723"/>
        <w:rPr>
          <w:rFonts w:ascii="David" w:cs="David" w:eastAsia="David" w:hAnsi="David"/>
          <w:sz w:val="26"/>
          <w:szCs w:val="26"/>
          <w:highlight w:val="whit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תקלות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קריטיות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- 0</w:t>
      </w:r>
    </w:p>
    <w:p w:rsidR="00000000" w:rsidDel="00000000" w:rsidP="00000000" w:rsidRDefault="00000000" w:rsidRPr="00000000" w14:paraId="00000064">
      <w:pPr>
        <w:widowControl w:val="0"/>
        <w:bidi w:val="1"/>
        <w:spacing w:line="240" w:lineRule="auto"/>
        <w:ind w:right="-723"/>
        <w:rPr>
          <w:rFonts w:ascii="David" w:cs="David" w:eastAsia="David" w:hAnsi="David"/>
          <w:sz w:val="26"/>
          <w:szCs w:val="26"/>
          <w:highlight w:val="whit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תקלות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- 0</w:t>
      </w:r>
    </w:p>
    <w:p w:rsidR="00000000" w:rsidDel="00000000" w:rsidP="00000000" w:rsidRDefault="00000000" w:rsidRPr="00000000" w14:paraId="00000065">
      <w:pPr>
        <w:widowControl w:val="0"/>
        <w:bidi w:val="1"/>
        <w:spacing w:line="240" w:lineRule="auto"/>
        <w:ind w:right="-723"/>
        <w:rPr>
          <w:rFonts w:ascii="David" w:cs="David" w:eastAsia="David" w:hAnsi="David"/>
          <w:sz w:val="26"/>
          <w:szCs w:val="26"/>
          <w:highlight w:val="whit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תקלות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בינוני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- 25</w:t>
      </w:r>
    </w:p>
    <w:p w:rsidR="00000000" w:rsidDel="00000000" w:rsidP="00000000" w:rsidRDefault="00000000" w:rsidRPr="00000000" w14:paraId="00000066">
      <w:pPr>
        <w:widowControl w:val="0"/>
        <w:bidi w:val="1"/>
        <w:spacing w:line="240" w:lineRule="auto"/>
        <w:ind w:right="-723"/>
        <w:rPr>
          <w:rFonts w:ascii="David" w:cs="David" w:eastAsia="David" w:hAnsi="David"/>
          <w:sz w:val="26"/>
          <w:szCs w:val="26"/>
          <w:highlight w:val="whit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תקלות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- 35</w:t>
      </w:r>
    </w:p>
    <w:p w:rsidR="00000000" w:rsidDel="00000000" w:rsidP="00000000" w:rsidRDefault="00000000" w:rsidRPr="00000000" w14:paraId="00000067">
      <w:pPr>
        <w:widowControl w:val="0"/>
        <w:bidi w:val="1"/>
        <w:spacing w:line="240" w:lineRule="auto"/>
        <w:ind w:right="-723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כיסוי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הרצת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טסטים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6"/>
          <w:szCs w:val="26"/>
          <w:highlight w:val="white"/>
          <w:rtl w:val="1"/>
        </w:rPr>
        <w:t xml:space="preserve"> 80%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bidi w:val="1"/>
        <w:rPr>
          <w:rFonts w:ascii="David" w:cs="David" w:eastAsia="David" w:hAnsi="David"/>
          <w:sz w:val="32"/>
          <w:szCs w:val="32"/>
        </w:rPr>
      </w:pPr>
      <w:bookmarkStart w:colFirst="0" w:colLast="0" w:name="_lnxbz9" w:id="9"/>
      <w:bookmarkEnd w:id="9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המלצות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ומסקנות</w:t>
      </w:r>
      <w:r w:rsidDel="00000000" w:rsidR="00000000" w:rsidRPr="00000000">
        <w:rPr>
          <w:rFonts w:ascii="David" w:cs="David" w:eastAsia="David" w:hAnsi="David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9">
      <w:pPr>
        <w:bidi w:val="1"/>
        <w:spacing w:line="276" w:lineRule="auto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קריטריוני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היציאה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שהגדרנו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עומדת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בדרישות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שהצבנו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276" w:lineRule="auto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מאשרת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בגרסה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הנוכחית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avi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Style w:val="Heading2"/>
      <w:bidi w:val="1"/>
      <w:spacing w:after="160" w:line="259" w:lineRule="auto"/>
      <w:rPr/>
    </w:pPr>
    <w:bookmarkStart w:colFirst="0" w:colLast="0" w:name="_35nkun2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bidi w:val="1"/>
      <w:rPr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