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gfh-media-intelligence-platform-mip.aws"/>
    <w:p>
      <w:pPr>
        <w:pStyle w:val="Heading1"/>
      </w:pPr>
      <w:r>
        <w:t xml:space="preserve">GFH Media Intelligence Platform (MIP.Aws)</w:t>
      </w:r>
    </w:p>
    <w:bookmarkStart w:id="9" w:name="X08a9d6449b1e84426ad3f4243e4e616e681d8f7"/>
    <w:p>
      <w:pPr>
        <w:pStyle w:val="Heading2"/>
      </w:pPr>
      <w:r>
        <w:t xml:space="preserve">Approximate Deployment &amp; Licensing Cost Estimate (BHD)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MIP.Aws — GFH Media Intelligence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D:\MIPaws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region (reference)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eu-north-1</w:t>
            </w:r>
            <w:r>
              <w:t xml:space="preserve"> </w:t>
            </w:r>
            <w:r>
              <w:t xml:space="preserve">(Europe — Stockholm)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June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Internal — GFH / Almoayyed Computers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Estimate type</w:t>
            </w:r>
          </w:p>
        </w:tc>
        <w:tc>
          <w:tcPr/>
          <w:p>
            <w:pPr>
              <w:pStyle w:val="Compact"/>
            </w:pPr>
            <w:r>
              <w:t xml:space="preserve">Indicative monthly run-rate + annual licensing notes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provides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w:r>
        <w:t xml:space="preserve">deployment and licensing costs for operating MIP.Aws on Amazon Web Services, expressed in</w:t>
      </w:r>
      <w:r>
        <w:t xml:space="preserve"> </w:t>
      </w:r>
      <w:r>
        <w:rPr>
          <w:b/>
          <w:bCs/>
        </w:rPr>
        <w:t xml:space="preserve">Bahraini Dinar (BHD)</w:t>
      </w:r>
      <w:r>
        <w:t xml:space="preserve"> </w:t>
      </w:r>
      <w:r>
        <w:t xml:space="preserve">for GFH budget and approval discussions.</w:t>
      </w:r>
    </w:p>
    <w:p>
      <w:pPr>
        <w:pStyle w:val="BodyText"/>
      </w:pPr>
      <w:r>
        <w:t xml:space="preserve">Figures are</w:t>
      </w:r>
      <w:r>
        <w:t xml:space="preserve"> </w:t>
      </w:r>
      <w:r>
        <w:rPr>
          <w:b/>
          <w:bCs/>
        </w:rPr>
        <w:t xml:space="preserve">indicative only</w:t>
      </w:r>
      <w:r>
        <w:t xml:space="preserve">. Actual AWS invoices depend on usage, data transfer, PDF storage growth, AI call volume, and AWS price changes. Obtain a formal quote using the</w:t>
      </w:r>
      <w:r>
        <w:t xml:space="preserve"> </w:t>
      </w:r>
      <w:hyperlink r:id="rId10">
        <w:r>
          <w:rPr>
            <w:rStyle w:val="Hyperlink"/>
          </w:rPr>
          <w:t xml:space="preserve">AWS Pricing Calculator</w:t>
        </w:r>
      </w:hyperlink>
      <w:r>
        <w:t xml:space="preserve"> </w:t>
      </w:r>
      <w:r>
        <w:t xml:space="preserve">before procurement.</w:t>
      </w:r>
    </w:p>
    <w:p>
      <w:r>
        <w:pict>
          <v:rect style="width:0;height:1.5pt" o:hralign="center" o:hrstd="t" o:hr="t"/>
        </w:pict>
      </w:r>
    </w:p>
    <w:bookmarkEnd w:id="11"/>
    <w:bookmarkStart w:id="15" w:name="currency-and-assumptions"/>
    <w:p>
      <w:pPr>
        <w:pStyle w:val="Heading2"/>
      </w:pPr>
      <w:r>
        <w:t xml:space="preserve">2. Currency and assumptions</w:t>
      </w:r>
    </w:p>
    <w:bookmarkStart w:id="12" w:name="exchange-rate"/>
    <w:p>
      <w:pPr>
        <w:pStyle w:val="Heading3"/>
      </w:pPr>
      <w:r>
        <w:t xml:space="preserve">2.1 Exchange rate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 (Central Bank of Bahrain)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USD = 0.376 BHD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Inverse</w:t>
            </w:r>
          </w:p>
        </w:tc>
        <w:tc>
          <w:tcPr/>
          <w:p>
            <w:pPr>
              <w:pStyle w:val="Compact"/>
            </w:pPr>
            <w:r>
              <w:t xml:space="preserve">1 BHD ≈ 2.6596 USD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Rounding</w:t>
            </w:r>
          </w:p>
        </w:tc>
        <w:tc>
          <w:tcPr/>
          <w:p>
            <w:pPr>
              <w:pStyle w:val="Compact"/>
            </w:pPr>
            <w:r>
              <w:t xml:space="preserve">BHD amounts rounded to</w:t>
            </w:r>
            <w:r>
              <w:t xml:space="preserve"> </w:t>
            </w:r>
            <w:r>
              <w:rPr>
                <w:b/>
                <w:bCs/>
              </w:rPr>
              <w:t xml:space="preserve">2 decimal places</w:t>
            </w:r>
          </w:p>
        </w:tc>
      </w:tr>
    </w:tbl>
    <w:p>
      <w:pPr>
        <w:pStyle w:val="BodyText"/>
      </w:pPr>
      <w:r>
        <w:t xml:space="preserve">All USD figures in this document are converted at</w:t>
      </w:r>
      <w:r>
        <w:t xml:space="preserve"> </w:t>
      </w:r>
      <w:r>
        <w:rPr>
          <w:b/>
          <w:bCs/>
        </w:rPr>
        <w:t xml:space="preserve">0.376 BHD per USD</w:t>
      </w:r>
      <w:r>
        <w:t xml:space="preserve"> </w:t>
      </w:r>
      <w:r>
        <w:t xml:space="preserve">unless stated otherwise.</w:t>
      </w:r>
    </w:p>
    <w:bookmarkEnd w:id="12"/>
    <w:bookmarkStart w:id="14" w:name="general-assumptions"/>
    <w:p>
      <w:pPr>
        <w:pStyle w:val="Heading3"/>
      </w:pPr>
      <w:r>
        <w:t xml:space="preserve">2.2 General assumptions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model</w:t>
            </w:r>
          </w:p>
        </w:tc>
        <w:tc>
          <w:tcPr/>
          <w:p>
            <w:pPr>
              <w:pStyle w:val="Compact"/>
            </w:pPr>
            <w:r>
              <w:t xml:space="preserve">Terraform defaults in</w:t>
            </w:r>
            <w:r>
              <w:t xml:space="preserve"> </w:t>
            </w:r>
            <w:r>
              <w:rPr>
                <w:rStyle w:val="VerbatimChar"/>
              </w:rPr>
              <w:t xml:space="preserve">infra/terraform/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AWS_COST_CONTROL.md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24×7</w:t>
            </w:r>
            <w:r>
              <w:t xml:space="preserve"> </w:t>
            </w:r>
            <w:r>
              <w:t xml:space="preserve">monthly run (730 hours) unless noted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 Gateway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Disabled</w:t>
            </w:r>
            <w:r>
              <w:t xml:space="preserve"> </w:t>
            </w:r>
            <w:r>
              <w:t xml:space="preserve">(dev cost saving)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service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tasks</w:t>
            </w:r>
            <w:r>
              <w:t xml:space="preserve"> </w:t>
            </w:r>
            <w:r>
              <w:t xml:space="preserve">in dev estimate (downloads run on API container)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storage</w:t>
            </w:r>
          </w:p>
        </w:tc>
        <w:tc>
          <w:tcPr/>
          <w:p>
            <w:pPr>
              <w:pStyle w:val="Compact"/>
            </w:pPr>
            <w:r>
              <w:t xml:space="preserve">Grows over time; scenarios included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Bedrock AI</w:t>
            </w:r>
          </w:p>
        </w:tc>
        <w:tc>
          <w:tcPr/>
          <w:p>
            <w:pPr>
              <w:pStyle w:val="Compact"/>
            </w:pPr>
            <w:r>
              <w:t xml:space="preserve">Enabled with light-to-moderate recovery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</w:t>
            </w:r>
          </w:p>
        </w:tc>
        <w:tc>
          <w:tcPr/>
          <w:p>
            <w:pPr>
              <w:pStyle w:val="Compact"/>
            </w:pPr>
            <w:r>
              <w:t xml:space="preserve">Sandbox or low-volume status emails in dev; production access for operations 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 edition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Express</w:t>
            </w:r>
            <w:r>
              <w:t xml:space="preserve"> </w:t>
            </w:r>
            <w:r>
              <w:t xml:space="preserve">(dev) /</w:t>
            </w:r>
            <w:r>
              <w:t xml:space="preserve"> </w:t>
            </w:r>
            <w:r>
              <w:rPr>
                <w:b/>
                <w:bCs/>
              </w:rPr>
              <w:t xml:space="preserve">Web or Standard</w:t>
            </w:r>
            <w:r>
              <w:t xml:space="preserve"> </w:t>
            </w:r>
            <w:r>
              <w:t xml:space="preserve">(production recommendation)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PressReader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Separate commercial license</w:t>
            </w:r>
            <w:r>
              <w:t xml:space="preserve"> </w:t>
            </w:r>
            <w:r>
              <w:t xml:space="preserve">— not an AWS line item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cost-summary-bhd-per-month"/>
    <w:p>
      <w:pPr>
        <w:pStyle w:val="Heading2"/>
      </w:pPr>
      <w:r>
        <w:t xml:space="preserve">3. Cost summary (BHD per month)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2335"/>
        <w:gridCol w:w="2335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/ month (approx.)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BHD / month (approx.)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BHD / year (approx.)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— Dev / test (Terraform defaults)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 – 320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98 – 120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1,176 – 1,440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Dev with heavier PDF + AI usage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 – 450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132 – 169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1,584 – 2,028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— Production (single-AZ, moderate scale)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850 – 1,200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319 – 451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3,828 – 5,412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— Production (HA: Multi-AZ, NAT, 2× API)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1,400 – 2,000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526 – 752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6,312 – 9,024</w:t>
            </w:r>
          </w:p>
        </w:tc>
      </w:tr>
    </w:tbl>
    <w:p>
      <w:pPr>
        <w:pStyle w:val="BodyText"/>
      </w:pPr>
      <w:r>
        <w:rPr>
          <w:b/>
          <w:bCs/>
        </w:rPr>
        <w:t xml:space="preserve">Non-AWS licensing (PressReader, etc.):</w:t>
      </w:r>
      <w:r>
        <w:t xml:space="preserve"> </w:t>
      </w:r>
      <w:r>
        <w:t xml:space="preserve">see Section 6 — typically</w:t>
      </w:r>
      <w:r>
        <w:t xml:space="preserve"> </w:t>
      </w:r>
      <w:r>
        <w:rPr>
          <w:b/>
          <w:bCs/>
        </w:rPr>
        <w:t xml:space="preserve">additional</w:t>
      </w:r>
      <w:r>
        <w:t xml:space="preserve"> </w:t>
      </w:r>
      <w:r>
        <w:t xml:space="preserve">to the above.</w:t>
      </w:r>
    </w:p>
    <w:p>
      <w:r>
        <w:pict>
          <v:rect style="width:0;height:1.5pt" o:hralign="center" o:hrstd="t" o:hr="t"/>
        </w:pict>
      </w:r>
    </w:p>
    <w:bookmarkEnd w:id="16"/>
    <w:bookmarkStart w:id="21" w:name="detailed-aws-cost-breakdown"/>
    <w:p>
      <w:pPr>
        <w:pStyle w:val="Heading2"/>
      </w:pPr>
      <w:r>
        <w:t xml:space="preserve">4. Detailed AWS cost breakdown</w:t>
      </w:r>
    </w:p>
    <w:bookmarkStart w:id="17" w:name="X98451aa80997b3bbd74120f08c1f1619fb889be"/>
    <w:p>
      <w:pPr>
        <w:pStyle w:val="Heading3"/>
      </w:pPr>
      <w:r>
        <w:t xml:space="preserve">4.1 Scenario A — Dev / test (recommended starting point)</w:t>
      </w:r>
    </w:p>
    <w:p>
      <w:pPr>
        <w:pStyle w:val="FirstParagraph"/>
      </w:pPr>
      <w:r>
        <w:t xml:space="preserve">Matches current Terraform defaults:</w:t>
      </w:r>
      <w:r>
        <w:t xml:space="preserve"> </w:t>
      </w:r>
      <w:r>
        <w:rPr>
          <w:rStyle w:val="VerbatimChar"/>
        </w:rPr>
        <w:t xml:space="preserve">db.t3.small</w:t>
      </w:r>
      <w:r>
        <w:t xml:space="preserve"> </w:t>
      </w:r>
      <w:r>
        <w:t xml:space="preserve">SQL Server Express, 20 GB storage, ECS API</w:t>
      </w:r>
      <w:r>
        <w:t xml:space="preserve"> </w:t>
      </w:r>
      <w:r>
        <w:rPr>
          <w:b/>
          <w:bCs/>
        </w:rPr>
        <w:t xml:space="preserve">0.25 vCPU / 1 GB</w:t>
      </w:r>
      <w:r>
        <w:t xml:space="preserve">, 1 API task, no NAT, 14-day logs.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8"/>
        <w:gridCol w:w="1344"/>
        <w:gridCol w:w="2241"/>
        <w:gridCol w:w="1942"/>
        <w:gridCol w:w="19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/ 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BHD /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RDS</w:t>
            </w:r>
          </w:p>
        </w:tc>
        <w:tc>
          <w:tcPr/>
          <w:p>
            <w:pPr>
              <w:pStyle w:val="Compact"/>
            </w:pPr>
            <w:r>
              <w:t xml:space="preserve">SQL Server</w:t>
            </w:r>
            <w:r>
              <w:t xml:space="preserve"> </w:t>
            </w:r>
            <w:r>
              <w:rPr>
                <w:b/>
                <w:bCs/>
              </w:rPr>
              <w:t xml:space="preserve">Express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db.t3.small</w:t>
            </w:r>
            <w:r>
              <w:t xml:space="preserve">, Single-AZ, 20 GB gp3, license-included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 – 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62.04 – 78.96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ECS Fargate</w:t>
            </w:r>
          </w:p>
        </w:tc>
        <w:tc>
          <w:tcPr/>
          <w:p>
            <w:pPr>
              <w:pStyle w:val="Compact"/>
            </w:pPr>
            <w:r>
              <w:t xml:space="preserve">API: 0.25 vCPU, 1 GB RAM, 1 task × 730 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– 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3.76 – 5.26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Load Balancer</w:t>
            </w:r>
          </w:p>
        </w:tc>
        <w:tc>
          <w:tcPr/>
          <w:p>
            <w:pPr>
              <w:pStyle w:val="Compact"/>
            </w:pPr>
            <w:r>
              <w:t xml:space="preserve">1 ALB, low LCU traffic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 – 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6.77 – 9.02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S3</w:t>
            </w:r>
          </w:p>
        </w:tc>
        <w:tc>
          <w:tcPr/>
          <w:p>
            <w:pPr>
              <w:pStyle w:val="Compact"/>
            </w:pPr>
            <w:r>
              <w:t xml:space="preserve">~20–50 GB PDFs + versioning (year 1, early)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–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 – 3.01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ECR</w:t>
            </w:r>
          </w:p>
        </w:tc>
        <w:tc>
          <w:tcPr/>
          <w:p>
            <w:pPr>
              <w:pStyle w:val="Compact"/>
            </w:pPr>
            <w:r>
              <w:t xml:space="preserve">~2–3 GB container images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–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 – 1.13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CloudWatch Logs</w:t>
            </w:r>
          </w:p>
        </w:tc>
        <w:tc>
          <w:tcPr/>
          <w:p>
            <w:pPr>
              <w:pStyle w:val="Compact"/>
            </w:pPr>
            <w:r>
              <w:t xml:space="preserve">14-day retention, moderate API/Hangfire logs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– 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 – 4.51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Secrets Manager</w:t>
            </w:r>
          </w:p>
        </w:tc>
        <w:tc>
          <w:tcPr/>
          <w:p>
            <w:pPr>
              <w:pStyle w:val="Compact"/>
            </w:pPr>
            <w:r>
              <w:t xml:space="preserve">2–3 secrets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–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 – 0.75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SES</w:t>
            </w:r>
          </w:p>
        </w:tc>
        <w:tc>
          <w:tcPr/>
          <w:p>
            <w:pPr>
              <w:pStyle w:val="Compact"/>
            </w:pPr>
            <w:r>
              <w:t xml:space="preserve">Status emails, sandbox / low volume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–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 – 0.75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Bedrock</w:t>
            </w:r>
          </w:p>
        </w:tc>
        <w:tc>
          <w:tcPr/>
          <w:p>
            <w:pPr>
              <w:pStyle w:val="Compact"/>
            </w:pPr>
            <w:r>
              <w:t xml:space="preserve">Nova Lite, light recovery (~50–200 calls/month)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– 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 – 5.64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transfer</w:t>
            </w:r>
          </w:p>
        </w:tc>
        <w:tc>
          <w:tcPr/>
          <w:p>
            <w:pPr>
              <w:pStyle w:val="Compact"/>
            </w:pPr>
            <w:r>
              <w:t xml:space="preserve">Egress to internet (portal downloads, ALB)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–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 – 7.52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(AWS)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210 – 310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78.96 – 116.56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Contingency (~15%)</w:t>
            </w:r>
          </w:p>
        </w:tc>
        <w:tc>
          <w:tcPr/>
          <w:p>
            <w:pPr>
              <w:pStyle w:val="Compact"/>
            </w:pPr>
            <w:r>
              <w:t xml:space="preserve">Price variance, CPU credits, spikes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– 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15.04 – 18.80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Scenario A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260 – 320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98 – 120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RDS for SQL Server is the</w:t>
      </w:r>
      <w:r>
        <w:t xml:space="preserve"> </w:t>
      </w:r>
      <w:r>
        <w:rPr>
          <w:b/>
          <w:bCs/>
        </w:rPr>
        <w:t xml:space="preserve">largest single cost</w:t>
      </w:r>
      <w:r>
        <w:t xml:space="preserve"> </w:t>
      </w:r>
      <w:r>
        <w:t xml:space="preserve">in dev. Stopping RDS nights/weekends or scaling ECS to 0 when not testing can reduce spend materially (see Section 8).</w:t>
      </w:r>
    </w:p>
    <w:p>
      <w:r>
        <w:pict>
          <v:rect style="width:0;height:1.5pt" o:hralign="center" o:hrstd="t" o:hr="t"/>
        </w:pict>
      </w:r>
    </w:p>
    <w:bookmarkEnd w:id="17"/>
    <w:bookmarkStart w:id="18" w:name="scenario-b-dev-with-heavier-usage"/>
    <w:p>
      <w:pPr>
        <w:pStyle w:val="Heading3"/>
      </w:pPr>
      <w:r>
        <w:t xml:space="preserve">4.2 Scenario B — Dev with heavier usage</w:t>
      </w:r>
    </w:p>
    <w:p>
      <w:pPr>
        <w:pStyle w:val="FirstParagraph"/>
      </w:pPr>
      <w:r>
        <w:t xml:space="preserve">Same infrastructure, but higher PDF volume, more Playwright jobs, and more Bedrock recovery calls.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0"/>
        <w:gridCol w:w="2386"/>
        <w:gridCol w:w="2061"/>
        <w:gridCol w:w="20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driver</w:t>
            </w:r>
          </w:p>
        </w:tc>
        <w:tc>
          <w:tcPr/>
          <w:p>
            <w:pPr>
              <w:pStyle w:val="Compact"/>
            </w:pPr>
            <w:r>
              <w:t xml:space="preserve">Change vs Scenario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Extra USD / 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Extra BHD /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storage</w:t>
            </w:r>
          </w:p>
        </w:tc>
        <w:tc>
          <w:tcPr/>
          <w:p>
            <w:pPr>
              <w:pStyle w:val="Compact"/>
            </w:pPr>
            <w:r>
              <w:t xml:space="preserve">100–200 GB PDFs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 –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+3.01 – 7.52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Fargate</w:t>
            </w:r>
          </w:p>
        </w:tc>
        <w:tc>
          <w:tcPr/>
          <w:p>
            <w:pPr>
              <w:pStyle w:val="Compact"/>
            </w:pPr>
            <w:r>
              <w:t xml:space="preserve">API scaled to</w:t>
            </w:r>
            <w:r>
              <w:t xml:space="preserve"> </w:t>
            </w:r>
            <w:r>
              <w:rPr>
                <w:b/>
                <w:bCs/>
              </w:rPr>
              <w:t xml:space="preserve">0.5 vCPU / 2 GB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 – 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+5.64 – 9.40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Bedrock</w:t>
            </w:r>
          </w:p>
        </w:tc>
        <w:tc>
          <w:tcPr/>
          <w:p>
            <w:pPr>
              <w:pStyle w:val="Compact"/>
            </w:pPr>
            <w:r>
              <w:t xml:space="preserve">500–2,000 model calls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 – 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+7.52 – 22.56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CloudWatch + transfer</w:t>
            </w:r>
          </w:p>
        </w:tc>
        <w:tc>
          <w:tcPr/>
          <w:p>
            <w:pPr>
              <w:pStyle w:val="Compact"/>
            </w:pPr>
            <w:r>
              <w:t xml:space="preserve">Higher job volume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 – 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+3.76 – 9.40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Scenario B incremental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+50 – 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+19 –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Scenario B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350 – 450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132 – 169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scenario-c-production-moderate-scale"/>
    <w:p>
      <w:pPr>
        <w:pStyle w:val="Heading3"/>
      </w:pPr>
      <w:r>
        <w:t xml:space="preserve">4.3 Scenario C — Production (moderate scale)</w:t>
      </w:r>
    </w:p>
    <w:p>
      <w:pPr>
        <w:pStyle w:val="FirstParagraph"/>
      </w:pPr>
      <w:r>
        <w:t xml:space="preserve">Single-AZ, no NAT (or minimal), production-ready sizing.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8"/>
        <w:gridCol w:w="1344"/>
        <w:gridCol w:w="2241"/>
        <w:gridCol w:w="1942"/>
        <w:gridCol w:w="19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/ 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BHD /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RDS</w:t>
            </w:r>
          </w:p>
        </w:tc>
        <w:tc>
          <w:tcPr/>
          <w:p>
            <w:pPr>
              <w:pStyle w:val="Compact"/>
            </w:pPr>
            <w:r>
              <w:t xml:space="preserve">SQL Server</w:t>
            </w:r>
            <w:r>
              <w:t xml:space="preserve"> </w:t>
            </w:r>
            <w:r>
              <w:rPr>
                <w:b/>
                <w:bCs/>
              </w:rPr>
              <w:t xml:space="preserve">Web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db.t3.medium</w:t>
            </w:r>
            <w:r>
              <w:t xml:space="preserve">, 100 GB, backups 7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 – 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142.88 – 195.52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ECS Fargate</w:t>
            </w:r>
          </w:p>
        </w:tc>
        <w:tc>
          <w:tcPr/>
          <w:p>
            <w:pPr>
              <w:pStyle w:val="Compact"/>
            </w:pPr>
            <w:r>
              <w:t xml:space="preserve">API:</w:t>
            </w:r>
            <w:r>
              <w:t xml:space="preserve"> </w:t>
            </w:r>
            <w:r>
              <w:rPr>
                <w:b/>
                <w:bCs/>
              </w:rPr>
              <w:t xml:space="preserve">2 vCPU / 4 GB</w:t>
            </w:r>
            <w:r>
              <w:t xml:space="preserve">, 2 tasks (HA behind ALB)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 – 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41.36 – 56.40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ALB</w:t>
            </w:r>
          </w:p>
        </w:tc>
        <w:tc>
          <w:tcPr/>
          <w:p>
            <w:pPr>
              <w:pStyle w:val="Compact"/>
            </w:pPr>
            <w:r>
              <w:t xml:space="preserve">Production traffic + health checks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 – 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8.27 – 13.16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200–500 GB PDF archive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– 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5.64 – 16.92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ECR + Secrets + CloudWatch</w:t>
            </w:r>
          </w:p>
        </w:tc>
        <w:tc>
          <w:tcPr/>
          <w:p>
            <w:pPr>
              <w:pStyle w:val="Compact"/>
            </w:pPr>
            <w:r>
              <w:t xml:space="preserve">Production retention (30 d logs)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– 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9.40 – 16.92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</w:t>
            </w:r>
          </w:p>
        </w:tc>
        <w:tc>
          <w:tcPr/>
          <w:p>
            <w:pPr>
              <w:pStyle w:val="Compact"/>
            </w:pPr>
            <w:r>
              <w:t xml:space="preserve">Daily status mail + notifications (~500–2,000/month)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–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 – 1.88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Bedrock</w:t>
            </w:r>
          </w:p>
        </w:tc>
        <w:tc>
          <w:tcPr/>
          <w:p>
            <w:pPr>
              <w:pStyle w:val="Compact"/>
            </w:pPr>
            <w:r>
              <w:t xml:space="preserve">Regular recovery workload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– 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15.04 – 45.12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transfer</w:t>
            </w:r>
          </w:p>
        </w:tc>
        <w:tc>
          <w:tcPr/>
          <w:p>
            <w:pPr>
              <w:pStyle w:val="Compact"/>
            </w:pPr>
            <w:r>
              <w:t xml:space="preserve">Higher portal/PDF egress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– 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11.28 – 30.08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 53 + ACM</w:t>
            </w:r>
          </w:p>
        </w:tc>
        <w:tc>
          <w:tcPr/>
          <w:p>
            <w:pPr>
              <w:pStyle w:val="Compact"/>
            </w:pPr>
            <w:r>
              <w:t xml:space="preserve">Custom domain (optional)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–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 – 1.88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Contingency (~10%)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80 – 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30.08 – 45.12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Scenario C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850 – 1,200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319 – 451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scenario-d-production-high-availability"/>
    <w:p>
      <w:pPr>
        <w:pStyle w:val="Heading3"/>
      </w:pPr>
      <w:r>
        <w:t xml:space="preserve">4.4 Scenario D — Production (high availability)</w:t>
      </w:r>
    </w:p>
    <w:p>
      <w:pPr>
        <w:pStyle w:val="FirstParagraph"/>
      </w:pPr>
      <w:r>
        <w:t xml:space="preserve">For stricter uptime and private networking.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31"/>
        <w:gridCol w:w="2394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Additional 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/ 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BHD /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</w:t>
            </w:r>
            <w:r>
              <w:t xml:space="preserve"> </w:t>
            </w:r>
            <w:r>
              <w:rPr>
                <w:b/>
                <w:bCs/>
              </w:rPr>
              <w:t xml:space="preserve">Multi-AZ</w:t>
            </w:r>
            <w:r>
              <w:t xml:space="preserve"> </w:t>
            </w:r>
            <w:r>
              <w:t xml:space="preserve">(duplicate standby)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+350 – 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+131.60 – 188.00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 Gateway</w:t>
            </w:r>
            <w:r>
              <w:t xml:space="preserve"> </w:t>
            </w:r>
            <w:r>
              <w:t xml:space="preserve">(1 AZ) + data processing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+35 – 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+13.16 – 20.68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Larger RDS (</w:t>
            </w:r>
            <w:r>
              <w:rPr>
                <w:rStyle w:val="VerbatimChar"/>
              </w:rPr>
              <w:t xml:space="preserve">db.t3.large</w:t>
            </w:r>
            <w:r>
              <w:t xml:space="preserve"> </w:t>
            </w:r>
            <w:r>
              <w:t xml:space="preserve">or storage 200 GB+)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+150 – 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+56.40 – 94.00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Scenario D 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1,400 – 2,000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526 – 752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one-time-and-annual-aws-costs"/>
    <w:p>
      <w:pPr>
        <w:pStyle w:val="Heading2"/>
      </w:pPr>
      <w:r>
        <w:t xml:space="preserve">5. One-time and annual AWS costs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613"/>
        <w:gridCol w:w="2200"/>
        <w:gridCol w:w="2200"/>
        <w:gridCol w:w="1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 (approx.)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BHD (approx.)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Terraform deploy</w:t>
            </w:r>
          </w:p>
        </w:tc>
        <w:tc>
          <w:tcPr/>
          <w:p>
            <w:pPr>
              <w:pStyle w:val="Compact"/>
            </w:pPr>
            <w:r>
              <w:t xml:space="preserve">Once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 AWS setup fee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ECR first image push</w:t>
            </w:r>
          </w:p>
        </w:tc>
        <w:tc>
          <w:tcPr/>
          <w:p>
            <w:pPr>
              <w:pStyle w:val="Compact"/>
            </w:pPr>
            <w:r>
              <w:t xml:space="preserve">Once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1.88</w:t>
            </w:r>
          </w:p>
        </w:tc>
        <w:tc>
          <w:tcPr/>
          <w:p>
            <w:pPr>
              <w:pStyle w:val="Compact"/>
            </w:pPr>
            <w:r>
              <w:t xml:space="preserve">Included in first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 domain verification</w:t>
            </w:r>
          </w:p>
        </w:tc>
        <w:tc>
          <w:tcPr/>
          <w:p>
            <w:pPr>
              <w:pStyle w:val="Compact"/>
            </w:pPr>
            <w:r>
              <w:t xml:space="preserve">Once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DNS records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ACM TLS certificate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Free for ALB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Support (optional Business)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37.60+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Reserved Instance / Savings Plan</w:t>
            </w:r>
          </w:p>
        </w:tc>
        <w:tc>
          <w:tcPr/>
          <w:p>
            <w:pPr>
              <w:pStyle w:val="Compact"/>
            </w:pPr>
            <w:r>
              <w:t xml:space="preserve">1–3 year commit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−20% to −40%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Applies mainly to RDS &amp; Fargate at scale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8" w:name="licensing-costs-non-aws"/>
    <w:p>
      <w:pPr>
        <w:pStyle w:val="Heading2"/>
      </w:pPr>
      <w:r>
        <w:t xml:space="preserve">6. Licensing costs (non-AWS)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not billed on the AWS invoice</w:t>
      </w:r>
      <w:r>
        <w:t xml:space="preserve"> </w:t>
      </w:r>
      <w:r>
        <w:t xml:space="preserve">but are required for full MIP.Aws operation.</w:t>
      </w:r>
    </w:p>
    <w:bookmarkStart w:id="23" w:name="gfh-proprietary-software"/>
    <w:p>
      <w:pPr>
        <w:pStyle w:val="Heading3"/>
      </w:pPr>
      <w:r>
        <w:t xml:space="preserve">6.1 GFH proprietary software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795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Cost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Indicative BHD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MIP.Aws application</w:t>
            </w:r>
          </w:p>
        </w:tc>
        <w:tc>
          <w:tcPr/>
          <w:p>
            <w:pPr>
              <w:pStyle w:val="Compact"/>
            </w:pPr>
            <w:r>
              <w:t xml:space="preserve">GFH internal / project delivery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(internal development)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Ongoing maintenance &amp; support</w:t>
            </w:r>
          </w:p>
        </w:tc>
        <w:tc>
          <w:tcPr/>
          <w:p>
            <w:pPr>
              <w:pStyle w:val="Compact"/>
            </w:pPr>
            <w:r>
              <w:t xml:space="preserve">GFH IT policy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Per internal SLA</w:t>
            </w:r>
          </w:p>
        </w:tc>
      </w:tr>
    </w:tbl>
    <w:bookmarkEnd w:id="23"/>
    <w:bookmarkStart w:id="24" w:name="pressreader-and-publisher-content"/>
    <w:p>
      <w:pPr>
        <w:pStyle w:val="Heading3"/>
      </w:pPr>
      <w:r>
        <w:t xml:space="preserve">6.2 PressReader and publisher content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795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Cost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Indicative BHD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PressReader institutional subscription</w:t>
            </w:r>
          </w:p>
        </w:tc>
        <w:tc>
          <w:tcPr/>
          <w:p>
            <w:pPr>
              <w:pStyle w:val="Compact"/>
            </w:pPr>
            <w:r>
              <w:t xml:space="preserve">Commercial contract with PressReader / publisher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— request quote from GFH licensing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Per-newspaper portal rights</w:t>
            </w:r>
          </w:p>
        </w:tc>
        <w:tc>
          <w:tcPr/>
          <w:p>
            <w:pPr>
              <w:pStyle w:val="Compact"/>
            </w:pPr>
            <w:r>
              <w:t xml:space="preserve">Publisher agreements (e.g. UAE/Gulf titles)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— compliance approval per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Concurrent session limits</w:t>
            </w:r>
          </w:p>
        </w:tc>
        <w:tc>
          <w:tcPr/>
          <w:p>
            <w:pPr>
              <w:pStyle w:val="Compact"/>
            </w:pPr>
            <w:r>
              <w:t xml:space="preserve">Per PressReader subscription tier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Operational constraint, not AWS cost</w:t>
            </w:r>
          </w:p>
        </w:tc>
      </w:tr>
    </w:tbl>
    <w:p>
      <w:pPr>
        <w:pStyle w:val="BlockText"/>
      </w:pPr>
      <w:r>
        <w:rPr>
          <w:b/>
          <w:bCs/>
        </w:rPr>
        <w:t xml:space="preserve">Planning placeholder:</w:t>
      </w:r>
      <w:r>
        <w:t xml:space="preserve"> </w:t>
      </w:r>
      <w:r>
        <w:t xml:space="preserve">Institutional PressReader access for a single organisation often ranges</w:t>
      </w:r>
      <w:r>
        <w:t xml:space="preserve"> </w:t>
      </w:r>
      <w:r>
        <w:rPr>
          <w:b/>
          <w:bCs/>
        </w:rPr>
        <w:t xml:space="preserve">USD 500 – 3,000+ / year</w:t>
      </w:r>
      <w:r>
        <w:t xml:space="preserve"> </w:t>
      </w:r>
      <w:r>
        <w:t xml:space="preserve">depending on titles and seats —</w:t>
      </w:r>
      <w:r>
        <w:t xml:space="preserve"> </w:t>
      </w:r>
      <w:r>
        <w:rPr>
          <w:b/>
          <w:bCs/>
        </w:rPr>
        <w:t xml:space="preserve">approx. BHD 188 – 1,128 / year</w:t>
      </w:r>
      <w:r>
        <w:t xml:space="preserve"> </w:t>
      </w:r>
      <w:r>
        <w:t xml:space="preserve">at 0.376.</w:t>
      </w:r>
      <w:r>
        <w:t xml:space="preserve"> </w:t>
      </w:r>
      <w:r>
        <w:rPr>
          <w:b/>
          <w:bCs/>
        </w:rPr>
        <w:t xml:space="preserve">Confirm with GFH legal / publisher contracts.</w:t>
      </w:r>
    </w:p>
    <w:bookmarkEnd w:id="24"/>
    <w:bookmarkStart w:id="25" w:name="microsoft-sql-server-via-aws-rds"/>
    <w:p>
      <w:pPr>
        <w:pStyle w:val="Heading3"/>
      </w:pPr>
      <w:r>
        <w:t xml:space="preserve">6.3 Microsoft SQL Server (via AWS RDS)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08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Edition</w:t>
            </w:r>
          </w:p>
        </w:tc>
        <w:tc>
          <w:tcPr/>
          <w:p>
            <w:pPr>
              <w:pStyle w:val="Compact"/>
            </w:pPr>
            <w:r>
              <w:t xml:space="preserve">How licensed on AWS</w:t>
            </w:r>
          </w:p>
        </w:tc>
        <w:tc>
          <w:tcPr/>
          <w:p>
            <w:pPr>
              <w:pStyle w:val="Compact"/>
            </w:pPr>
            <w:r>
              <w:t xml:space="preserve">Included in Section 4?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Server Express</w:t>
            </w:r>
          </w:p>
        </w:tc>
        <w:tc>
          <w:tcPr/>
          <w:p>
            <w:pPr>
              <w:pStyle w:val="Compact"/>
            </w:pPr>
            <w:r>
              <w:t xml:space="preserve">RDS license-included (</w:t>
            </w:r>
            <w:r>
              <w:rPr>
                <w:rStyle w:val="VerbatimChar"/>
              </w:rPr>
              <w:t xml:space="preserve">license-included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 — dev Scenario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Server Web</w:t>
            </w:r>
          </w:p>
        </w:tc>
        <w:tc>
          <w:tcPr/>
          <w:p>
            <w:pPr>
              <w:pStyle w:val="Compact"/>
            </w:pPr>
            <w:r>
              <w:t xml:space="preserve">RDS license-included</w:t>
            </w:r>
          </w:p>
        </w:tc>
        <w:tc>
          <w:tcPr/>
          <w:p>
            <w:pPr>
              <w:pStyle w:val="Compact"/>
            </w:pPr>
            <w:r>
              <w:t xml:space="preserve">Yes — production Scenario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Server Standard</w:t>
            </w:r>
          </w:p>
        </w:tc>
        <w:tc>
          <w:tcPr/>
          <w:p>
            <w:pPr>
              <w:pStyle w:val="Compact"/>
            </w:pPr>
            <w:r>
              <w:t xml:space="preserve">RDS license-included (higher instance $)</w:t>
            </w:r>
          </w:p>
        </w:tc>
        <w:tc>
          <w:tcPr/>
          <w:p>
            <w:pPr>
              <w:pStyle w:val="Compact"/>
            </w:pPr>
            <w:r>
              <w:t xml:space="preserve">Optional upgrade — add ~USD 200–400/mo</w:t>
            </w:r>
          </w:p>
        </w:tc>
      </w:tr>
    </w:tbl>
    <w:p>
      <w:pPr>
        <w:pStyle w:val="BodyText"/>
      </w:pPr>
      <w:r>
        <w:t xml:space="preserve">No separate Microsoft SQL license purchase is required when using</w:t>
      </w:r>
      <w:r>
        <w:t xml:space="preserve"> </w:t>
      </w:r>
      <w:r>
        <w:rPr>
          <w:b/>
          <w:bCs/>
        </w:rPr>
        <w:t xml:space="preserve">License Included</w:t>
      </w:r>
      <w:r>
        <w:t xml:space="preserve"> </w:t>
      </w:r>
      <w:r>
        <w:t xml:space="preserve">RDS models.</w:t>
      </w:r>
    </w:p>
    <w:bookmarkEnd w:id="25"/>
    <w:bookmarkStart w:id="26" w:name="open-source-components"/>
    <w:p>
      <w:pPr>
        <w:pStyle w:val="Heading3"/>
      </w:pPr>
      <w:r>
        <w:t xml:space="preserve">6.4 Open-source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2741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.NET 10, ASP.NET Core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BHD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/ Chromium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BHD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MudBlazor, Hangfire, EF Core</w:t>
            </w:r>
          </w:p>
        </w:tc>
        <w:tc>
          <w:tcPr/>
          <w:p>
            <w:pPr>
              <w:pStyle w:val="Compact"/>
            </w:pPr>
            <w:r>
              <w:t xml:space="preserve">OSS (verify Hangfire LGPL for production)</w:t>
            </w:r>
          </w:p>
        </w:tc>
        <w:tc>
          <w:tcPr/>
          <w:p>
            <w:pPr>
              <w:pStyle w:val="Compact"/>
            </w:pPr>
            <w:r>
              <w:t xml:space="preserve">BHD 0</w:t>
            </w:r>
          </w:p>
        </w:tc>
      </w:tr>
    </w:tbl>
    <w:bookmarkEnd w:id="26"/>
    <w:bookmarkStart w:id="27" w:name="amazon-bedrock-usage-based-ai"/>
    <w:p>
      <w:pPr>
        <w:pStyle w:val="Heading3"/>
      </w:pPr>
      <w:r>
        <w:t xml:space="preserve">6.5 Amazon Bedrock (usage-based AI)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24"/>
        <w:gridCol w:w="2160"/>
        <w:gridCol w:w="27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(current dev)</w:t>
            </w:r>
          </w:p>
        </w:tc>
        <w:tc>
          <w:tcPr/>
          <w:p>
            <w:pPr>
              <w:pStyle w:val="Compact"/>
            </w:pPr>
            <w:r>
              <w:t xml:space="preserve">Pricing model</w:t>
            </w:r>
          </w:p>
        </w:tc>
        <w:tc>
          <w:tcPr/>
          <w:p>
            <w:pPr>
              <w:pStyle w:val="Compact"/>
            </w:pPr>
            <w:r>
              <w:t xml:space="preserve">Typical dev add-on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amazon.nova-lite-v1:0</w:t>
            </w:r>
          </w:p>
        </w:tc>
        <w:tc>
          <w:tcPr/>
          <w:p>
            <w:pPr>
              <w:pStyle w:val="Compact"/>
            </w:pPr>
            <w:r>
              <w:t xml:space="preserve">Per 1K input/output tokens</w:t>
            </w:r>
          </w:p>
        </w:tc>
        <w:tc>
          <w:tcPr/>
          <w:p>
            <w:pPr>
              <w:pStyle w:val="Compact"/>
            </w:pPr>
            <w:r>
              <w:t xml:space="preserve">BHD 1 – 6 / month (light)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amazon.nova-pro-v1:0</w:t>
            </w:r>
          </w:p>
        </w:tc>
        <w:tc>
          <w:tcPr/>
          <w:p>
            <w:pPr>
              <w:pStyle w:val="Compact"/>
            </w:pPr>
            <w:r>
              <w:t xml:space="preserve">Higher per-token rate</w:t>
            </w:r>
          </w:p>
        </w:tc>
        <w:tc>
          <w:tcPr/>
          <w:p>
            <w:pPr>
              <w:pStyle w:val="Compact"/>
            </w:pPr>
            <w:r>
              <w:t xml:space="preserve">BHD 15 – 50 / month (moderate ops)</w:t>
            </w:r>
          </w:p>
        </w:tc>
      </w:tr>
    </w:tbl>
    <w:p>
      <w:pPr>
        <w:pStyle w:val="BodyText"/>
      </w:pPr>
      <w:r>
        <w:t xml:space="preserve">Bedrock costs are</w:t>
      </w:r>
      <w:r>
        <w:t xml:space="preserve"> </w:t>
      </w:r>
      <w:r>
        <w:rPr>
          <w:b/>
          <w:bCs/>
        </w:rPr>
        <w:t xml:space="preserve">included in AWS scenarios</w:t>
      </w:r>
      <w:r>
        <w:t xml:space="preserve"> </w:t>
      </w:r>
      <w:r>
        <w:t xml:space="preserve">above but scale with recovery frequency.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df-storage-growth-impact-s3"/>
    <w:p>
      <w:pPr>
        <w:pStyle w:val="Heading2"/>
      </w:pPr>
      <w:r>
        <w:t xml:space="preserve">7. PDF storage growth impact (S3)</w:t>
      </w:r>
    </w:p>
    <w:p>
      <w:pPr>
        <w:pStyle w:val="FirstParagraph"/>
      </w:pPr>
      <w:r>
        <w:t xml:space="preserve">Illustrative</w:t>
      </w:r>
      <w:r>
        <w:t xml:space="preserve"> </w:t>
      </w:r>
      <w:r>
        <w:rPr>
          <w:b/>
          <w:bCs/>
        </w:rPr>
        <w:t xml:space="preserve">incremental</w:t>
      </w:r>
      <w:r>
        <w:t xml:space="preserve"> </w:t>
      </w:r>
      <w:r>
        <w:t xml:space="preserve">S3 cost only (Standard storage, eu-north-1 ~USD 0.023/GB-month):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Stored PDF volume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Extra USD / 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Extra BHD / month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 GB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~0.43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 GB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~1.73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 GB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~4.32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 TB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~8.65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 TB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~17.30</w:t>
            </w:r>
          </w:p>
        </w:tc>
      </w:tr>
    </w:tbl>
    <w:p>
      <w:pPr>
        <w:pStyle w:val="BodyText"/>
      </w:pPr>
      <w:r>
        <w:t xml:space="preserve">Lifecycle rules (IA after 30 days, expire after 365 days) in Terraform reduce long-term cost.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20 newspapers × 30 MB/edition × 365 days ≈ 219 GB/year before expiry — add ~</w:t>
      </w:r>
      <w:r>
        <w:rPr>
          <w:b/>
          <w:bCs/>
        </w:rPr>
        <w:t xml:space="preserve">BHD 2–5 / month</w:t>
      </w:r>
      <w:r>
        <w:t xml:space="preserve"> </w:t>
      </w:r>
      <w:r>
        <w:t xml:space="preserve">average to Scenario C at steady state.</w:t>
      </w:r>
    </w:p>
    <w:p>
      <w:r>
        <w:pict>
          <v:rect style="width:0;height:1.5pt" o:hralign="center" o:hrstd="t" o:hr="t"/>
        </w:pict>
      </w:r>
    </w:p>
    <w:bookmarkEnd w:id="29"/>
    <w:bookmarkStart w:id="30" w:name="cost-reduction-options-dev-pilot"/>
    <w:p>
      <w:pPr>
        <w:pStyle w:val="Heading2"/>
      </w:pPr>
      <w:r>
        <w:t xml:space="preserve">8. Cost reduction options (dev / pilot)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2"/>
        <w:gridCol w:w="2592"/>
        <w:gridCol w:w="41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Estimated saving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BHD / month saved (approx.)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 ECS API to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when not testing</w:t>
            </w:r>
          </w:p>
        </w:tc>
        <w:tc>
          <w:tcPr/>
          <w:p>
            <w:pPr>
              <w:pStyle w:val="Compact"/>
            </w:pPr>
            <w:r>
              <w:t xml:space="preserve">Full Fargate API cost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–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Stop RDS</w:t>
            </w:r>
            <w:r>
              <w:t xml:space="preserve"> </w:t>
            </w:r>
            <w:r>
              <w:t xml:space="preserve">instance off-hours (dev only)</w:t>
            </w:r>
          </w:p>
        </w:tc>
        <w:tc>
          <w:tcPr/>
          <w:p>
            <w:pPr>
              <w:pStyle w:val="Compact"/>
            </w:pPr>
            <w:r>
              <w:t xml:space="preserve">Up to ~65% of RDS hours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–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worker_desired_count = 0</w:t>
            </w:r>
          </w:p>
        </w:tc>
        <w:tc>
          <w:tcPr/>
          <w:p>
            <w:pPr>
              <w:pStyle w:val="Compact"/>
            </w:pPr>
            <w:r>
              <w:t xml:space="preserve">Worker Fargate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–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Disable Bedrock (</w:t>
            </w:r>
            <w:r>
              <w:rPr>
                <w:rStyle w:val="VerbatimChar"/>
              </w:rPr>
              <w:t xml:space="preserve">enable_bedrock = false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AI usage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–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SES in sandbox</w:t>
            </w:r>
          </w:p>
        </w:tc>
        <w:tc>
          <w:tcPr/>
          <w:p>
            <w:pPr>
              <w:pStyle w:val="Compact"/>
            </w:pPr>
            <w:r>
              <w:t xml:space="preserve">Minimal email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Avoid NAT Gateway</w:t>
            </w:r>
          </w:p>
        </w:tc>
        <w:tc>
          <w:tcPr/>
          <w:p>
            <w:pPr>
              <w:pStyle w:val="Compact"/>
            </w:pPr>
            <w:r>
              <w:t xml:space="preserve">Per-AZ fixed fee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–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 destroy</w:t>
            </w:r>
            <w:r>
              <w:t xml:space="preserve"> </w:t>
            </w:r>
            <w:r>
              <w:t xml:space="preserve">when pilot ends</w:t>
            </w:r>
          </w:p>
        </w:tc>
        <w:tc>
          <w:tcPr/>
          <w:p>
            <w:pPr>
              <w:pStyle w:val="Compact"/>
            </w:pPr>
            <w:r>
              <w:t xml:space="preserve">All AWS infra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 – 752 (scenario dependent)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comparison-dev-vs-production-at-a-glance"/>
    <w:p>
      <w:pPr>
        <w:pStyle w:val="Heading2"/>
      </w:pPr>
      <w:r>
        <w:t xml:space="preserve">9. Comparison: dev vs production (at a glance)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Dev (A)</w:t>
            </w:r>
          </w:p>
        </w:tc>
        <w:tc>
          <w:tcPr/>
          <w:p>
            <w:pPr>
              <w:pStyle w:val="Compact"/>
            </w:pPr>
            <w:r>
              <w:t xml:space="preserve">Production (C)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BHD / month</w:t>
            </w:r>
          </w:p>
        </w:tc>
        <w:tc>
          <w:tcPr/>
          <w:p>
            <w:pPr>
              <w:pStyle w:val="Compact"/>
            </w:pPr>
            <w:r>
              <w:t xml:space="preserve">98 – 120</w:t>
            </w:r>
          </w:p>
        </w:tc>
        <w:tc>
          <w:tcPr/>
          <w:p>
            <w:pPr>
              <w:pStyle w:val="Compact"/>
            </w:pPr>
            <w:r>
              <w:t xml:space="preserve">319 – 451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BHD / year (AWS only)</w:t>
            </w:r>
          </w:p>
        </w:tc>
        <w:tc>
          <w:tcPr/>
          <w:p>
            <w:pPr>
              <w:pStyle w:val="Compact"/>
            </w:pPr>
            <w:r>
              <w:t xml:space="preserve">~1,176 – 1,440</w:t>
            </w:r>
          </w:p>
        </w:tc>
        <w:tc>
          <w:tcPr/>
          <w:p>
            <w:pPr>
              <w:pStyle w:val="Compact"/>
            </w:pPr>
            <w:r>
              <w:t xml:space="preserve">~3,828 – 5,412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</w:t>
            </w:r>
          </w:p>
        </w:tc>
        <w:tc>
          <w:tcPr/>
          <w:p>
            <w:pPr>
              <w:pStyle w:val="Compact"/>
            </w:pPr>
            <w:r>
              <w:t xml:space="preserve">Express, t3.small</w:t>
            </w:r>
          </w:p>
        </w:tc>
        <w:tc>
          <w:tcPr/>
          <w:p>
            <w:pPr>
              <w:pStyle w:val="Compact"/>
            </w:pPr>
            <w:r>
              <w:t xml:space="preserve">Web, t3.medium+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ECS API</w:t>
            </w:r>
          </w:p>
        </w:tc>
        <w:tc>
          <w:tcPr/>
          <w:p>
            <w:pPr>
              <w:pStyle w:val="Compact"/>
            </w:pPr>
            <w:r>
              <w:t xml:space="preserve">0.25 vCPU, 1 GB × 1</w:t>
            </w:r>
          </w:p>
        </w:tc>
        <w:tc>
          <w:tcPr/>
          <w:p>
            <w:pPr>
              <w:pStyle w:val="Compact"/>
            </w:pPr>
            <w:r>
              <w:t xml:space="preserve">2 vCPU, 4 GB ×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 / custom domain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PressReader license</w:t>
            </w:r>
          </w:p>
        </w:tc>
        <w:tc>
          <w:tcPr/>
          <w:p>
            <w:pPr>
              <w:pStyle w:val="Compact"/>
            </w:pPr>
            <w:r>
              <w:t xml:space="preserve">Required if using portals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Pilot / internal</w:t>
            </w:r>
          </w:p>
        </w:tc>
        <w:tc>
          <w:tcPr/>
          <w:p>
            <w:pPr>
              <w:pStyle w:val="Compact"/>
            </w:pPr>
            <w:r>
              <w:t xml:space="preserve">Production SES + HTTPS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recommended-budget-request-gfh-internal"/>
    <w:p>
      <w:pPr>
        <w:pStyle w:val="Heading2"/>
      </w:pPr>
      <w:r>
        <w:t xml:space="preserve">10. Recommended budget request (GFH internal)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Year 1 pilot + early production</w:t>
      </w:r>
      <w:r>
        <w:t xml:space="preserve"> </w:t>
      </w:r>
      <w:r>
        <w:t xml:space="preserve">planning: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5"/>
        <w:gridCol w:w="4620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Budget 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BHD (recommended envelope)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infrastructure (12 months, dev → prod ramp)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15,000 – 35,000</w:t>
            </w:r>
          </w:p>
        </w:tc>
        <w:tc>
          <w:tcPr/>
          <w:p>
            <w:pPr>
              <w:pStyle w:val="Compact"/>
            </w:pPr>
            <w:r>
              <w:t xml:space="preserve">Scenarios A→C over project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PressReader / publisher licensing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500 – 2,000</w:t>
            </w:r>
          </w:p>
        </w:tc>
        <w:tc>
          <w:tcPr/>
          <w:p>
            <w:pPr>
              <w:pStyle w:val="Compact"/>
            </w:pPr>
            <w:r>
              <w:t xml:space="preserve">Confirm with contracts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Domain, certificates, misc.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 – 300</w:t>
            </w:r>
          </w:p>
        </w:tc>
        <w:tc>
          <w:tcPr/>
          <w:p>
            <w:pPr>
              <w:pStyle w:val="Compact"/>
            </w:pPr>
            <w:r>
              <w:t xml:space="preserve">Optional custom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 (15%)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2,500 – 5,500</w:t>
            </w:r>
          </w:p>
        </w:tc>
        <w:tc>
          <w:tcPr/>
          <w:p>
            <w:pPr>
              <w:pStyle w:val="Compact"/>
            </w:pPr>
            <w:r>
              <w:t xml:space="preserve">Usage spikes, storage growth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Year 1 indicative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18,100 – 42,800 BHD</w:t>
            </w:r>
          </w:p>
        </w:tc>
        <w:tc>
          <w:tcPr/>
          <w:p>
            <w:pPr>
              <w:pStyle w:val="Compact"/>
            </w:pPr>
            <w:r>
              <w:t xml:space="preserve">Excludes internal labour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4" w:name="disclaimer"/>
    <w:p>
      <w:pPr>
        <w:pStyle w:val="Heading2"/>
      </w:pPr>
      <w:r>
        <w:t xml:space="preserve">11. Disclaimer</w:t>
      </w:r>
    </w:p>
    <w:p>
      <w:pPr>
        <w:pStyle w:val="Compact"/>
        <w:numPr>
          <w:ilvl w:val="0"/>
          <w:numId w:val="1001"/>
        </w:numPr>
      </w:pPr>
      <w:r>
        <w:t xml:space="preserve">Costs are</w:t>
      </w:r>
      <w:r>
        <w:t xml:space="preserve"> </w:t>
      </w:r>
      <w:r>
        <w:rPr>
          <w:b/>
          <w:bCs/>
        </w:rPr>
        <w:t xml:space="preserve">estimates</w:t>
      </w:r>
      <w:r>
        <w:t xml:space="preserve"> </w:t>
      </w:r>
      <w:r>
        <w:t xml:space="preserve">based on Terraform defaults, AWS public pricing patterns for</w:t>
      </w:r>
      <w:r>
        <w:t xml:space="preserve"> </w:t>
      </w:r>
      <w:r>
        <w:rPr>
          <w:rStyle w:val="VerbatimChar"/>
        </w:rPr>
        <w:t xml:space="preserve">eu-north-1</w:t>
      </w:r>
      <w:r>
        <w:t xml:space="preserve">, and GFH MIP.Aws architecture as of June 2026.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SQL Server on RDS</w:t>
      </w:r>
      <w:r>
        <w:t xml:space="preserve"> </w:t>
      </w:r>
      <w:r>
        <w:t xml:space="preserve">pricing varies by edition, instance size, and AWS pricing updates — validate with AWS Pricing Calculator before approval.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PressReader and publisher fees</w:t>
      </w:r>
      <w:r>
        <w:t xml:space="preserve"> </w:t>
      </w:r>
      <w:r>
        <w:t xml:space="preserve">are contractual and must be obtained from GFH licensing / legal.</w:t>
      </w:r>
    </w:p>
    <w:p>
      <w:pPr>
        <w:pStyle w:val="Compact"/>
        <w:numPr>
          <w:ilvl w:val="0"/>
          <w:numId w:val="1001"/>
        </w:numPr>
      </w:pPr>
      <w:r>
        <w:t xml:space="preserve">This document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constitute a commercial quote from Amazon Web Services or PressReader.</w:t>
      </w:r>
    </w:p>
    <w:p>
      <w:pPr>
        <w:pStyle w:val="Compact"/>
        <w:numPr>
          <w:ilvl w:val="0"/>
          <w:numId w:val="1001"/>
        </w:numPr>
      </w:pPr>
      <w:r>
        <w:t xml:space="preserve">Re-calculate BHD using the official CBB rate at approval time:</w:t>
      </w:r>
      <w:r>
        <w:t xml:space="preserve"> </w:t>
      </w:r>
      <w:hyperlink r:id="rId33">
        <w:r>
          <w:rPr>
            <w:rStyle w:val="Hyperlink"/>
          </w:rPr>
          <w:t xml:space="preserve">Central Bank of Bahrain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references"/>
    <w:p>
      <w:pPr>
        <w:pStyle w:val="Heading2"/>
      </w:pPr>
      <w:r>
        <w:t xml:space="preserve">12.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requirements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docs/GFH_MIP_AWS_DEPLOYMENT_REQUIREMENTS.md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deployment guide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docs/AWS_DEPLOYMENT.md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docs/AWS_COST_CONTROL.md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variables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infra/terraform/variables.tf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Pricing Calculator</w:t>
            </w:r>
          </w:p>
        </w:tc>
        <w:tc>
          <w:tcPr/>
          <w:p>
            <w:pPr>
              <w:pStyle w:val="Compact"/>
            </w:pPr>
            <w:r>
              <w:t xml:space="preserve">https://calculator.aws/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document-history"/>
    <w:p>
      <w:pPr>
        <w:pStyle w:val="Heading2"/>
      </w:pPr>
      <w:r>
        <w:t xml:space="preserve">Document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June 2026</w:t>
            </w:r>
          </w:p>
        </w:tc>
        <w:tc>
          <w:tcPr/>
          <w:p>
            <w:pPr>
              <w:pStyle w:val="Compact"/>
            </w:pPr>
            <w:r>
              <w:t xml:space="preserve">Initial BHD cost estimate for MIP.Aws</w:t>
            </w:r>
          </w:p>
        </w:tc>
      </w:tr>
    </w:tbl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/AWS_COST_CONTROL.md" TargetMode="External" /><Relationship Type="http://schemas.openxmlformats.org/officeDocument/2006/relationships/hyperlink" Id="rId10" Target="https://calculator.aws/" TargetMode="External" /><Relationship Type="http://schemas.openxmlformats.org/officeDocument/2006/relationships/hyperlink" Id="rId33" Target="https://www.cbb.gov.bh/monetary-polic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/AWS_COST_CONTROL.md" TargetMode="External" /><Relationship Type="http://schemas.openxmlformats.org/officeDocument/2006/relationships/hyperlink" Id="rId10" Target="https://calculator.aws/" TargetMode="External" /><Relationship Type="http://schemas.openxmlformats.org/officeDocument/2006/relationships/hyperlink" Id="rId33" Target="https://www.cbb.gov.bh/monetary-polic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2026-06-15T12:42:23Z</dcterms:created>
  <dcterms:modified xsi:type="dcterms:W3CDTF">2026-06-15T12:42:23Z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