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Intergroup</w:t>
      </w:r>
      <w:r>
        <w:t xml:space="preserve"> </w:t>
      </w:r>
      <w:r>
        <w:t xml:space="preserve">Contact</w:t>
      </w:r>
      <w:r>
        <w:t xml:space="preserve"> </w:t>
      </w:r>
      <w:r>
        <w:t xml:space="preserve">via</w:t>
      </w:r>
      <w:r>
        <w:t xml:space="preserve"> </w:t>
      </w:r>
      <w:r>
        <w:t xml:space="preserve">Robotic</w:t>
      </w:r>
      <w:r>
        <w:t xml:space="preserve"> </w:t>
      </w:r>
      <w:r>
        <w:t xml:space="preserve">Telepresence</w:t>
      </w:r>
    </w:p>
    <w:p>
      <w:pPr>
        <w:pStyle w:val="Author"/>
      </w:pPr>
      <w:r>
        <w:t xml:space="preserve">Avner</w:t>
      </w:r>
      <w:r>
        <w:t xml:space="preserve"> </w:t>
      </w:r>
      <w:r>
        <w:t xml:space="preserve">Peled</w:t>
      </w:r>
    </w:p>
    <w:p>
      <w:pPr>
        <w:pStyle w:val="Date"/>
      </w:pPr>
      <w:r>
        <w:t xml:space="preserve">04/2020</w:t>
      </w:r>
    </w:p>
    <w:p>
      <w:pPr>
        <w:pStyle w:val="Compact"/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[[TOC]]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the-contact-hypothesis"/>
      <w:r>
        <w:t xml:space="preserve">The Contact Hypothesis</w:t>
      </w:r>
      <w:bookmarkEnd w:id="21"/>
    </w:p>
    <w:p>
      <w:pPr>
        <w:numPr>
          <w:numId w:val="1001"/>
          <w:ilvl w:val="0"/>
        </w:numPr>
      </w:pPr>
      <w:r>
        <w:t xml:space="preserve">History of the four condition</w:t>
      </w:r>
      <w:r>
        <w:t xml:space="preserve">(Pettigrew &amp; Tropp, 2005)</w:t>
      </w:r>
    </w:p>
    <w:p>
      <w:pPr>
        <w:numPr>
          <w:numId w:val="1001"/>
          <w:ilvl w:val="0"/>
        </w:numPr>
      </w:pPr>
      <w:r>
        <w:t xml:space="preserve">Advancements since Allport.</w:t>
      </w:r>
      <w:r>
        <w:t xml:space="preserve"> </w:t>
      </w:r>
      <w:r>
        <w:t xml:space="preserve">(Brown &amp; Hewstone, 2005; Kenworthy, Turner, Hewstone, &amp; Voci, 2005)</w:t>
      </w:r>
    </w:p>
    <w:p>
      <w:pPr>
        <w:numPr>
          <w:numId w:val="1002"/>
          <w:ilvl w:val="1"/>
        </w:numPr>
      </w:pPr>
      <w:r>
        <w:rPr>
          <w:b/>
        </w:rPr>
        <w:t xml:space="preserve">Contact should focus on the combination between forming a personal connection and maintaining group salience and representation</w:t>
      </w:r>
      <w:r>
        <w:t xml:space="preserve">.</w:t>
      </w:r>
    </w:p>
    <w:p>
      <w:pPr>
        <w:numPr>
          <w:numId w:val="1002"/>
          <w:ilvl w:val="1"/>
        </w:numPr>
      </w:pPr>
      <w:r>
        <w:t xml:space="preserve">anxiety and other emotions play an important role.</w:t>
      </w:r>
    </w:p>
    <w:p>
      <w:pPr>
        <w:numPr>
          <w:numId w:val="1002"/>
          <w:ilvl w:val="1"/>
        </w:numPr>
      </w:pPr>
      <w:r>
        <w:t xml:space="preserve">Long-term effects, meta-analytics</w:t>
      </w:r>
      <w:r>
        <w:t xml:space="preserve"> </w:t>
      </w:r>
      <w:r>
        <w:t xml:space="preserve">(Pettigrew &amp; Tropp, 2006)</w:t>
      </w:r>
    </w:p>
    <w:p>
      <w:pPr>
        <w:numPr>
          <w:numId w:val="1002"/>
          <w:ilvl w:val="1"/>
        </w:numPr>
      </w:pPr>
      <w:r>
        <w:t xml:space="preserve">Different types of contact (Direct/indirect, structured/unstructured, extended/vicarious..?).</w:t>
      </w:r>
    </w:p>
    <w:p>
      <w:pPr>
        <w:numPr>
          <w:numId w:val="1000"/>
          <w:ilvl w:val="0"/>
        </w:numPr>
      </w:pPr>
      <w:r>
        <w:t xml:space="preserve">(Amichai-Hamburger, Hasler, &amp; Shani-Sherman, 2015; Vezzali, Hewstone, Capozza, Giovannini, &amp; Wölfer, 2014)</w:t>
      </w:r>
    </w:p>
    <w:p>
      <w:pPr>
        <w:pStyle w:val="Heading2"/>
      </w:pPr>
      <w:bookmarkStart w:id="22" w:name="robotic-telepresence"/>
      <w:r>
        <w:t xml:space="preserve">Robotic telepresence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History and current uses of robotic telepresence</w:t>
      </w:r>
      <w:r>
        <w:t xml:space="preserve"> </w:t>
      </w:r>
      <w:r>
        <w:t xml:space="preserve">(Tsui, Desai, Yanco, &amp; Uhlik, 2011)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Social robots: health, education, day-to-day communication</w:t>
      </w:r>
    </w:p>
    <w:p>
      <w:pPr>
        <w:pStyle w:val="Compact"/>
        <w:numPr>
          <w:numId w:val="1004"/>
          <w:ilvl w:val="1"/>
        </w:numPr>
      </w:pPr>
      <w:r>
        <w:t xml:space="preserve">Industry robots: surgical, factory.</w:t>
      </w:r>
    </w:p>
    <w:p>
      <w:pPr>
        <w:pStyle w:val="Compact"/>
        <w:numPr>
          <w:numId w:val="1004"/>
          <w:ilvl w:val="1"/>
        </w:numPr>
      </w:pPr>
      <w:r>
        <w:t xml:space="preserve">Examples from Japan and my MA.</w:t>
      </w:r>
    </w:p>
    <w:p>
      <w:pPr>
        <w:pStyle w:val="Compact"/>
        <w:numPr>
          <w:numId w:val="1003"/>
          <w:ilvl w:val="0"/>
        </w:numPr>
      </w:pPr>
      <w:r>
        <w:t xml:space="preserve">Terminology and the asymmetry of telepresence</w:t>
      </w:r>
      <w:r>
        <w:t xml:space="preserve"> </w:t>
      </w:r>
      <w:r>
        <w:t xml:space="preserve">Telepresence communication is by nature asymmetrical, in a sense that the experience of signal transmission is very different than that of reception. Transmission is mediated through a control interface but reception immediate in a shared physical space. Terminology:</w:t>
      </w:r>
    </w:p>
    <w:p>
      <w:pPr>
        <w:pStyle w:val="Compact"/>
        <w:numPr>
          <w:numId w:val="1005"/>
          <w:ilvl w:val="1"/>
        </w:numPr>
      </w:pPr>
      <w:r>
        <w:t xml:space="preserve">Controller: controller of the robot.</w:t>
      </w:r>
    </w:p>
    <w:p>
      <w:pPr>
        <w:pStyle w:val="Compact"/>
        <w:numPr>
          <w:numId w:val="1005"/>
          <w:ilvl w:val="1"/>
        </w:numPr>
      </w:pPr>
      <w:r>
        <w:t xml:space="preserve">Interlocutor: Person interacting with the robot.</w:t>
      </w:r>
    </w:p>
    <w:p>
      <w:pPr>
        <w:pStyle w:val="Compact"/>
        <w:numPr>
          <w:numId w:val="1003"/>
          <w:ilvl w:val="0"/>
        </w:numPr>
      </w:pPr>
      <w:r>
        <w:t xml:space="preserve">About the senses of presence, agency, and ownership.</w:t>
      </w:r>
    </w:p>
    <w:p>
      <w:pPr>
        <w:pStyle w:val="Compact"/>
        <w:numPr>
          <w:numId w:val="1006"/>
          <w:ilvl w:val="1"/>
        </w:numPr>
      </w:pPr>
      <w:r>
        <w:t xml:space="preserve">From my MA</w:t>
      </w:r>
    </w:p>
    <w:p>
      <w:pPr>
        <w:pStyle w:val="Compact"/>
        <w:numPr>
          <w:numId w:val="1003"/>
          <w:ilvl w:val="0"/>
        </w:numPr>
      </w:pPr>
      <w:r>
        <w:t xml:space="preserve">About intercorporeality</w:t>
      </w:r>
    </w:p>
    <w:p>
      <w:pPr>
        <w:pStyle w:val="Compact"/>
        <w:numPr>
          <w:numId w:val="1007"/>
          <w:ilvl w:val="1"/>
        </w:numPr>
      </w:pPr>
      <w:r>
        <w:t xml:space="preserve">From my MA</w:t>
      </w:r>
    </w:p>
    <w:p>
      <w:pPr>
        <w:pStyle w:val="Heading1"/>
      </w:pPr>
      <w:bookmarkStart w:id="23" w:name="X165cac143ae49a29fa4b7127e530539d33ed3d7"/>
      <w:r>
        <w:t xml:space="preserve">Robotic telepresence as a medium for contact</w:t>
      </w:r>
      <w:bookmarkEnd w:id="23"/>
    </w:p>
    <w:p>
      <w:pPr>
        <w:pStyle w:val="Heading2"/>
      </w:pPr>
      <w:bookmarkStart w:id="24" w:name="mediatization-of-politics"/>
      <w:r>
        <w:t xml:space="preserve">Mediatization of politics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Mediatization of the lifeworld changes the nature of politics and political discussion</w:t>
      </w:r>
      <w:r>
        <w:t xml:space="preserve"> </w:t>
      </w:r>
      <w:r>
        <w:t xml:space="preserve">(Hepp &amp; Krotz, 2014; Thimm, Dang-Anh, &amp; Einspänner, 2014)</w:t>
      </w:r>
    </w:p>
    <w:p>
      <w:pPr>
        <w:pStyle w:val="Heading2"/>
      </w:pPr>
      <w:bookmarkStart w:id="25" w:name="online-and-virtual-mediation"/>
      <w:r>
        <w:t xml:space="preserve">Online and virtual mediation</w:t>
      </w:r>
      <w:bookmarkEnd w:id="25"/>
    </w:p>
    <w:p>
      <w:pPr>
        <w:numPr>
          <w:numId w:val="1009"/>
          <w:ilvl w:val="0"/>
        </w:numPr>
      </w:pPr>
      <w:r>
        <w:t xml:space="preserve">Review of online and virtual contact attempts, advantages and disadvantages</w:t>
      </w:r>
      <w:r>
        <w:t xml:space="preserve"> </w:t>
      </w:r>
      <w:r>
        <w:t xml:space="preserve">(Amichai-Hamburger &amp; McKenna, 2006; Hasler &amp; Amichai-Hamburger, 2013, 2013; Ho &amp; McLeod, 2008; Postmes, Spears, Sakhel, &amp; de Groot, 2001; Robinson, 2007; Sassenberg, Boos, &amp; Rabung, 2005)</w:t>
      </w:r>
    </w:p>
    <w:p>
      <w:pPr>
        <w:numPr>
          <w:numId w:val="1009"/>
          <w:ilvl w:val="0"/>
        </w:numPr>
      </w:pPr>
      <w:r>
        <w:t xml:space="preserve">Mention immersive environments</w:t>
      </w:r>
    </w:p>
    <w:p>
      <w:pPr>
        <w:pStyle w:val="Heading2"/>
      </w:pPr>
      <w:bookmarkStart w:id="26" w:name="telepresence-as-a-midway"/>
      <w:r>
        <w:t xml:space="preserve">Telepresence as a midway</w:t>
      </w:r>
      <w:bookmarkEnd w:id="26"/>
    </w:p>
    <w:p>
      <w:pPr>
        <w:pStyle w:val="Compact"/>
        <w:numPr>
          <w:numId w:val="1010"/>
          <w:ilvl w:val="0"/>
        </w:numPr>
      </w:pPr>
      <w:r>
        <w:t xml:space="preserve">On the controller side, telepresence provides the benefits of online communication: accessibility, anonymity, re-embodiment, along with disadvantages regarding the dis-association of ownership.</w:t>
      </w:r>
    </w:p>
    <w:p>
      <w:pPr>
        <w:pStyle w:val="Compact"/>
        <w:numPr>
          <w:numId w:val="1010"/>
          <w:ilvl w:val="0"/>
        </w:numPr>
      </w:pPr>
      <w:r>
        <w:t xml:space="preserve">On the interlocutor side there are some of the benefits of face-to-face conversation, intercorporeality</w:t>
      </w:r>
    </w:p>
    <w:p>
      <w:pPr>
        <w:pStyle w:val="Heading1"/>
      </w:pPr>
      <w:bookmarkStart w:id="27" w:name="intergroup-power-relations"/>
      <w:r>
        <w:t xml:space="preserve">Intergroup power relations</w:t>
      </w:r>
      <w:bookmarkEnd w:id="27"/>
    </w:p>
    <w:p>
      <w:pPr>
        <w:pStyle w:val="Heading2"/>
      </w:pPr>
      <w:bookmarkStart w:id="28" w:name="strategies-of-status"/>
      <w:r>
        <w:t xml:space="preserve">Strategies of status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Does the contact situation need to:</w:t>
      </w:r>
    </w:p>
    <w:p>
      <w:pPr>
        <w:pStyle w:val="Compact"/>
        <w:numPr>
          <w:numId w:val="1012"/>
          <w:ilvl w:val="1"/>
        </w:numPr>
      </w:pPr>
      <w:r>
        <w:t xml:space="preserve">reflect existing power relations (to avoid subtyping)?</w:t>
      </w:r>
    </w:p>
    <w:p>
      <w:pPr>
        <w:pStyle w:val="Compact"/>
        <w:numPr>
          <w:numId w:val="1012"/>
          <w:ilvl w:val="1"/>
        </w:numPr>
      </w:pPr>
      <w:r>
        <w:t xml:space="preserve">‘</w:t>
      </w:r>
      <w:r>
        <w:t xml:space="preserve">normalize</w:t>
      </w:r>
      <w:r>
        <w:t xml:space="preserve">’</w:t>
      </w:r>
      <w:r>
        <w:t xml:space="preserve"> </w:t>
      </w:r>
      <w:r>
        <w:t xml:space="preserve">them, to increase friendship and reduce anxiety?</w:t>
      </w:r>
    </w:p>
    <w:p>
      <w:pPr>
        <w:pStyle w:val="Compact"/>
        <w:numPr>
          <w:numId w:val="1012"/>
          <w:ilvl w:val="1"/>
        </w:numPr>
      </w:pPr>
      <w:r>
        <w:t xml:space="preserve">reverse the power relations for empowerment and empathy?</w:t>
      </w:r>
    </w:p>
    <w:p>
      <w:pPr>
        <w:pStyle w:val="FirstParagraph"/>
      </w:pPr>
      <w:r>
        <w:t xml:space="preserve">(Maoz, 2011; @ Shnabel &amp; Nadler, 2008; Saguy, Tropp, &amp; Hawi, 2013)</w:t>
      </w:r>
    </w:p>
    <w:p>
      <w:pPr>
        <w:pStyle w:val="Heading2"/>
      </w:pPr>
      <w:bookmarkStart w:id="29" w:name="X677e1b1e165ceb6f8d388dbf4a36ee36527bb54"/>
      <w:r>
        <w:t xml:space="preserve">Different conformations of telepresence contact:</w:t>
      </w:r>
      <w:bookmarkEnd w:id="29"/>
    </w:p>
    <w:p>
      <w:pPr>
        <w:pStyle w:val="SourceCode"/>
      </w:pPr>
      <w:r>
        <w:rPr>
          <w:rStyle w:val="VerbatimChar"/>
        </w:rPr>
        <w:t xml:space="preserve">* Person &lt;-&gt; Robot &lt;-&gt; Robot &lt;-&gt; Person</w:t>
      </w:r>
      <w:r>
        <w:br/>
      </w:r>
      <w:r>
        <w:rPr>
          <w:rStyle w:val="VerbatimChar"/>
        </w:rPr>
        <w:t xml:space="preserve">* Person -&gt; Robot &lt;-&gt; Person</w:t>
      </w:r>
      <w:r>
        <w:br/>
      </w:r>
      <w:r>
        <w:rPr>
          <w:rStyle w:val="VerbatimChar"/>
        </w:rPr>
        <w:t xml:space="preserve">* Person, Person -&gt; Robot</w:t>
      </w:r>
      <w:r>
        <w:br/>
      </w:r>
      <w:r>
        <w:rPr>
          <w:rStyle w:val="VerbatimChar"/>
        </w:rPr>
        <w:t xml:space="preserve">* Person &lt;-&gt; Person with Robot.</w:t>
      </w:r>
    </w:p>
    <w:p>
      <w:pPr>
        <w:pStyle w:val="Heading1"/>
      </w:pPr>
      <w:bookmarkStart w:id="30" w:name="X017f1fe5212504398be6aae53b1f515ab92df3f"/>
      <w:r>
        <w:t xml:space="preserve">Group salience: how to increase via telepresence robots?</w:t>
      </w:r>
      <w:bookmarkEnd w:id="30"/>
    </w:p>
    <w:p>
      <w:pPr>
        <w:pStyle w:val="Heading2"/>
      </w:pPr>
      <w:bookmarkStart w:id="31" w:name="group-markers-via-custom-robot-design."/>
      <w:r>
        <w:t xml:space="preserve">Group markers via custom robot design.</w:t>
      </w:r>
      <w:bookmarkEnd w:id="31"/>
    </w:p>
    <w:p>
      <w:pPr>
        <w:pStyle w:val="Compact"/>
        <w:numPr>
          <w:numId w:val="1013"/>
          <w:ilvl w:val="0"/>
        </w:numPr>
      </w:pPr>
      <w:r>
        <w:t xml:space="preserve">Include group-identifying markers in the robot design, or encourage group members to include them in their own custom design.</w:t>
      </w:r>
      <w:r>
        <w:t xml:space="preserve"> </w:t>
      </w:r>
      <w:r>
        <w:t xml:space="preserve">(Suguitan &amp; Hoffman, 2019)</w:t>
      </w:r>
    </w:p>
    <w:p>
      <w:pPr>
        <w:pStyle w:val="Heading2"/>
      </w:pPr>
      <w:bookmarkStart w:id="32" w:name="interaction-content"/>
      <w:r>
        <w:t xml:space="preserve">Interaction content</w:t>
      </w:r>
      <w:bookmarkEnd w:id="32"/>
    </w:p>
    <w:p>
      <w:pPr>
        <w:numPr>
          <w:numId w:val="1014"/>
          <w:ilvl w:val="0"/>
        </w:numPr>
      </w:pPr>
      <w:r>
        <w:t xml:space="preserve">Anonymity vs self-disclosure?</w:t>
      </w:r>
      <w:r>
        <w:t xml:space="preserve"> </w:t>
      </w:r>
      <w:r>
        <w:rPr>
          <w:i/>
        </w:rPr>
        <w:t xml:space="preserve">Is the real person behind the robot is perceived as a protoypical palestinian or not and what is revealed about the person</w:t>
      </w:r>
    </w:p>
    <w:p>
      <w:pPr>
        <w:numPr>
          <w:numId w:val="1014"/>
          <w:ilvl w:val="0"/>
        </w:numPr>
      </w:pPr>
      <w:r>
        <w:t xml:space="preserve">Encourage conflict related interaction?</w:t>
      </w:r>
    </w:p>
    <w:p>
      <w:pPr>
        <w:pStyle w:val="Heading1"/>
      </w:pPr>
      <w:bookmarkStart w:id="33" w:name="X3457425e715dcaeaa3c70db1efdfe6dde8fe055"/>
      <w:r>
        <w:t xml:space="preserve">Emotional and personal connection with telepresence robots.</w:t>
      </w:r>
      <w:bookmarkEnd w:id="33"/>
    </w:p>
    <w:p>
      <w:pPr>
        <w:pStyle w:val="Heading2"/>
      </w:pPr>
      <w:bookmarkStart w:id="34" w:name="Xbfacbdcc17e52306b949ce232c05442e9686057"/>
      <w:r>
        <w:t xml:space="preserve">On the controller side: Reduction of anxiety via anonymity and imagery</w:t>
      </w:r>
      <w:bookmarkEnd w:id="34"/>
    </w:p>
    <w:p>
      <w:pPr>
        <w:numPr>
          <w:numId w:val="1015"/>
          <w:ilvl w:val="0"/>
        </w:numPr>
      </w:pPr>
      <w:r>
        <w:t xml:space="preserve">Same from online interaction</w:t>
      </w:r>
      <w:r>
        <w:t xml:space="preserve"> </w:t>
      </w:r>
      <w:r>
        <w:t xml:space="preserve">(Hasler &amp; Amichai-Hamburger, 2013; Postmes et al., 2001; Sassenberg et al., 2005)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Addition of re-embodied avatar imagery</w:t>
      </w:r>
    </w:p>
    <w:p>
      <w:pPr>
        <w:numPr>
          <w:numId w:val="1015"/>
          <w:ilvl w:val="0"/>
        </w:numPr>
      </w:pPr>
      <w:r>
        <w:t xml:space="preserve">Therapeutic material engagement if you make your own avatar</w:t>
      </w:r>
      <w:r>
        <w:t xml:space="preserve"> </w:t>
      </w:r>
      <w:r>
        <w:t xml:space="preserve">(March, 2019; Sholt &amp; Gavron, 2006)</w:t>
      </w:r>
    </w:p>
    <w:p>
      <w:pPr>
        <w:numPr>
          <w:numId w:val="1015"/>
          <w:ilvl w:val="0"/>
        </w:numPr>
      </w:pPr>
      <w:r>
        <w:t xml:space="preserve">Bodily Expression</w:t>
      </w:r>
    </w:p>
    <w:p>
      <w:pPr>
        <w:pStyle w:val="Heading2"/>
      </w:pPr>
      <w:bookmarkStart w:id="35" w:name="Xb36303d180d3dc7e671b441bff53afaafa1e7f0"/>
      <w:r>
        <w:t xml:space="preserve">On the interlocutor side: Physical interaction and intimacy</w:t>
      </w:r>
      <w:bookmarkEnd w:id="35"/>
    </w:p>
    <w:p>
      <w:pPr>
        <w:numPr>
          <w:numId w:val="1016"/>
          <w:ilvl w:val="0"/>
        </w:numPr>
      </w:pPr>
      <w:r>
        <w:t xml:space="preserve">Touch and cognition</w:t>
      </w:r>
      <w:r>
        <w:t xml:space="preserve"> </w:t>
      </w:r>
      <w:r>
        <w:t xml:space="preserve">(Feldman, Rosenthal, &amp; Eidelman, 2014; Goodwin, 2017; Influs, Pratt, Masalha, Zagoory-Sharon, &amp; Feldman, 2018)</w:t>
      </w:r>
    </w:p>
    <w:p>
      <w:pPr>
        <w:numPr>
          <w:numId w:val="1016"/>
          <w:ilvl w:val="0"/>
        </w:numPr>
      </w:pPr>
      <w:r>
        <w:t xml:space="preserve">Uncanny valley and anxiety</w:t>
      </w:r>
      <w:r>
        <w:t xml:space="preserve"> </w:t>
      </w:r>
      <w:r>
        <w:t xml:space="preserve">(Mori, MacDorman, &amp; Kageki, 2012)</w:t>
      </w:r>
    </w:p>
    <w:p>
      <w:pPr>
        <w:pStyle w:val="Heading1"/>
      </w:pPr>
      <w:bookmarkStart w:id="36" w:name="design-considerations"/>
      <w:r>
        <w:t xml:space="preserve">Design considerations</w:t>
      </w:r>
      <w:bookmarkEnd w:id="36"/>
    </w:p>
    <w:p>
      <w:pPr>
        <w:pStyle w:val="Heading2"/>
      </w:pPr>
      <w:bookmarkStart w:id="37" w:name="appearance-human-vs-nonhuman"/>
      <w:r>
        <w:t xml:space="preserve">Appearance: Human vs nonhuman</w:t>
      </w:r>
      <w:bookmarkEnd w:id="37"/>
    </w:p>
    <w:p>
      <w:pPr>
        <w:pStyle w:val="Compact"/>
        <w:numPr>
          <w:numId w:val="1017"/>
          <w:ilvl w:val="0"/>
        </w:numPr>
      </w:pPr>
      <w:r>
        <w:t xml:space="preserve">More about the uncanny?</w:t>
      </w:r>
    </w:p>
    <w:p>
      <w:pPr>
        <w:pStyle w:val="Heading2"/>
      </w:pPr>
      <w:bookmarkStart w:id="38" w:name="materiality-and-movement"/>
      <w:r>
        <w:t xml:space="preserve">Materiality and movement</w:t>
      </w:r>
      <w:bookmarkEnd w:id="38"/>
    </w:p>
    <w:p>
      <w:pPr>
        <w:pStyle w:val="Compact"/>
        <w:numPr>
          <w:numId w:val="1018"/>
          <w:ilvl w:val="0"/>
        </w:numPr>
      </w:pPr>
      <w:r>
        <w:t xml:space="preserve">Importance of movement</w:t>
      </w:r>
      <w:r>
        <w:t xml:space="preserve"> </w:t>
      </w:r>
      <w:r>
        <w:t xml:space="preserve">(Hoffman &amp; Ju, 2014)</w:t>
      </w:r>
    </w:p>
    <w:p>
      <w:pPr>
        <w:pStyle w:val="Compact"/>
        <w:numPr>
          <w:numId w:val="1018"/>
          <w:ilvl w:val="0"/>
        </w:numPr>
      </w:pPr>
      <w:r>
        <w:t xml:space="preserve">Soft robotics</w:t>
      </w:r>
    </w:p>
    <w:p>
      <w:pPr>
        <w:pStyle w:val="Heading2"/>
      </w:pPr>
      <w:bookmarkStart w:id="39" w:name="the-importance-of-feedback"/>
      <w:r>
        <w:t xml:space="preserve">The importance of feedback</w:t>
      </w:r>
      <w:bookmarkEnd w:id="39"/>
    </w:p>
    <w:p>
      <w:pPr>
        <w:pStyle w:val="Compact"/>
        <w:numPr>
          <w:numId w:val="1019"/>
          <w:ilvl w:val="0"/>
        </w:numPr>
      </w:pPr>
      <w:r>
        <w:t xml:space="preserve">Audio and visual feedback for actions</w:t>
      </w:r>
      <w:r>
        <w:t xml:space="preserve"> </w:t>
      </w:r>
      <w:r>
        <w:t xml:space="preserve">(Caldwell, Wardle, &amp; Goodwin, 1994; Dolezal, 2009)</w:t>
      </w:r>
    </w:p>
    <w:p>
      <w:pPr>
        <w:pStyle w:val="Heading2"/>
      </w:pPr>
      <w:bookmarkStart w:id="40" w:name="autonomous-vs-controlled-functions"/>
      <w:r>
        <w:t xml:space="preserve">Autonomous vs controlled functions</w:t>
      </w:r>
      <w:bookmarkEnd w:id="40"/>
    </w:p>
    <w:p>
      <w:pPr>
        <w:pStyle w:val="SourceCode"/>
      </w:pPr>
      <w:r>
        <w:rPr>
          <w:rStyle w:val="VerbatimChar"/>
        </w:rPr>
        <w:t xml:space="preserve">* AI and Augmentation vs Expressiveness and intentionality</w:t>
      </w:r>
    </w:p>
    <w:p>
      <w:pPr>
        <w:pStyle w:val="Heading1"/>
      </w:pPr>
      <w:bookmarkStart w:id="41" w:name="real-world-conflict-considerations"/>
      <w:r>
        <w:t xml:space="preserve">Real-world conflict considerations</w:t>
      </w:r>
      <w:bookmarkEnd w:id="41"/>
    </w:p>
    <w:p>
      <w:pPr>
        <w:pStyle w:val="Heading2"/>
      </w:pPr>
      <w:bookmarkStart w:id="42" w:name="empowerment-via-education-in-robotics"/>
      <w:r>
        <w:t xml:space="preserve">Empowerment via education in robotics</w:t>
      </w:r>
      <w:bookmarkEnd w:id="42"/>
    </w:p>
    <w:p>
      <w:pPr>
        <w:pStyle w:val="Heading2"/>
      </w:pPr>
      <w:bookmarkStart w:id="43" w:name="legal-and-ethical-considerations"/>
      <w:r>
        <w:t xml:space="preserve">Legal and ethical considerations</w:t>
      </w:r>
      <w:bookmarkEnd w:id="43"/>
    </w:p>
    <w:p>
      <w:pPr>
        <w:pStyle w:val="Heading2"/>
      </w:pPr>
      <w:bookmarkStart w:id="44" w:name="israel-palestine-test-case"/>
      <w:r>
        <w:t xml:space="preserve">Israel-Palestine test case</w:t>
      </w:r>
      <w:bookmarkEnd w:id="44"/>
    </w:p>
    <w:p>
      <w:pPr>
        <w:pStyle w:val="Heading1"/>
      </w:pPr>
      <w:bookmarkStart w:id="45" w:name="conclusions"/>
      <w:r>
        <w:t xml:space="preserve">Conclusions</w:t>
      </w:r>
      <w:bookmarkEnd w:id="45"/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91" w:name="refs"/>
    <w:bookmarkStart w:id="48" w:name="X730ddaf236d3bfc11b6ef8f865f6f04bbc5f653"/>
    <w:p>
      <w:pPr>
        <w:pStyle w:val="Bibliography"/>
      </w:pPr>
      <w:r>
        <w:t xml:space="preserve">Amichai-Hamburger, Y., Hasler, B. S., &amp; Shani-Sherman, T. (2015). Structured and unstructured intergroup contact in the digital age.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 515–522.</w:t>
      </w:r>
      <w:r>
        <w:t xml:space="preserve"> </w:t>
      </w:r>
      <w:hyperlink r:id="rId47">
        <w:r>
          <w:rPr>
            <w:rStyle w:val="Hyperlink"/>
          </w:rPr>
          <w:t xml:space="preserve">https://doi.org/10.1016/j.chb.2015.02.022</w:t>
        </w:r>
      </w:hyperlink>
    </w:p>
    <w:bookmarkEnd w:id="48"/>
    <w:bookmarkStart w:id="50" w:name="X35e951ff65cbc3036fff95dc16929816bf93b24"/>
    <w:p>
      <w:pPr>
        <w:pStyle w:val="Bibliography"/>
      </w:pPr>
      <w:r>
        <w:t xml:space="preserve">Amichai-Hamburger, Y., &amp; McKenna, K. Y. A. (2006). The Contact Hypothesis Reconsidered: Interacting via the Internet.</w:t>
      </w:r>
      <w:r>
        <w:t xml:space="preserve"> </w:t>
      </w:r>
      <w:r>
        <w:rPr>
          <w:i/>
        </w:rPr>
        <w:t xml:space="preserve">Journal of Computer-Mediated Communication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(3), 825–843.</w:t>
      </w:r>
      <w:r>
        <w:t xml:space="preserve"> </w:t>
      </w:r>
      <w:hyperlink r:id="rId49">
        <w:r>
          <w:rPr>
            <w:rStyle w:val="Hyperlink"/>
          </w:rPr>
          <w:t xml:space="preserve">https://doi.org/10.1111/j.1083-6101.2006.00037.x</w:t>
        </w:r>
      </w:hyperlink>
    </w:p>
    <w:bookmarkEnd w:id="50"/>
    <w:bookmarkStart w:id="51" w:name="ref-brownIntegrativeTheoryIntergroup2005"/>
    <w:p>
      <w:pPr>
        <w:pStyle w:val="Bibliography"/>
      </w:pPr>
      <w:r>
        <w:t xml:space="preserve">Brown, R., &amp; Hewstone, M. (2005). An integrative theory of intergroup contact.</w:t>
      </w:r>
      <w:r>
        <w:t xml:space="preserve"> </w:t>
      </w:r>
      <w:r>
        <w:rPr>
          <w:i/>
        </w:rPr>
        <w:t xml:space="preserve">Advances in Experimental Social Psychology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(37), 255–343.</w:t>
      </w:r>
    </w:p>
    <w:bookmarkEnd w:id="51"/>
    <w:bookmarkStart w:id="52" w:name="ref-caldwellTelepresenceVisualAudio1994"/>
    <w:p>
      <w:pPr>
        <w:pStyle w:val="Bibliography"/>
      </w:pPr>
      <w:r>
        <w:t xml:space="preserve">Caldwell, D. G., Wardle, A., &amp; Goodwin, M. (1994). Tele-presence: Visual, audio and tactile feedback and control of a twin armed mobile robot.</w:t>
      </w:r>
      <w:r>
        <w:t xml:space="preserve"> </w:t>
      </w:r>
      <w:r>
        <w:rPr>
          <w:i/>
        </w:rPr>
        <w:t xml:space="preserve">Proceedings of the 1994 IEEE International Conference on Robotics and Automation</w:t>
      </w:r>
      <w:r>
        <w:t xml:space="preserve">, 244–249. IEEE.</w:t>
      </w:r>
    </w:p>
    <w:bookmarkEnd w:id="52"/>
    <w:bookmarkStart w:id="53" w:name="ref-dolezalRemoteBodyPhenomenology2009"/>
    <w:p>
      <w:pPr>
        <w:pStyle w:val="Bibliography"/>
      </w:pPr>
      <w:r>
        <w:t xml:space="preserve">Dolezal, L. (2009). The Remote Body: The Phenomenology of Telepresence and Re-Embodiment.</w:t>
      </w:r>
      <w:r>
        <w:t xml:space="preserve"> </w:t>
      </w:r>
      <w:r>
        <w:rPr>
          <w:i/>
        </w:rPr>
        <w:t xml:space="preserve">Human Technology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(November), 208–226.</w:t>
      </w:r>
    </w:p>
    <w:bookmarkEnd w:id="53"/>
    <w:bookmarkStart w:id="55" w:name="Xe89fd3dc6a7ff3f9e8eb5508ae95c529fbe34ef"/>
    <w:p>
      <w:pPr>
        <w:pStyle w:val="Bibliography"/>
      </w:pPr>
      <w:r>
        <w:t xml:space="preserve">Feldman, R., Rosenthal, Z., &amp; Eidelman, A. I. (2014). Maternal-Preterm Skin-to-Skin Contact Enhances Child Physiologic Organization and Cognitive Control Across the First 10 Years of Life.</w:t>
      </w:r>
      <w:r>
        <w:t xml:space="preserve"> </w:t>
      </w:r>
      <w:r>
        <w:rPr>
          <w:i/>
        </w:rPr>
        <w:t xml:space="preserve">Biological Psychiatry</w:t>
      </w:r>
      <w:r>
        <w:t xml:space="preserve">,</w:t>
      </w:r>
      <w:r>
        <w:t xml:space="preserve"> </w:t>
      </w:r>
      <w:r>
        <w:rPr>
          <w:i/>
        </w:rPr>
        <w:t xml:space="preserve">75</w:t>
      </w:r>
      <w:r>
        <w:t xml:space="preserve">(1), 56–64.</w:t>
      </w:r>
      <w:r>
        <w:t xml:space="preserve"> </w:t>
      </w:r>
      <w:hyperlink r:id="rId54">
        <w:r>
          <w:rPr>
            <w:rStyle w:val="Hyperlink"/>
          </w:rPr>
          <w:t xml:space="preserve">https://doi.org/10.1016/j.biopsych.2013.08.012</w:t>
        </w:r>
      </w:hyperlink>
    </w:p>
    <w:bookmarkEnd w:id="55"/>
    <w:bookmarkStart w:id="56" w:name="ref-goodwinHapticSociality2017"/>
    <w:p>
      <w:pPr>
        <w:pStyle w:val="Bibliography"/>
      </w:pPr>
      <w:r>
        <w:t xml:space="preserve">Goodwin, M. H. (2017). Haptic sociality.</w:t>
      </w:r>
      <w:r>
        <w:t xml:space="preserve"> </w:t>
      </w:r>
      <w:r>
        <w:rPr>
          <w:i/>
        </w:rPr>
        <w:t xml:space="preserve">Intercorporeality: Emerging Socialities in Interaction</w:t>
      </w:r>
      <w:r>
        <w:t xml:space="preserve">, 73–102.</w:t>
      </w:r>
    </w:p>
    <w:bookmarkEnd w:id="56"/>
    <w:bookmarkStart w:id="58" w:name="ref-haslerOnlineIntergroupContact2013"/>
    <w:p>
      <w:pPr>
        <w:pStyle w:val="Bibliography"/>
      </w:pPr>
      <w:r>
        <w:t xml:space="preserve">Hasler, B. S., &amp; Amichai-Hamburger, Y. (2013). Online Intergroup Contact. In Y. Amichai-Hamburger (Ed.),</w:t>
      </w:r>
      <w:r>
        <w:t xml:space="preserve"> </w:t>
      </w:r>
      <w:r>
        <w:rPr>
          <w:i/>
        </w:rPr>
        <w:t xml:space="preserve">The Social Net</w:t>
      </w:r>
      <w:r>
        <w:t xml:space="preserve"> </w:t>
      </w:r>
      <w:r>
        <w:t xml:space="preserve">(pp. 220–252).</w:t>
      </w:r>
      <w:r>
        <w:t xml:space="preserve"> </w:t>
      </w:r>
      <w:hyperlink r:id="rId57">
        <w:r>
          <w:rPr>
            <w:rStyle w:val="Hyperlink"/>
          </w:rPr>
          <w:t xml:space="preserve">https://doi.org/10.1093/acprof:oso/9780199639540.003.0012</w:t>
        </w:r>
      </w:hyperlink>
    </w:p>
    <w:bookmarkEnd w:id="58"/>
    <w:bookmarkStart w:id="59" w:name="X65338d1dc55b35457b37092b5200de332571a57"/>
    <w:p>
      <w:pPr>
        <w:pStyle w:val="Bibliography"/>
      </w:pPr>
      <w:r>
        <w:t xml:space="preserve">Hepp, A., &amp; Krotz, F. (2014). Mediatized worldsUnderstanding everyday mediatization. In</w:t>
      </w:r>
      <w:r>
        <w:t xml:space="preserve"> </w:t>
      </w:r>
      <w:r>
        <w:rPr>
          <w:i/>
        </w:rPr>
        <w:t xml:space="preserve">Mediatized worlds</w:t>
      </w:r>
      <w:r>
        <w:t xml:space="preserve"> </w:t>
      </w:r>
      <w:r>
        <w:t xml:space="preserve">(pp. 1–15). Springer.</w:t>
      </w:r>
    </w:p>
    <w:bookmarkEnd w:id="59"/>
    <w:bookmarkStart w:id="60" w:name="ref-ho2008social"/>
    <w:p>
      <w:pPr>
        <w:pStyle w:val="Bibliography"/>
      </w:pPr>
      <w:r>
        <w:t xml:space="preserve">Ho, S. S., &amp; McLeod, D. M. (2008). Social-psychological influences on opinion expression in face-to-face and computer-mediated communication.</w:t>
      </w:r>
      <w:r>
        <w:t xml:space="preserve"> </w:t>
      </w:r>
      <w:r>
        <w:rPr>
          <w:i/>
        </w:rPr>
        <w:t xml:space="preserve">Communication Research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(2), 190–207.</w:t>
      </w:r>
    </w:p>
    <w:bookmarkEnd w:id="60"/>
    <w:bookmarkStart w:id="62" w:name="ref-hoffmanDesigningRobotsMovement2014"/>
    <w:p>
      <w:pPr>
        <w:pStyle w:val="Bibliography"/>
      </w:pPr>
      <w:r>
        <w:t xml:space="preserve">Hoffman, G., &amp; Ju, W. (2014). Designing Robots With Movement in Mind.</w:t>
      </w:r>
      <w:r>
        <w:t xml:space="preserve"> </w:t>
      </w:r>
      <w:r>
        <w:rPr>
          <w:i/>
        </w:rPr>
        <w:t xml:space="preserve">Journal of Human-Robot Interaction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89–122.</w:t>
      </w:r>
      <w:r>
        <w:t xml:space="preserve"> </w:t>
      </w:r>
      <w:hyperlink r:id="rId61">
        <w:r>
          <w:rPr>
            <w:rStyle w:val="Hyperlink"/>
          </w:rPr>
          <w:t xml:space="preserve">https://doi.org/10.5898/JHRI.3.1.Hoffman</w:t>
        </w:r>
      </w:hyperlink>
    </w:p>
    <w:bookmarkEnd w:id="62"/>
    <w:bookmarkStart w:id="64" w:name="ref-influsSocialNeuroscienceApproach2018"/>
    <w:p>
      <w:pPr>
        <w:pStyle w:val="Bibliography"/>
      </w:pPr>
      <w:r>
        <w:t xml:space="preserve">Influs, M., Pratt, M., Masalha, S., Zagoory-Sharon, O., &amp; Feldman, R. (2018). A social neuroscience approach to conflict resolution: Dialogue intervention to Israeli and Palestinian youth impacts oxytocin and empathy.</w:t>
      </w:r>
      <w:r>
        <w:t xml:space="preserve"> </w:t>
      </w:r>
      <w:r>
        <w:rPr>
          <w:i/>
        </w:rPr>
        <w:t xml:space="preserve">Social Neuroscience</w:t>
      </w:r>
      <w:r>
        <w:t xml:space="preserve">, 1–12.</w:t>
      </w:r>
      <w:r>
        <w:t xml:space="preserve"> </w:t>
      </w:r>
      <w:hyperlink r:id="rId63">
        <w:r>
          <w:rPr>
            <w:rStyle w:val="Hyperlink"/>
          </w:rPr>
          <w:t xml:space="preserve">https://doi.org/10.1080/17470919.2018.1479983</w:t>
        </w:r>
      </w:hyperlink>
    </w:p>
    <w:bookmarkEnd w:id="64"/>
    <w:bookmarkStart w:id="65" w:name="ref-kenworthyIntergroupContactWhen2005"/>
    <w:p>
      <w:pPr>
        <w:pStyle w:val="Bibliography"/>
      </w:pPr>
      <w:r>
        <w:t xml:space="preserve">Kenworthy, J. B., Turner, R. N., Hewstone, M., &amp; Voci, A. (2005). Intergroup contact: When does it work, and why.</w:t>
      </w:r>
      <w:r>
        <w:t xml:space="preserve"> </w:t>
      </w:r>
      <w:r>
        <w:rPr>
          <w:i/>
        </w:rPr>
        <w:t xml:space="preserve">On the Nature of Prejudice: Fifty Years After Allport</w:t>
      </w:r>
      <w:r>
        <w:t xml:space="preserve">, 278–292.</w:t>
      </w:r>
    </w:p>
    <w:bookmarkEnd w:id="65"/>
    <w:bookmarkStart w:id="67" w:name="ref-maozDoesContactWork2011"/>
    <w:p>
      <w:pPr>
        <w:pStyle w:val="Bibliography"/>
      </w:pPr>
      <w:r>
        <w:t xml:space="preserve">Maoz, I. (2011). Does contact work in protracted asymmetrical conflict? Appraising 20 years of reconciliation-aimed encounters between Israeli Jews and Palestinians.</w:t>
      </w:r>
      <w:r>
        <w:t xml:space="preserve"> </w:t>
      </w:r>
      <w:r>
        <w:rPr>
          <w:i/>
        </w:rPr>
        <w:t xml:space="preserve">Journal of Peace Research</w:t>
      </w:r>
      <w:r>
        <w:t xml:space="preserve">,</w:t>
      </w:r>
      <w:r>
        <w:t xml:space="preserve"> </w:t>
      </w:r>
      <w:r>
        <w:rPr>
          <w:i/>
        </w:rPr>
        <w:t xml:space="preserve">48</w:t>
      </w:r>
      <w:r>
        <w:t xml:space="preserve">(1), 115–125.</w:t>
      </w:r>
      <w:r>
        <w:t xml:space="preserve"> </w:t>
      </w:r>
      <w:hyperlink r:id="rId66">
        <w:r>
          <w:rPr>
            <w:rStyle w:val="Hyperlink"/>
          </w:rPr>
          <w:t xml:space="preserve">https://doi.org/10.1177/0022343310389506</w:t>
        </w:r>
      </w:hyperlink>
    </w:p>
    <w:bookmarkEnd w:id="67"/>
    <w:bookmarkStart w:id="69" w:name="ref-marchPlayingClayUncertainty2019"/>
    <w:p>
      <w:pPr>
        <w:pStyle w:val="Bibliography"/>
      </w:pPr>
      <w:r>
        <w:t xml:space="preserve">March, P. L. (2019). Playing with clay and the uncertainty of agency. A Material Engagement Theory perspective.</w:t>
      </w:r>
      <w:r>
        <w:t xml:space="preserve"> </w:t>
      </w:r>
      <w:r>
        <w:rPr>
          <w:i/>
        </w:rPr>
        <w:t xml:space="preserve">Phenomenology and the Cognitive Sciences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133–151.</w:t>
      </w:r>
      <w:r>
        <w:t xml:space="preserve"> </w:t>
      </w:r>
      <w:hyperlink r:id="rId68">
        <w:r>
          <w:rPr>
            <w:rStyle w:val="Hyperlink"/>
          </w:rPr>
          <w:t xml:space="preserve">https://doi.org/10.1007/s11097-017-9552-9</w:t>
        </w:r>
      </w:hyperlink>
    </w:p>
    <w:bookmarkEnd w:id="69"/>
    <w:bookmarkStart w:id="71" w:name="ref-moriUncannyValleyField2012"/>
    <w:p>
      <w:pPr>
        <w:pStyle w:val="Bibliography"/>
      </w:pPr>
      <w:r>
        <w:t xml:space="preserve">Mori, M., MacDorman, K. F., &amp; Kageki, N. (2012). The Uncanny Valley [From the Field].</w:t>
      </w:r>
      <w:r>
        <w:t xml:space="preserve"> </w:t>
      </w:r>
      <w:r>
        <w:rPr>
          <w:i/>
        </w:rPr>
        <w:t xml:space="preserve">IEEE Robotics Automation Magazine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(2), 98–100.</w:t>
      </w:r>
      <w:r>
        <w:t xml:space="preserve"> </w:t>
      </w:r>
      <w:hyperlink r:id="rId70">
        <w:r>
          <w:rPr>
            <w:rStyle w:val="Hyperlink"/>
          </w:rPr>
          <w:t xml:space="preserve">https://doi.org/10.1109/MRA.2012.2192811</w:t>
        </w:r>
      </w:hyperlink>
    </w:p>
    <w:bookmarkEnd w:id="71"/>
    <w:bookmarkStart w:id="72" w:name="X7b876f4960b59382c849fec3e2f3b8840e847a9"/>
    <w:p>
      <w:pPr>
        <w:pStyle w:val="Bibliography"/>
      </w:pPr>
      <w:r>
        <w:t xml:space="preserve">Pettigrew, T. F., &amp; Tropp, L. R. (2005). Allport’s intergroup contact hypothesis: Its history and influence.</w:t>
      </w:r>
      <w:r>
        <w:t xml:space="preserve"> </w:t>
      </w:r>
      <w:r>
        <w:rPr>
          <w:i/>
        </w:rPr>
        <w:t xml:space="preserve">On the Nature of Prejudice: Fifty Years After Allport</w:t>
      </w:r>
      <w:r>
        <w:t xml:space="preserve">, 262–277.</w:t>
      </w:r>
    </w:p>
    <w:bookmarkEnd w:id="72"/>
    <w:bookmarkStart w:id="74" w:name="Xce134c078b41a115ce67270de668a94cf90c969"/>
    <w:p>
      <w:pPr>
        <w:pStyle w:val="Bibliography"/>
      </w:pPr>
      <w:r>
        <w:t xml:space="preserve">Pettigrew, T. F., &amp; Tropp, L. R. (2006). A meta-analytic test of intergroup contact theory.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90</w:t>
      </w:r>
      <w:r>
        <w:t xml:space="preserve">(5), 751–783.</w:t>
      </w:r>
      <w:r>
        <w:t xml:space="preserve"> </w:t>
      </w:r>
      <w:hyperlink r:id="rId73">
        <w:r>
          <w:rPr>
            <w:rStyle w:val="Hyperlink"/>
          </w:rPr>
          <w:t xml:space="preserve">https://doi.org/10.1037/0022-3514.90.5.751</w:t>
        </w:r>
      </w:hyperlink>
    </w:p>
    <w:bookmarkEnd w:id="74"/>
    <w:bookmarkStart w:id="76" w:name="X70b3558ad5bec2467165a52565b3194d49d7dc8"/>
    <w:p>
      <w:pPr>
        <w:pStyle w:val="Bibliography"/>
      </w:pPr>
      <w:r>
        <w:t xml:space="preserve">Postmes, T., Spears, R., Sakhel, K., &amp; de Groot, D. (2001). Social Influence in Computer-Mediated Communication: The Effects of Anonymity on Group Behavior.</w:t>
      </w:r>
      <w:r>
        <w:t xml:space="preserve"> </w:t>
      </w:r>
      <w:r>
        <w:rPr>
          <w:i/>
        </w:rPr>
        <w:t xml:space="preserve">Personality and Social Psychology Bulletin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(10), 1243–1254.</w:t>
      </w:r>
      <w:r>
        <w:t xml:space="preserve"> </w:t>
      </w:r>
      <w:hyperlink r:id="rId75">
        <w:r>
          <w:rPr>
            <w:rStyle w:val="Hyperlink"/>
          </w:rPr>
          <w:t xml:space="preserve">https://doi.org/10.1177/01461672012710001</w:t>
        </w:r>
      </w:hyperlink>
    </w:p>
    <w:bookmarkEnd w:id="76"/>
    <w:bookmarkStart w:id="78" w:name="ref-robinsonCyberselfSelfingProject2007"/>
    <w:p>
      <w:pPr>
        <w:pStyle w:val="Bibliography"/>
      </w:pPr>
      <w:r>
        <w:t xml:space="preserve">Robinson, L. (2007). The cyberself: The self-ing project goes online, symbolic interaction in the digital age.</w:t>
      </w:r>
      <w:r>
        <w:t xml:space="preserve"> </w:t>
      </w:r>
      <w:r>
        <w:rPr>
          <w:i/>
        </w:rPr>
        <w:t xml:space="preserve">New Media &amp; Society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(1), 93–110.</w:t>
      </w:r>
      <w:r>
        <w:t xml:space="preserve"> </w:t>
      </w:r>
      <w:hyperlink r:id="rId77">
        <w:r>
          <w:rPr>
            <w:rStyle w:val="Hyperlink"/>
          </w:rPr>
          <w:t xml:space="preserve">https://doi.org/10.1177/1461444807072216</w:t>
        </w:r>
      </w:hyperlink>
    </w:p>
    <w:bookmarkEnd w:id="78"/>
    <w:bookmarkStart w:id="79" w:name="ref-saguyRoleGroupPower2013"/>
    <w:p>
      <w:pPr>
        <w:pStyle w:val="Bibliography"/>
      </w:pPr>
      <w:r>
        <w:t xml:space="preserve">Saguy, T., Tropp, L. R., &amp; Hawi, D. (2013). The role of group power in intergroup contact. In</w:t>
      </w:r>
      <w:r>
        <w:t xml:space="preserve"> </w:t>
      </w:r>
      <w:r>
        <w:rPr>
          <w:i/>
        </w:rPr>
        <w:t xml:space="preserve">Advances in intergroup contact</w:t>
      </w:r>
      <w:r>
        <w:t xml:space="preserve"> </w:t>
      </w:r>
      <w:r>
        <w:t xml:space="preserve">(pp. 113–131). New York, NY, US: Psychology Press.</w:t>
      </w:r>
    </w:p>
    <w:bookmarkEnd w:id="79"/>
    <w:bookmarkStart w:id="80" w:name="ref-sassenberg2005attitude"/>
    <w:p>
      <w:pPr>
        <w:pStyle w:val="Bibliography"/>
      </w:pPr>
      <w:r>
        <w:t xml:space="preserve">Sassenberg, K., Boos, M., &amp; Rabung, S. (2005). Attitude change in face-to-face and computer-mediated communication: Private self-awareness as mediator and moderator.</w:t>
      </w:r>
      <w:r>
        <w:t xml:space="preserve"> </w:t>
      </w:r>
      <w:r>
        <w:rPr>
          <w:i/>
        </w:rPr>
        <w:t xml:space="preserve">European Journal of Social Psychology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(3), 361–374.</w:t>
      </w:r>
    </w:p>
    <w:bookmarkEnd w:id="80"/>
    <w:bookmarkStart w:id="82" w:name="Xb41e508f81607070bed09e7bedc520567c5ee55"/>
    <w:p>
      <w:pPr>
        <w:pStyle w:val="Bibliography"/>
      </w:pPr>
      <w:r>
        <w:t xml:space="preserve">Shnabel, N., &amp; Nadler, A. (2008). A needs-based model of reconciliation: Satisfying the differential emotional needs of victim and perpetrator as a key to promoting reconciliation.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(1), 116–132.</w:t>
      </w:r>
      <w:r>
        <w:t xml:space="preserve"> </w:t>
      </w:r>
      <w:hyperlink r:id="rId81">
        <w:r>
          <w:rPr>
            <w:rStyle w:val="Hyperlink"/>
          </w:rPr>
          <w:t xml:space="preserve">https://doi.org/10.1037/0022-3514.94.1.116</w:t>
        </w:r>
      </w:hyperlink>
    </w:p>
    <w:bookmarkEnd w:id="82"/>
    <w:bookmarkStart w:id="84" w:name="Xee8420943076e862b13d89ac7aaee9238b439eb"/>
    <w:p>
      <w:pPr>
        <w:pStyle w:val="Bibliography"/>
      </w:pPr>
      <w:r>
        <w:t xml:space="preserve">Sholt, M., &amp; Gavron, T. (2006). Therapeutic Qualities of Clay-work in Art Therapy and Psychotherapy: A Review.</w:t>
      </w:r>
      <w:r>
        <w:t xml:space="preserve"> </w:t>
      </w:r>
      <w:r>
        <w:rPr>
          <w:i/>
        </w:rPr>
        <w:t xml:space="preserve">Art Therapy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(2), 66–72.</w:t>
      </w:r>
      <w:r>
        <w:t xml:space="preserve"> </w:t>
      </w:r>
      <w:hyperlink r:id="rId83">
        <w:r>
          <w:rPr>
            <w:rStyle w:val="Hyperlink"/>
          </w:rPr>
          <w:t xml:space="preserve">https://doi.org/10.1080/07421656.2006.10129647</w:t>
        </w:r>
      </w:hyperlink>
    </w:p>
    <w:bookmarkEnd w:id="84"/>
    <w:bookmarkStart w:id="86" w:name="Xee37df5462b6378d28bb4cfd8782bcd4811d8fc"/>
    <w:p>
      <w:pPr>
        <w:pStyle w:val="Bibliography"/>
      </w:pPr>
      <w:r>
        <w:t xml:space="preserve">Suguitan, M., &amp; Hoffman, G. (2019). Blossom: A Handcrafted Open-Source Robot.</w:t>
      </w:r>
      <w:r>
        <w:t xml:space="preserve"> </w:t>
      </w:r>
      <w:r>
        <w:rPr>
          <w:i/>
        </w:rPr>
        <w:t xml:space="preserve">ACM Transactions on Human-Robot Interaction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(1), 1–27.</w:t>
      </w:r>
      <w:r>
        <w:t xml:space="preserve"> </w:t>
      </w:r>
      <w:hyperlink r:id="rId85">
        <w:r>
          <w:rPr>
            <w:rStyle w:val="Hyperlink"/>
          </w:rPr>
          <w:t xml:space="preserve">https://doi.org/10.1145/3310356</w:t>
        </w:r>
      </w:hyperlink>
    </w:p>
    <w:bookmarkEnd w:id="86"/>
    <w:bookmarkStart w:id="87" w:name="X139861586273f5a741c9d40dd21996916f9fa2c"/>
    <w:p>
      <w:pPr>
        <w:pStyle w:val="Bibliography"/>
      </w:pPr>
      <w:r>
        <w:t xml:space="preserve">Thimm, C., Dang-Anh, M., &amp; Einspänner, J. (2014). Mediatized politicsStructures and strategies of discursive participation and online deliberation on Twitter. In</w:t>
      </w:r>
      <w:r>
        <w:t xml:space="preserve"> </w:t>
      </w:r>
      <w:r>
        <w:rPr>
          <w:i/>
        </w:rPr>
        <w:t xml:space="preserve">Mediatized worlds</w:t>
      </w:r>
      <w:r>
        <w:t xml:space="preserve"> </w:t>
      </w:r>
      <w:r>
        <w:t xml:space="preserve">(pp. 253–270). Springer.</w:t>
      </w:r>
    </w:p>
    <w:bookmarkEnd w:id="87"/>
    <w:bookmarkStart w:id="88" w:name="ref-tsuiExploringUseCases2011"/>
    <w:p>
      <w:pPr>
        <w:pStyle w:val="Bibliography"/>
      </w:pPr>
      <w:r>
        <w:t xml:space="preserve">Tsui, K. M., Desai, M., Yanco, H. A., &amp; Uhlik, C. (2011). Exploring use cases for telepresence robots.</w:t>
      </w:r>
      <w:r>
        <w:t xml:space="preserve"> </w:t>
      </w:r>
      <w:r>
        <w:rPr>
          <w:i/>
        </w:rPr>
        <w:t xml:space="preserve">2011 6th ACM/IEEE International Conference on Human-Robot Interaction (HRI)</w:t>
      </w:r>
      <w:r>
        <w:t xml:space="preserve">, 11–18. IEEE.</w:t>
      </w:r>
    </w:p>
    <w:bookmarkEnd w:id="88"/>
    <w:bookmarkStart w:id="90" w:name="X75deac486c35ddec32fa84114ea5d45ceff4ee6"/>
    <w:p>
      <w:pPr>
        <w:pStyle w:val="Bibliography"/>
      </w:pPr>
      <w:r>
        <w:t xml:space="preserve">Vezzali, L., Hewstone, M., Capozza, D., Giovannini, D., &amp; Wölfer, R. (2014). Improving intergroup relations with extended and vicarious forms of indirect contact.</w:t>
      </w:r>
      <w:r>
        <w:t xml:space="preserve"> </w:t>
      </w:r>
      <w:r>
        <w:rPr>
          <w:i/>
        </w:rPr>
        <w:t xml:space="preserve">European Review of Social Psychology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(1), 314–389.</w:t>
      </w:r>
      <w:r>
        <w:t xml:space="preserve"> </w:t>
      </w:r>
      <w:hyperlink r:id="rId89">
        <w:r>
          <w:rPr>
            <w:rStyle w:val="Hyperlink"/>
          </w:rPr>
          <w:t xml:space="preserve">https://doi.org/10.1080/10463283.2014.982948</w:t>
        </w:r>
      </w:hyperlink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doi.org/10.1007/s11097-017-9552-9" TargetMode="External" /><Relationship Type="http://schemas.openxmlformats.org/officeDocument/2006/relationships/hyperlink" Id="rId54" Target="https://doi.org/10.1016/j.biopsych.2013.08.012" TargetMode="External" /><Relationship Type="http://schemas.openxmlformats.org/officeDocument/2006/relationships/hyperlink" Id="rId47" Target="https://doi.org/10.1016/j.chb.2015.02.022" TargetMode="External" /><Relationship Type="http://schemas.openxmlformats.org/officeDocument/2006/relationships/hyperlink" Id="rId73" Target="https://doi.org/10.1037/0022-3514.90.5.751" TargetMode="External" /><Relationship Type="http://schemas.openxmlformats.org/officeDocument/2006/relationships/hyperlink" Id="rId81" Target="https://doi.org/10.1037/0022-3514.94.1.116" TargetMode="External" /><Relationship Type="http://schemas.openxmlformats.org/officeDocument/2006/relationships/hyperlink" Id="rId83" Target="https://doi.org/10.1080/07421656.2006.10129647" TargetMode="External" /><Relationship Type="http://schemas.openxmlformats.org/officeDocument/2006/relationships/hyperlink" Id="rId89" Target="https://doi.org/10.1080/10463283.2014.982948" TargetMode="External" /><Relationship Type="http://schemas.openxmlformats.org/officeDocument/2006/relationships/hyperlink" Id="rId63" Target="https://doi.org/10.1080/17470919.2018.1479983" TargetMode="External" /><Relationship Type="http://schemas.openxmlformats.org/officeDocument/2006/relationships/hyperlink" Id="rId57" Target="https://doi.org/10.1093/acprof:oso/9780199639540.003.0012" TargetMode="External" /><Relationship Type="http://schemas.openxmlformats.org/officeDocument/2006/relationships/hyperlink" Id="rId70" Target="https://doi.org/10.1109/MRA.2012.2192811" TargetMode="External" /><Relationship Type="http://schemas.openxmlformats.org/officeDocument/2006/relationships/hyperlink" Id="rId49" Target="https://doi.org/10.1111/j.1083-6101.2006.00037.x" TargetMode="External" /><Relationship Type="http://schemas.openxmlformats.org/officeDocument/2006/relationships/hyperlink" Id="rId85" Target="https://doi.org/10.1145/3310356" TargetMode="External" /><Relationship Type="http://schemas.openxmlformats.org/officeDocument/2006/relationships/hyperlink" Id="rId66" Target="https://doi.org/10.1177/0022343310389506" TargetMode="External" /><Relationship Type="http://schemas.openxmlformats.org/officeDocument/2006/relationships/hyperlink" Id="rId75" Target="https://doi.org/10.1177/01461672012710001" TargetMode="External" /><Relationship Type="http://schemas.openxmlformats.org/officeDocument/2006/relationships/hyperlink" Id="rId77" Target="https://doi.org/10.1177/1461444807072216" TargetMode="External" /><Relationship Type="http://schemas.openxmlformats.org/officeDocument/2006/relationships/hyperlink" Id="rId61" Target="https://doi.org/10.5898/JHRI.3.1.Hoffm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s://doi.org/10.1007/s11097-017-9552-9" TargetMode="External" /><Relationship Type="http://schemas.openxmlformats.org/officeDocument/2006/relationships/hyperlink" Id="rId54" Target="https://doi.org/10.1016/j.biopsych.2013.08.012" TargetMode="External" /><Relationship Type="http://schemas.openxmlformats.org/officeDocument/2006/relationships/hyperlink" Id="rId47" Target="https://doi.org/10.1016/j.chb.2015.02.022" TargetMode="External" /><Relationship Type="http://schemas.openxmlformats.org/officeDocument/2006/relationships/hyperlink" Id="rId73" Target="https://doi.org/10.1037/0022-3514.90.5.751" TargetMode="External" /><Relationship Type="http://schemas.openxmlformats.org/officeDocument/2006/relationships/hyperlink" Id="rId81" Target="https://doi.org/10.1037/0022-3514.94.1.116" TargetMode="External" /><Relationship Type="http://schemas.openxmlformats.org/officeDocument/2006/relationships/hyperlink" Id="rId83" Target="https://doi.org/10.1080/07421656.2006.10129647" TargetMode="External" /><Relationship Type="http://schemas.openxmlformats.org/officeDocument/2006/relationships/hyperlink" Id="rId89" Target="https://doi.org/10.1080/10463283.2014.982948" TargetMode="External" /><Relationship Type="http://schemas.openxmlformats.org/officeDocument/2006/relationships/hyperlink" Id="rId63" Target="https://doi.org/10.1080/17470919.2018.1479983" TargetMode="External" /><Relationship Type="http://schemas.openxmlformats.org/officeDocument/2006/relationships/hyperlink" Id="rId57" Target="https://doi.org/10.1093/acprof:oso/9780199639540.003.0012" TargetMode="External" /><Relationship Type="http://schemas.openxmlformats.org/officeDocument/2006/relationships/hyperlink" Id="rId70" Target="https://doi.org/10.1109/MRA.2012.2192811" TargetMode="External" /><Relationship Type="http://schemas.openxmlformats.org/officeDocument/2006/relationships/hyperlink" Id="rId49" Target="https://doi.org/10.1111/j.1083-6101.2006.00037.x" TargetMode="External" /><Relationship Type="http://schemas.openxmlformats.org/officeDocument/2006/relationships/hyperlink" Id="rId85" Target="https://doi.org/10.1145/3310356" TargetMode="External" /><Relationship Type="http://schemas.openxmlformats.org/officeDocument/2006/relationships/hyperlink" Id="rId66" Target="https://doi.org/10.1177/0022343310389506" TargetMode="External" /><Relationship Type="http://schemas.openxmlformats.org/officeDocument/2006/relationships/hyperlink" Id="rId75" Target="https://doi.org/10.1177/01461672012710001" TargetMode="External" /><Relationship Type="http://schemas.openxmlformats.org/officeDocument/2006/relationships/hyperlink" Id="rId77" Target="https://doi.org/10.1177/1461444807072216" TargetMode="External" /><Relationship Type="http://schemas.openxmlformats.org/officeDocument/2006/relationships/hyperlink" Id="rId61" Target="https://doi.org/10.5898/JHRI.3.1.Hoff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Intergroup Contact via Robotic Telepresence</dc:title>
  <dc:creator>Avner Peled</dc:creator>
  <cp:keywords/>
  <dcterms:created xsi:type="dcterms:W3CDTF">2020-04-07T10:02:09Z</dcterms:created>
  <dcterms:modified xsi:type="dcterms:W3CDTF">2020-04-07T10:02:09Z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goes here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/home/avnerus/Projects/phd/aalto.bib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apa2.csl</vt:lpwstr>
  </property>
  <property fmtid="{D5CDD505-2E9C-101B-9397-08002B2CF9AE}" pid="16" name="date">
    <vt:lpwstr>04/2020</vt:lpwstr>
  </property>
  <property fmtid="{D5CDD505-2E9C-101B-9397-08002B2CF9AE}" pid="17" name="documentclass">
    <vt:lpwstr>article</vt:lpwstr>
  </property>
  <property fmtid="{D5CDD505-2E9C-101B-9397-08002B2CF9AE}" pid="18" name="eqn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