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53BB" w:rsidRPr="00D408C4" w:rsidRDefault="004553BB" w:rsidP="004553BB">
      <w:pPr>
        <w:pStyle w:val="AltHeaderTitleunnumbered"/>
      </w:pPr>
      <w:r w:rsidRPr="00D408C4">
        <w:t>OVERVIEW</w:t>
      </w:r>
    </w:p>
    <w:p w:rsidR="004553BB" w:rsidRPr="00EE4718" w:rsidRDefault="004553BB" w:rsidP="004553BB">
      <w:pPr>
        <w:rPr>
          <w:color w:val="595959" w:themeColor="text1" w:themeTint="A6"/>
        </w:rPr>
      </w:pPr>
    </w:p>
    <w:p w:rsidR="00EE4718" w:rsidRPr="00CA35EA" w:rsidRDefault="00EE4718" w:rsidP="00CA35EA">
      <w:pPr>
        <w:ind w:left="274" w:hanging="274"/>
        <w:rPr>
          <w:color w:val="595959" w:themeColor="text1" w:themeTint="A6"/>
        </w:rPr>
      </w:pPr>
      <w:r w:rsidRPr="00EE4718">
        <w:rPr>
          <w:color w:val="595959" w:themeColor="text1" w:themeTint="A6"/>
        </w:rPr>
        <w:t xml:space="preserve"> </w:t>
      </w:r>
      <w:r>
        <w:rPr>
          <w:color w:val="595959" w:themeColor="text1" w:themeTint="A6"/>
        </w:rPr>
        <w:t xml:space="preserve">This document describes </w:t>
      </w:r>
      <w:r w:rsidR="00CA35EA">
        <w:rPr>
          <w:color w:val="595959" w:themeColor="text1" w:themeTint="A6"/>
        </w:rPr>
        <w:t xml:space="preserve">the </w:t>
      </w:r>
      <w:proofErr w:type="spellStart"/>
      <w:r w:rsidR="00CA35EA">
        <w:rPr>
          <w:color w:val="595959" w:themeColor="text1" w:themeTint="A6"/>
        </w:rPr>
        <w:t>Smartedge</w:t>
      </w:r>
      <w:proofErr w:type="spellEnd"/>
      <w:r w:rsidR="00CA35EA">
        <w:rPr>
          <w:color w:val="595959" w:themeColor="text1" w:themeTint="A6"/>
        </w:rPr>
        <w:t xml:space="preserve"> IIOT Gateway Hardware.  This should be used in conjunction with the similar documentation available with each sensor or ioexpander.</w:t>
      </w:r>
      <w:bookmarkStart w:id="0" w:name="_GoBack"/>
      <w:bookmarkEnd w:id="0"/>
    </w:p>
    <w:p w:rsidR="00761B36" w:rsidRDefault="00761B36" w:rsidP="00761B36">
      <w:pPr>
        <w:pStyle w:val="Heading1"/>
        <w:rPr>
          <w:b/>
          <w:sz w:val="36"/>
          <w:szCs w:val="36"/>
        </w:rPr>
      </w:pPr>
      <w:r>
        <w:rPr>
          <w:b/>
          <w:sz w:val="36"/>
          <w:szCs w:val="36"/>
        </w:rPr>
        <w:t>Smartedge-iiot-gateway Hardware Reference</w:t>
      </w:r>
    </w:p>
    <w:p w:rsidR="00761B36" w:rsidRDefault="00761B36" w:rsidP="00761B36">
      <w:pPr>
        <w:rPr>
          <w:color w:val="0D0D0D" w:themeColor="text1" w:themeTint="F2"/>
        </w:rPr>
      </w:pPr>
    </w:p>
    <w:p w:rsidR="00761B36" w:rsidRDefault="00761B36" w:rsidP="00761B36">
      <w:pPr>
        <w:rPr>
          <w:color w:val="0D0D0D" w:themeColor="text1" w:themeTint="F2"/>
        </w:rPr>
      </w:pPr>
      <w:r>
        <w:rPr>
          <w:color w:val="0D0D0D" w:themeColor="text1" w:themeTint="F2"/>
        </w:rPr>
        <w:t>There are several native hardware interfaces supported by the gateway.  Optionally you may need an IO Expander to support the actual sensor used.  This section describes the gateway hardware.  Other additional reference material will be provided with each SDK model you select.</w:t>
      </w:r>
    </w:p>
    <w:p w:rsidR="00761B36" w:rsidRPr="00DB4C6F" w:rsidRDefault="00761B36" w:rsidP="009A526A">
      <w:pPr>
        <w:rPr>
          <w:color w:val="0D0D0D" w:themeColor="text1" w:themeTint="F2"/>
        </w:rPr>
      </w:pPr>
      <w:r>
        <w:rPr>
          <w:color w:val="0D0D0D" w:themeColor="text1" w:themeTint="F2"/>
        </w:rPr>
        <w:t xml:space="preserve">Here </w:t>
      </w:r>
      <w:r w:rsidR="00DB4C6F">
        <w:rPr>
          <w:color w:val="0D0D0D" w:themeColor="text1" w:themeTint="F2"/>
        </w:rPr>
        <w:t>is what you get out of the box.</w:t>
      </w:r>
    </w:p>
    <w:p w:rsidR="00761B36" w:rsidRDefault="00761B36" w:rsidP="009A526A">
      <w:pPr>
        <w:rPr>
          <w:lang w:val="en-US"/>
        </w:rPr>
      </w:pPr>
      <w:r>
        <w:rPr>
          <w:noProof/>
          <w:lang w:val="en-US"/>
        </w:rPr>
        <w:lastRenderedPageBreak/>
        <w:drawing>
          <wp:inline distT="0" distB="0" distL="0" distR="0" wp14:anchorId="16534F3D" wp14:editId="32688396">
            <wp:extent cx="4524375" cy="5943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4375" cy="5943600"/>
                    </a:xfrm>
                    <a:prstGeom prst="rect">
                      <a:avLst/>
                    </a:prstGeom>
                  </pic:spPr>
                </pic:pic>
              </a:graphicData>
            </a:graphic>
          </wp:inline>
        </w:drawing>
      </w:r>
    </w:p>
    <w:p w:rsidR="00DB4C6F" w:rsidRDefault="00DB4C6F" w:rsidP="009A526A">
      <w:pPr>
        <w:rPr>
          <w:lang w:val="en-US"/>
        </w:rPr>
      </w:pPr>
      <w:r w:rsidRPr="00D408C4">
        <w:rPr>
          <w:noProof/>
          <w:lang w:val="en-US"/>
        </w:rPr>
        <w:drawing>
          <wp:anchor distT="0" distB="0" distL="114300" distR="114300" simplePos="0" relativeHeight="251659264" behindDoc="0" locked="0" layoutInCell="1" allowOverlap="1" wp14:anchorId="46706B80" wp14:editId="61D8FA12">
            <wp:simplePos x="0" y="0"/>
            <wp:positionH relativeFrom="column">
              <wp:posOffset>0</wp:posOffset>
            </wp:positionH>
            <wp:positionV relativeFrom="paragraph">
              <wp:posOffset>276225</wp:posOffset>
            </wp:positionV>
            <wp:extent cx="2333625" cy="1753235"/>
            <wp:effectExtent l="1905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edge IoT Gateway-8.jpg"/>
                    <pic:cNvPicPr/>
                  </pic:nvPicPr>
                  <pic:blipFill>
                    <a:blip r:embed="rId8" cstate="print"/>
                    <a:stretch>
                      <a:fillRect/>
                    </a:stretch>
                  </pic:blipFill>
                  <pic:spPr>
                    <a:xfrm>
                      <a:off x="0" y="0"/>
                      <a:ext cx="2333625" cy="1753235"/>
                    </a:xfrm>
                    <a:prstGeom prst="rect">
                      <a:avLst/>
                    </a:prstGeom>
                  </pic:spPr>
                </pic:pic>
              </a:graphicData>
            </a:graphic>
          </wp:anchor>
        </w:drawing>
      </w:r>
    </w:p>
    <w:p w:rsidR="009A526A" w:rsidRDefault="009A526A" w:rsidP="009A526A">
      <w:pPr>
        <w:rPr>
          <w:lang w:val="en-US"/>
        </w:rPr>
      </w:pPr>
    </w:p>
    <w:p w:rsidR="00DB4C6F" w:rsidRDefault="00DB4C6F" w:rsidP="009A526A"/>
    <w:p w:rsidR="00DB4C6F" w:rsidRDefault="00DB4C6F" w:rsidP="009A526A"/>
    <w:p w:rsidR="00DB4C6F" w:rsidRDefault="00DB4C6F" w:rsidP="009A526A"/>
    <w:p w:rsidR="00DB4C6F" w:rsidRDefault="00DB4C6F" w:rsidP="009A526A"/>
    <w:p w:rsidR="00DB4C6F" w:rsidRDefault="00DB4C6F" w:rsidP="009A526A"/>
    <w:p w:rsidR="00DB4C6F" w:rsidRDefault="00DB4C6F" w:rsidP="009A526A"/>
    <w:p w:rsidR="00DB4C6F" w:rsidRDefault="00DB4C6F" w:rsidP="009A526A"/>
    <w:p w:rsidR="00761B36" w:rsidRDefault="00761B36" w:rsidP="009A526A">
      <w:r>
        <w:t xml:space="preserve">POWER INPUT An external power supply is required. Rating: 12VDC to 24VDC (+/- 10%), 18W minimum, </w:t>
      </w:r>
      <w:proofErr w:type="gramStart"/>
      <w:r>
        <w:t>24W</w:t>
      </w:r>
      <w:proofErr w:type="gramEnd"/>
      <w:r>
        <w:t xml:space="preserve"> recommended, LPS (Limited Power Source). Use 16-22AWG power supply wiring, stripped back 4-5mm, twisted &amp; optionally tinned. Find the black, 3 position terminal plug in the included hardware kit (under the foam in the box). Insert the prepared wires into the terminal plug, observing proper location. The wire polarities are indicated on the enclosure and shown below. An Earth GND wire is recommended (not included). Signal DC Input Earth GND - 0V (GND) + 12-24VDC CAUTION: Verify terminal block wiring is correct, tight, and with no bare wiring exposed. CAUTION: Please use the BLACK connector on the gateway, using ANY GREEN terminal will void your warrantee.</w:t>
      </w:r>
    </w:p>
    <w:p w:rsidR="00DB4C6F" w:rsidRDefault="00761B36" w:rsidP="009A526A">
      <w:pPr>
        <w:rPr>
          <w:lang w:val="en-US"/>
        </w:rPr>
      </w:pPr>
      <w:r>
        <w:rPr>
          <w:noProof/>
          <w:lang w:val="en-US"/>
        </w:rPr>
        <w:drawing>
          <wp:inline distT="0" distB="0" distL="0" distR="0" wp14:anchorId="755B809C" wp14:editId="10246A90">
            <wp:extent cx="2790825" cy="857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0825" cy="857250"/>
                    </a:xfrm>
                    <a:prstGeom prst="rect">
                      <a:avLst/>
                    </a:prstGeom>
                  </pic:spPr>
                </pic:pic>
              </a:graphicData>
            </a:graphic>
          </wp:inline>
        </w:drawing>
      </w:r>
    </w:p>
    <w:p w:rsidR="00DB4C6F" w:rsidRDefault="00DB4C6F" w:rsidP="009A526A">
      <w:pPr>
        <w:rPr>
          <w:noProof/>
          <w:lang w:val="en-US"/>
        </w:rPr>
      </w:pPr>
      <w:r>
        <w:rPr>
          <w:lang w:val="en-US"/>
        </w:rPr>
        <w:t>I</w:t>
      </w:r>
      <w:r w:rsidRPr="00DB4C6F">
        <w:rPr>
          <w:noProof/>
          <w:lang w:val="en-US"/>
        </w:rPr>
        <w:t xml:space="preserve"> </w:t>
      </w:r>
      <w:r>
        <w:rPr>
          <w:noProof/>
          <w:lang w:val="en-US"/>
        </w:rPr>
        <w:t>NTERNAL VIEW</w:t>
      </w:r>
    </w:p>
    <w:p w:rsidR="00DB4C6F" w:rsidRDefault="00DB4C6F" w:rsidP="009A526A">
      <w:pPr>
        <w:rPr>
          <w:lang w:val="en-US"/>
        </w:rPr>
      </w:pPr>
      <w:r>
        <w:rPr>
          <w:noProof/>
          <w:lang w:val="en-US"/>
        </w:rPr>
        <w:drawing>
          <wp:inline distT="0" distB="0" distL="0" distR="0" wp14:anchorId="2C6EF65C" wp14:editId="37EDDF52">
            <wp:extent cx="5943600" cy="4175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75760"/>
                    </a:xfrm>
                    <a:prstGeom prst="rect">
                      <a:avLst/>
                    </a:prstGeom>
                  </pic:spPr>
                </pic:pic>
              </a:graphicData>
            </a:graphic>
          </wp:inline>
        </w:drawing>
      </w:r>
    </w:p>
    <w:p w:rsidR="00DB4C6F" w:rsidRDefault="00DB4C6F" w:rsidP="009A526A">
      <w:r>
        <w:t xml:space="preserve">USB 2.0 Two USB 2.0 High-Speed ports are available to accept devices and can provide 0.5A per port. </w:t>
      </w:r>
    </w:p>
    <w:p w:rsidR="00DB4C6F" w:rsidRDefault="00DB4C6F" w:rsidP="009A526A">
      <w:r>
        <w:t xml:space="preserve">ETHERNET Two 10/100 Ethernet peripherals are available. By default, both are configured the same and can accept connection to the customers network. Some advanced topologies could be configured by the customer (bridged, router, </w:t>
      </w:r>
      <w:proofErr w:type="spellStart"/>
      <w:r>
        <w:t>etc</w:t>
      </w:r>
      <w:proofErr w:type="spellEnd"/>
      <w:r>
        <w:t xml:space="preserve">). </w:t>
      </w:r>
    </w:p>
    <w:p w:rsidR="00DB4C6F" w:rsidRDefault="00DB4C6F" w:rsidP="009A526A">
      <w:r>
        <w:t>RESET BUTTON A pin hole reset button (</w:t>
      </w:r>
      <w:proofErr w:type="spellStart"/>
      <w:r>
        <w:t>labeled</w:t>
      </w:r>
      <w:proofErr w:type="spellEnd"/>
      <w:r>
        <w:t xml:space="preserve"> RST) is located next to the HDMI port. A paperclip can be used to activate it. </w:t>
      </w:r>
      <w:r>
        <w:sym w:font="Symbol" w:char="F02D"/>
      </w:r>
      <w:r>
        <w:t xml:space="preserve"> Short press (less than 5 seconds) initiates a reboot </w:t>
      </w:r>
      <w:r>
        <w:sym w:font="Symbol" w:char="F02D"/>
      </w:r>
      <w:r>
        <w:t xml:space="preserve"> Long press (between 5 and 30 seconds) re-enters Configuration state for </w:t>
      </w:r>
      <w:proofErr w:type="spellStart"/>
      <w:r>
        <w:t>IoTConnect</w:t>
      </w:r>
      <w:proofErr w:type="spellEnd"/>
      <w:r>
        <w:t xml:space="preserve"> Cloud </w:t>
      </w:r>
      <w:proofErr w:type="spellStart"/>
      <w:r>
        <w:t>Enrollment</w:t>
      </w:r>
      <w:proofErr w:type="spellEnd"/>
      <w:r>
        <w:t xml:space="preserve"> (section 3.4) </w:t>
      </w:r>
      <w:r>
        <w:sym w:font="Symbol" w:char="F02D"/>
      </w:r>
      <w:r>
        <w:t xml:space="preserve"> Very long press (greater than 30 seconds) performs a Factory Reset </w:t>
      </w:r>
    </w:p>
    <w:p w:rsidR="00DB4C6F" w:rsidRDefault="00DB4C6F" w:rsidP="009A526A">
      <w:r>
        <w:lastRenderedPageBreak/>
        <w:t xml:space="preserve">HDMI </w:t>
      </w:r>
      <w:proofErr w:type="gramStart"/>
      <w:r>
        <w:t>An</w:t>
      </w:r>
      <w:proofErr w:type="gramEnd"/>
      <w:r>
        <w:t xml:space="preserve"> HDMI monitor can be used for console display. It should be connected at boot to enable the proper output. </w:t>
      </w:r>
    </w:p>
    <w:p w:rsidR="00DB4C6F" w:rsidRDefault="00DB4C6F" w:rsidP="009A526A">
      <w:r>
        <w:t xml:space="preserve">ONBOARD DIGITAL I/O </w:t>
      </w:r>
      <w:proofErr w:type="gramStart"/>
      <w:r>
        <w:t>The</w:t>
      </w:r>
      <w:proofErr w:type="gramEnd"/>
      <w:r>
        <w:t xml:space="preserve"> digital inputs and outputs are available as /sys/class/</w:t>
      </w:r>
      <w:proofErr w:type="spellStart"/>
      <w:r>
        <w:t>gpio</w:t>
      </w:r>
      <w:proofErr w:type="spellEnd"/>
      <w:r>
        <w:t>/gpio200 thru gpio207. GPIO200/202/204/206 are inputs and GPIO201/203/205/207 are outputs. See the schematic in the appendix for detailed connections. GPIOs must be exported in your application to use them. If they are used in the SDK (</w:t>
      </w:r>
      <w:proofErr w:type="spellStart"/>
      <w:r>
        <w:t>IoTConnectSDK.conf</w:t>
      </w:r>
      <w:proofErr w:type="spellEnd"/>
      <w:r>
        <w:t xml:space="preserve">) then they are exported automatically. </w:t>
      </w:r>
      <w:proofErr w:type="spellStart"/>
      <w:r>
        <w:t>SmartEdge</w:t>
      </w:r>
      <w:proofErr w:type="spellEnd"/>
      <w:r>
        <w:t xml:space="preserve"> Industrial </w:t>
      </w:r>
      <w:proofErr w:type="spellStart"/>
      <w:r>
        <w:t>IoT</w:t>
      </w:r>
      <w:proofErr w:type="spellEnd"/>
      <w:r>
        <w:t xml:space="preserve"> Gateway User Guide </w:t>
      </w:r>
      <w:hyperlink r:id="rId11" w:history="1">
        <w:r w:rsidRPr="006D1257">
          <w:rPr>
            <w:rStyle w:val="Hyperlink"/>
          </w:rPr>
          <w:t>http://www.element14.com/gateway Page 17</w:t>
        </w:r>
      </w:hyperlink>
      <w:r>
        <w:t xml:space="preserve"> </w:t>
      </w:r>
    </w:p>
    <w:p w:rsidR="00DB4C6F" w:rsidRDefault="00DB4C6F" w:rsidP="009A526A">
      <w:r>
        <w:t xml:space="preserve">ONBOARD RS232/485 You can use the </w:t>
      </w:r>
      <w:proofErr w:type="spellStart"/>
      <w:r>
        <w:t>onboard</w:t>
      </w:r>
      <w:proofErr w:type="spellEnd"/>
      <w:r>
        <w:t xml:space="preserve"> RS232/485 interface as a serial console, Modbus RTU interface, or other serial usages. The RS-232/RS-485 port is configured by default for 2-wire RS-485 operation with termination enabled. On board jumpers can reconfigure the port for full duplex or RS-232 </w:t>
      </w:r>
      <w:proofErr w:type="spellStart"/>
      <w:r>
        <w:t>signaling</w:t>
      </w:r>
      <w:proofErr w:type="spellEnd"/>
      <w:r>
        <w:t xml:space="preserve">. See section 3.3 for jumper configuration and connections. The port is /dev/ttySC0. Refer to the schematics in the appendix for detailed connections. </w:t>
      </w:r>
    </w:p>
    <w:p w:rsidR="00DB4C6F" w:rsidRDefault="00DB4C6F" w:rsidP="009A526A">
      <w:r>
        <w:t xml:space="preserve">CANBUS The internal </w:t>
      </w:r>
      <w:proofErr w:type="spellStart"/>
      <w:r>
        <w:t>CANbus</w:t>
      </w:r>
      <w:proofErr w:type="spellEnd"/>
      <w:r>
        <w:t xml:space="preserve"> is available but not fully enabled by default in the image. It can be enabled by removing the comments dealing with the can0 section in /</w:t>
      </w:r>
      <w:proofErr w:type="spellStart"/>
      <w:r>
        <w:t>etc</w:t>
      </w:r>
      <w:proofErr w:type="spellEnd"/>
      <w:r>
        <w:t xml:space="preserve">/network/interfaces. Be sure to set the proper bitrate for your bus. Utilities </w:t>
      </w:r>
      <w:proofErr w:type="spellStart"/>
      <w:r>
        <w:t>cansend</w:t>
      </w:r>
      <w:proofErr w:type="spellEnd"/>
      <w:r>
        <w:t xml:space="preserve"> and </w:t>
      </w:r>
      <w:proofErr w:type="spellStart"/>
      <w:r>
        <w:t>candump</w:t>
      </w:r>
      <w:proofErr w:type="spellEnd"/>
      <w:r>
        <w:t xml:space="preserve"> are included and the can0 device can be used by the network stacks. A CAN termination jumper is enabled by default. Refer to section 3.3 for more information and refer to the schematics in the Appendix. </w:t>
      </w:r>
    </w:p>
    <w:p w:rsidR="00DB4C6F" w:rsidRDefault="00DB4C6F" w:rsidP="009A526A">
      <w:r>
        <w:t xml:space="preserve">INTERNAL MPCIE SLOT </w:t>
      </w:r>
      <w:proofErr w:type="gramStart"/>
      <w:r>
        <w:t>This</w:t>
      </w:r>
      <w:proofErr w:type="gramEnd"/>
      <w:r>
        <w:t xml:space="preserve"> full size </w:t>
      </w:r>
      <w:proofErr w:type="spellStart"/>
      <w:r>
        <w:t>mPCIe</w:t>
      </w:r>
      <w:proofErr w:type="spellEnd"/>
      <w:r>
        <w:t xml:space="preserve"> slot is plug-n-play with USB based cards. </w:t>
      </w:r>
      <w:proofErr w:type="spellStart"/>
      <w:r>
        <w:t>PCIe</w:t>
      </w:r>
      <w:proofErr w:type="spellEnd"/>
      <w:r>
        <w:t xml:space="preserve"> cards are not supported. As with any USB device, additional drivers may need to be installed. INTERNAL RASPBERRY PI HAT EXPANSION SLOT A standard Raspberry Pi HAT expansion slot of available, and can support most off-the-shelf HAT cards. The I2C1 bus is enabled for </w:t>
      </w:r>
      <w:proofErr w:type="spellStart"/>
      <w:r>
        <w:t>onboard</w:t>
      </w:r>
      <w:proofErr w:type="spellEnd"/>
      <w:r>
        <w:t xml:space="preserve"> devices, so the HAT card(s) must not conflict with that usage</w:t>
      </w:r>
    </w:p>
    <w:p w:rsidR="00DB4C6F" w:rsidRDefault="00DB4C6F" w:rsidP="009A526A">
      <w:r>
        <w:t xml:space="preserve">FRONT PANEL LEDS </w:t>
      </w:r>
      <w:r>
        <w:sym w:font="Symbol" w:char="F02D"/>
      </w:r>
      <w:r>
        <w:t xml:space="preserve"> Power / Activity LED </w:t>
      </w:r>
      <w:r>
        <w:sym w:font="Symbol" w:char="F02D"/>
      </w:r>
      <w:r>
        <w:t xml:space="preserve"> Green indicates valid power </w:t>
      </w:r>
      <w:r>
        <w:sym w:font="Symbol" w:char="F02D"/>
      </w:r>
      <w:r>
        <w:t xml:space="preserve"> Red flashing indicates disk activity by default, but configurable </w:t>
      </w:r>
      <w:r>
        <w:sym w:font="Symbol" w:char="F02D"/>
      </w:r>
      <w:r>
        <w:t xml:space="preserve"> User LED </w:t>
      </w:r>
      <w:r>
        <w:sym w:font="Symbol" w:char="F02D"/>
      </w:r>
      <w:r>
        <w:t xml:space="preserve"> Controlled from user code </w:t>
      </w:r>
    </w:p>
    <w:p w:rsidR="00DB4C6F" w:rsidRDefault="00DB4C6F" w:rsidP="009A526A">
      <w:r>
        <w:t xml:space="preserve">HARDWARE WATCHDOG TIMER (WDT) </w:t>
      </w:r>
      <w:r>
        <w:sym w:font="Symbol" w:char="F02D"/>
      </w:r>
      <w:r>
        <w:t xml:space="preserve"> Selectable timeout (1-255 seconds) </w:t>
      </w:r>
    </w:p>
    <w:p w:rsidR="00DB4C6F" w:rsidRDefault="00DB4C6F" w:rsidP="009A526A">
      <w:r>
        <w:t xml:space="preserve">TRUSTED PLATFORM MODULE (TPM) &amp; SECURE BOOT </w:t>
      </w:r>
      <w:r>
        <w:sym w:font="Symbol" w:char="F02D"/>
      </w:r>
      <w:r>
        <w:t xml:space="preserve"> SLB9670 TCG 2.0 Trusted Platform Module </w:t>
      </w:r>
      <w:r>
        <w:sym w:font="Symbol" w:char="F02D"/>
      </w:r>
      <w:r>
        <w:t xml:space="preserve"> Secure Boot Option when used with Avnet's Image </w:t>
      </w:r>
    </w:p>
    <w:p w:rsidR="00DB4C6F" w:rsidRDefault="00DB4C6F" w:rsidP="009A526A">
      <w:r>
        <w:t xml:space="preserve">REAL-TIME CLOCK (RTC) WITH BATTERY BACKUP </w:t>
      </w:r>
      <w:r>
        <w:sym w:font="Symbol" w:char="F02D"/>
      </w:r>
      <w:r>
        <w:t xml:space="preserve"> PCF8563 real-time clock </w:t>
      </w:r>
      <w:r>
        <w:sym w:font="Symbol" w:char="F02D"/>
      </w:r>
      <w:r>
        <w:t xml:space="preserve"> BR1225 backup battery</w:t>
      </w:r>
    </w:p>
    <w:p w:rsidR="00DB4C6F" w:rsidRDefault="00DB4C6F" w:rsidP="009A526A">
      <w:pPr>
        <w:rPr>
          <w:lang w:val="en-US"/>
        </w:rPr>
      </w:pPr>
    </w:p>
    <w:p w:rsidR="00761B36" w:rsidRDefault="00761B36" w:rsidP="009A526A">
      <w:pPr>
        <w:rPr>
          <w:lang w:val="en-US"/>
        </w:rPr>
      </w:pPr>
    </w:p>
    <w:p w:rsidR="004726AD" w:rsidRDefault="00DB4C6F" w:rsidP="009A526A">
      <w:pPr>
        <w:rPr>
          <w:lang w:val="en-US"/>
        </w:rPr>
      </w:pPr>
      <w:r>
        <w:rPr>
          <w:noProof/>
          <w:lang w:val="en-US"/>
        </w:rPr>
        <w:lastRenderedPageBreak/>
        <w:drawing>
          <wp:inline distT="0" distB="0" distL="0" distR="0" wp14:anchorId="6368313D" wp14:editId="5CB27525">
            <wp:extent cx="5943600" cy="4108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08450"/>
                    </a:xfrm>
                    <a:prstGeom prst="rect">
                      <a:avLst/>
                    </a:prstGeom>
                  </pic:spPr>
                </pic:pic>
              </a:graphicData>
            </a:graphic>
          </wp:inline>
        </w:drawing>
      </w:r>
    </w:p>
    <w:p w:rsidR="00DB4C6F" w:rsidRDefault="00DB4C6F" w:rsidP="009A526A">
      <w:pPr>
        <w:rPr>
          <w:lang w:val="en-US"/>
        </w:rPr>
      </w:pPr>
    </w:p>
    <w:p w:rsidR="00DB4C6F" w:rsidRDefault="00DA67DE" w:rsidP="009A526A">
      <w:pPr>
        <w:rPr>
          <w:lang w:val="en-US"/>
        </w:rPr>
      </w:pPr>
      <w:r>
        <w:rPr>
          <w:noProof/>
          <w:lang w:val="en-US"/>
        </w:rPr>
        <w:lastRenderedPageBreak/>
        <w:drawing>
          <wp:inline distT="0" distB="0" distL="0" distR="0" wp14:anchorId="32E86395" wp14:editId="7D952F93">
            <wp:extent cx="5943600" cy="4949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49190"/>
                    </a:xfrm>
                    <a:prstGeom prst="rect">
                      <a:avLst/>
                    </a:prstGeom>
                  </pic:spPr>
                </pic:pic>
              </a:graphicData>
            </a:graphic>
          </wp:inline>
        </w:drawing>
      </w:r>
    </w:p>
    <w:p w:rsidR="00DA67DE" w:rsidRDefault="00DA67DE" w:rsidP="009A526A">
      <w:pPr>
        <w:rPr>
          <w:lang w:val="en-US"/>
        </w:rPr>
      </w:pPr>
      <w:r>
        <w:rPr>
          <w:noProof/>
          <w:lang w:val="en-US"/>
        </w:rPr>
        <w:lastRenderedPageBreak/>
        <w:drawing>
          <wp:inline distT="0" distB="0" distL="0" distR="0" wp14:anchorId="0FD3A4DD" wp14:editId="715C836E">
            <wp:extent cx="5943600" cy="6341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341745"/>
                    </a:xfrm>
                    <a:prstGeom prst="rect">
                      <a:avLst/>
                    </a:prstGeom>
                  </pic:spPr>
                </pic:pic>
              </a:graphicData>
            </a:graphic>
          </wp:inline>
        </w:drawing>
      </w:r>
    </w:p>
    <w:p w:rsidR="00DA67DE" w:rsidRDefault="00DA67DE" w:rsidP="009A526A">
      <w:pPr>
        <w:rPr>
          <w:lang w:val="en-US"/>
        </w:rPr>
      </w:pPr>
      <w:r>
        <w:rPr>
          <w:noProof/>
          <w:lang w:val="en-US"/>
        </w:rPr>
        <w:lastRenderedPageBreak/>
        <w:drawing>
          <wp:inline distT="0" distB="0" distL="0" distR="0" wp14:anchorId="37070EBF" wp14:editId="53543537">
            <wp:extent cx="4924425" cy="2543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4425" cy="2543175"/>
                    </a:xfrm>
                    <a:prstGeom prst="rect">
                      <a:avLst/>
                    </a:prstGeom>
                  </pic:spPr>
                </pic:pic>
              </a:graphicData>
            </a:graphic>
          </wp:inline>
        </w:drawing>
      </w:r>
    </w:p>
    <w:p w:rsidR="00DA67DE" w:rsidRDefault="00DA67DE" w:rsidP="009A526A">
      <w:pPr>
        <w:rPr>
          <w:lang w:val="en-US"/>
        </w:rPr>
      </w:pPr>
      <w:r>
        <w:rPr>
          <w:noProof/>
          <w:lang w:val="en-US"/>
        </w:rPr>
        <w:lastRenderedPageBreak/>
        <w:drawing>
          <wp:inline distT="0" distB="0" distL="0" distR="0" wp14:anchorId="427469E4" wp14:editId="7C7EF10C">
            <wp:extent cx="5943600" cy="5496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96560"/>
                    </a:xfrm>
                    <a:prstGeom prst="rect">
                      <a:avLst/>
                    </a:prstGeom>
                  </pic:spPr>
                </pic:pic>
              </a:graphicData>
            </a:graphic>
          </wp:inline>
        </w:drawing>
      </w:r>
      <w:r>
        <w:rPr>
          <w:noProof/>
          <w:lang w:val="en-US"/>
        </w:rPr>
        <w:lastRenderedPageBreak/>
        <w:drawing>
          <wp:inline distT="0" distB="0" distL="0" distR="0" wp14:anchorId="759250A8" wp14:editId="2A5720FE">
            <wp:extent cx="5943600" cy="46977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97730"/>
                    </a:xfrm>
                    <a:prstGeom prst="rect">
                      <a:avLst/>
                    </a:prstGeom>
                  </pic:spPr>
                </pic:pic>
              </a:graphicData>
            </a:graphic>
          </wp:inline>
        </w:drawing>
      </w:r>
    </w:p>
    <w:p w:rsidR="00DA67DE" w:rsidRDefault="0066586D" w:rsidP="009A526A">
      <w:pPr>
        <w:rPr>
          <w:lang w:val="en-US"/>
        </w:rPr>
      </w:pPr>
      <w:r>
        <w:rPr>
          <w:noProof/>
          <w:lang w:val="en-US"/>
        </w:rPr>
        <w:lastRenderedPageBreak/>
        <w:drawing>
          <wp:inline distT="0" distB="0" distL="0" distR="0" wp14:anchorId="02F6A237" wp14:editId="5F00B8D5">
            <wp:extent cx="5943600" cy="4871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71085"/>
                    </a:xfrm>
                    <a:prstGeom prst="rect">
                      <a:avLst/>
                    </a:prstGeom>
                  </pic:spPr>
                </pic:pic>
              </a:graphicData>
            </a:graphic>
          </wp:inline>
        </w:drawing>
      </w:r>
    </w:p>
    <w:p w:rsidR="00DA67DE" w:rsidRDefault="00DA67DE" w:rsidP="009A526A">
      <w:pPr>
        <w:rPr>
          <w:lang w:val="en-US"/>
        </w:rPr>
      </w:pPr>
    </w:p>
    <w:p w:rsidR="0066586D" w:rsidRDefault="0066586D" w:rsidP="009A526A">
      <w:pPr>
        <w:rPr>
          <w:lang w:val="en-US"/>
        </w:rPr>
      </w:pPr>
    </w:p>
    <w:p w:rsidR="0066586D" w:rsidRDefault="0066586D" w:rsidP="009A526A">
      <w:pPr>
        <w:rPr>
          <w:lang w:val="en-US"/>
        </w:rPr>
      </w:pPr>
    </w:p>
    <w:p w:rsidR="0066586D" w:rsidRDefault="0066586D" w:rsidP="009A526A">
      <w:pPr>
        <w:rPr>
          <w:lang w:val="en-US"/>
        </w:rPr>
      </w:pPr>
    </w:p>
    <w:p w:rsidR="0066586D" w:rsidRDefault="0066586D" w:rsidP="009A526A">
      <w:pPr>
        <w:rPr>
          <w:lang w:val="en-US"/>
        </w:rPr>
      </w:pPr>
    </w:p>
    <w:p w:rsidR="00DA67DE" w:rsidRDefault="0066586D" w:rsidP="009A526A">
      <w:pPr>
        <w:rPr>
          <w:lang w:val="en-US"/>
        </w:rPr>
      </w:pPr>
      <w:r>
        <w:rPr>
          <w:noProof/>
          <w:lang w:val="en-US"/>
        </w:rPr>
        <w:lastRenderedPageBreak/>
        <w:drawing>
          <wp:inline distT="0" distB="0" distL="0" distR="0" wp14:anchorId="20A45A55" wp14:editId="311E7758">
            <wp:extent cx="5943600" cy="2298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98700"/>
                    </a:xfrm>
                    <a:prstGeom prst="rect">
                      <a:avLst/>
                    </a:prstGeom>
                  </pic:spPr>
                </pic:pic>
              </a:graphicData>
            </a:graphic>
          </wp:inline>
        </w:drawing>
      </w:r>
    </w:p>
    <w:p w:rsidR="0066586D" w:rsidRDefault="0066586D" w:rsidP="009A526A">
      <w:pPr>
        <w:rPr>
          <w:lang w:val="en-US"/>
        </w:rPr>
      </w:pPr>
    </w:p>
    <w:p w:rsidR="0066586D" w:rsidRDefault="0066586D" w:rsidP="009A526A">
      <w:pPr>
        <w:rPr>
          <w:lang w:val="en-US"/>
        </w:rPr>
      </w:pPr>
      <w:r>
        <w:rPr>
          <w:noProof/>
          <w:lang w:val="en-US"/>
        </w:rPr>
        <w:drawing>
          <wp:inline distT="0" distB="0" distL="0" distR="0" wp14:anchorId="6CDF595D" wp14:editId="39178036">
            <wp:extent cx="4914900" cy="3105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4900" cy="3105150"/>
                    </a:xfrm>
                    <a:prstGeom prst="rect">
                      <a:avLst/>
                    </a:prstGeom>
                  </pic:spPr>
                </pic:pic>
              </a:graphicData>
            </a:graphic>
          </wp:inline>
        </w:drawing>
      </w:r>
    </w:p>
    <w:p w:rsidR="0002431E" w:rsidRDefault="0002431E" w:rsidP="009A526A">
      <w:pPr>
        <w:rPr>
          <w:lang w:val="en-US"/>
        </w:rPr>
      </w:pPr>
    </w:p>
    <w:p w:rsidR="0002431E" w:rsidRDefault="0002431E" w:rsidP="009A526A">
      <w:pPr>
        <w:rPr>
          <w:lang w:val="en-US"/>
        </w:rPr>
      </w:pPr>
      <w:r>
        <w:rPr>
          <w:noProof/>
          <w:lang w:val="en-US"/>
        </w:rPr>
        <w:lastRenderedPageBreak/>
        <w:drawing>
          <wp:inline distT="0" distB="0" distL="0" distR="0" wp14:anchorId="36EFE528" wp14:editId="5C935240">
            <wp:extent cx="5943600" cy="6017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17895"/>
                    </a:xfrm>
                    <a:prstGeom prst="rect">
                      <a:avLst/>
                    </a:prstGeom>
                  </pic:spPr>
                </pic:pic>
              </a:graphicData>
            </a:graphic>
          </wp:inline>
        </w:drawing>
      </w:r>
    </w:p>
    <w:p w:rsidR="0002431E" w:rsidRDefault="0002431E" w:rsidP="009A526A">
      <w:pPr>
        <w:rPr>
          <w:lang w:val="en-US"/>
        </w:rPr>
      </w:pPr>
    </w:p>
    <w:p w:rsidR="0002431E" w:rsidRDefault="0002431E" w:rsidP="009A526A">
      <w:pPr>
        <w:rPr>
          <w:lang w:val="en-US"/>
        </w:rPr>
      </w:pPr>
      <w:r>
        <w:rPr>
          <w:noProof/>
          <w:lang w:val="en-US"/>
        </w:rPr>
        <w:lastRenderedPageBreak/>
        <w:drawing>
          <wp:inline distT="0" distB="0" distL="0" distR="0" wp14:anchorId="11C89647" wp14:editId="09BBB9C4">
            <wp:extent cx="5943600" cy="33445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4545"/>
                    </a:xfrm>
                    <a:prstGeom prst="rect">
                      <a:avLst/>
                    </a:prstGeom>
                  </pic:spPr>
                </pic:pic>
              </a:graphicData>
            </a:graphic>
          </wp:inline>
        </w:drawing>
      </w:r>
    </w:p>
    <w:p w:rsidR="0066586D" w:rsidRDefault="0066586D" w:rsidP="009A526A">
      <w:pPr>
        <w:rPr>
          <w:lang w:val="en-US"/>
        </w:rPr>
      </w:pPr>
    </w:p>
    <w:p w:rsidR="0082090F" w:rsidRDefault="0082090F" w:rsidP="009A526A">
      <w:pPr>
        <w:rPr>
          <w:lang w:val="en-US"/>
        </w:rPr>
      </w:pPr>
    </w:p>
    <w:p w:rsidR="0082090F" w:rsidRDefault="0082090F" w:rsidP="009A526A">
      <w:pPr>
        <w:rPr>
          <w:lang w:val="en-US"/>
        </w:rPr>
      </w:pPr>
    </w:p>
    <w:p w:rsidR="0082090F" w:rsidRDefault="0082090F" w:rsidP="0082090F">
      <w:pPr>
        <w:pStyle w:val="Heading1"/>
        <w:rPr>
          <w:b/>
          <w:sz w:val="36"/>
          <w:szCs w:val="36"/>
        </w:rPr>
      </w:pPr>
      <w:r>
        <w:rPr>
          <w:b/>
          <w:sz w:val="36"/>
          <w:szCs w:val="36"/>
        </w:rPr>
        <w:t>Gateway XYZ Hardware Reference</w:t>
      </w:r>
    </w:p>
    <w:p w:rsidR="0082090F" w:rsidRPr="009A526A" w:rsidRDefault="0082090F" w:rsidP="009A526A">
      <w:pPr>
        <w:rPr>
          <w:lang w:val="en-US"/>
        </w:rPr>
      </w:pPr>
    </w:p>
    <w:sectPr w:rsidR="0082090F" w:rsidRPr="009A526A" w:rsidSect="00FB3243">
      <w:headerReference w:type="default" r:id="rId23"/>
      <w:head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556F" w:rsidRDefault="0004556F" w:rsidP="00244AE3">
      <w:pPr>
        <w:spacing w:after="0" w:line="240" w:lineRule="auto"/>
      </w:pPr>
      <w:r>
        <w:separator/>
      </w:r>
    </w:p>
  </w:endnote>
  <w:endnote w:type="continuationSeparator" w:id="0">
    <w:p w:rsidR="0004556F" w:rsidRDefault="0004556F" w:rsidP="00244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percu Pro Light">
    <w:altName w:val="Franklin Gothic Medium Cond"/>
    <w:charset w:val="00"/>
    <w:family w:val="auto"/>
    <w:pitch w:val="variable"/>
    <w:sig w:usb0="00000001" w:usb1="5000205B" w:usb2="00000000" w:usb3="00000000" w:csb0="00000097" w:csb1="00000000"/>
  </w:font>
  <w:font w:name="Apercu Pro">
    <w:altName w:val="Franklin Gothic Medium Cond"/>
    <w:charset w:val="00"/>
    <w:family w:val="auto"/>
    <w:pitch w:val="variable"/>
    <w:sig w:usb0="00000001" w:usb1="5000205B" w:usb2="00000000" w:usb3="00000000" w:csb0="00000097" w:csb1="00000000"/>
  </w:font>
  <w:font w:name="Arial">
    <w:panose1 w:val="020B0604020202020204"/>
    <w:charset w:val="00"/>
    <w:family w:val="swiss"/>
    <w:pitch w:val="variable"/>
    <w:sig w:usb0="E0002EFF" w:usb1="C000785B" w:usb2="00000009" w:usb3="00000000" w:csb0="000001FF" w:csb1="00000000"/>
  </w:font>
  <w:font w:name="Apercu Avnet Mono">
    <w:altName w:val="MS Gothic"/>
    <w:panose1 w:val="00000000000000000000"/>
    <w:charset w:val="00"/>
    <w:family w:val="modern"/>
    <w:notTrueType/>
    <w:pitch w:val="fixed"/>
    <w:sig w:usb0="00000001" w:usb1="5000205B" w:usb2="00000000" w:usb3="00000000" w:csb0="00000097"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556F" w:rsidRDefault="0004556F" w:rsidP="00244AE3">
      <w:pPr>
        <w:spacing w:after="0" w:line="240" w:lineRule="auto"/>
      </w:pPr>
      <w:r>
        <w:separator/>
      </w:r>
    </w:p>
  </w:footnote>
  <w:footnote w:type="continuationSeparator" w:id="0">
    <w:p w:rsidR="0004556F" w:rsidRDefault="0004556F" w:rsidP="00244A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735" w:rsidRDefault="002A6735" w:rsidP="00244AE3">
    <w:pPr>
      <w:pStyle w:val="Header"/>
    </w:pPr>
    <w:r>
      <w:tab/>
    </w:r>
  </w:p>
  <w:p w:rsidR="002A6735" w:rsidRDefault="002A67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735" w:rsidRDefault="00CA35EA" w:rsidP="00FB3243">
    <w:pPr>
      <w:pStyle w:val="Title"/>
      <w:rPr>
        <w:noProof/>
      </w:rPr>
    </w:pPr>
    <w:r>
      <w:rPr>
        <w:noProof/>
      </w:rPr>
      <w:t>Smartedge-iiot-gateway Hardware Reference</w:t>
    </w:r>
  </w:p>
  <w:p w:rsidR="00CA35EA" w:rsidRPr="00CA35EA" w:rsidRDefault="00CA35EA" w:rsidP="00CA35EA">
    <w:pPr>
      <w:rPr>
        <w:lang w:val="en-US"/>
      </w:rPr>
    </w:pPr>
  </w:p>
  <w:p w:rsidR="002A6735" w:rsidRDefault="002A67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154CB"/>
    <w:multiLevelType w:val="hybridMultilevel"/>
    <w:tmpl w:val="3B20C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54EF6"/>
    <w:multiLevelType w:val="hybridMultilevel"/>
    <w:tmpl w:val="06924A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8B2D09"/>
    <w:multiLevelType w:val="hybridMultilevel"/>
    <w:tmpl w:val="268AD7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C7E9D"/>
    <w:multiLevelType w:val="hybridMultilevel"/>
    <w:tmpl w:val="FD3474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C6C0D"/>
    <w:multiLevelType w:val="hybridMultilevel"/>
    <w:tmpl w:val="15FCC9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8A5BC6"/>
    <w:multiLevelType w:val="hybridMultilevel"/>
    <w:tmpl w:val="015C899E"/>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 w15:restartNumberingAfterBreak="0">
    <w:nsid w:val="1B362115"/>
    <w:multiLevelType w:val="hybridMultilevel"/>
    <w:tmpl w:val="AC5A7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C4DA3"/>
    <w:multiLevelType w:val="hybridMultilevel"/>
    <w:tmpl w:val="0748D8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957FB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7AB755B"/>
    <w:multiLevelType w:val="multilevel"/>
    <w:tmpl w:val="FBD6D4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28160A0D"/>
    <w:multiLevelType w:val="hybridMultilevel"/>
    <w:tmpl w:val="B92C60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7D1662"/>
    <w:multiLevelType w:val="hybridMultilevel"/>
    <w:tmpl w:val="2560171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29C4979"/>
    <w:multiLevelType w:val="hybridMultilevel"/>
    <w:tmpl w:val="C556F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C01B7B"/>
    <w:multiLevelType w:val="hybridMultilevel"/>
    <w:tmpl w:val="907C84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6256B8"/>
    <w:multiLevelType w:val="hybridMultilevel"/>
    <w:tmpl w:val="45AC6E3A"/>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5" w15:restartNumberingAfterBreak="0">
    <w:nsid w:val="433916D2"/>
    <w:multiLevelType w:val="hybridMultilevel"/>
    <w:tmpl w:val="0B669060"/>
    <w:lvl w:ilvl="0" w:tplc="D17E8E2C">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442F0AA1"/>
    <w:multiLevelType w:val="hybridMultilevel"/>
    <w:tmpl w:val="3A1A7708"/>
    <w:lvl w:ilvl="0" w:tplc="D07A96A0">
      <w:start w:val="1"/>
      <w:numFmt w:val="bullet"/>
      <w:pStyle w:val="ListParagraph"/>
      <w:lvlText w:val=""/>
      <w:lvlJc w:val="left"/>
      <w:pPr>
        <w:ind w:left="45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72D5F6A"/>
    <w:multiLevelType w:val="hybridMultilevel"/>
    <w:tmpl w:val="1EAAE4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985CED"/>
    <w:multiLevelType w:val="multilevel"/>
    <w:tmpl w:val="09FAFA00"/>
    <w:lvl w:ilvl="0">
      <w:start w:val="1"/>
      <w:numFmt w:val="decimal"/>
      <w:lvlText w:val="%1"/>
      <w:lvlJc w:val="left"/>
      <w:pPr>
        <w:ind w:left="432" w:hanging="432"/>
      </w:pPr>
      <w:rPr>
        <w:rFonts w:asciiTheme="minorHAnsi" w:hAnsiTheme="minorHAnsi" w:cstheme="minorHAnsi" w:hint="default"/>
        <w:b/>
        <w:i w:val="0"/>
        <w:sz w:val="28"/>
      </w:rPr>
    </w:lvl>
    <w:lvl w:ilvl="1">
      <w:start w:val="1"/>
      <w:numFmt w:val="decimal"/>
      <w:lvlText w:val="%1.%2"/>
      <w:lvlJc w:val="left"/>
      <w:pPr>
        <w:ind w:left="576" w:hanging="576"/>
      </w:pPr>
      <w:rPr>
        <w:rFonts w:asciiTheme="minorHAnsi" w:hAnsiTheme="minorHAnsi" w:cstheme="minorHAnsi" w:hint="default"/>
        <w:b/>
        <w:i w:val="0"/>
        <w:sz w:val="28"/>
        <w:szCs w:val="24"/>
      </w:rPr>
    </w:lvl>
    <w:lvl w:ilvl="2">
      <w:start w:val="1"/>
      <w:numFmt w:val="decimal"/>
      <w:lvlText w:val="%1.%2.%3"/>
      <w:lvlJc w:val="left"/>
      <w:pPr>
        <w:ind w:left="720" w:hanging="720"/>
      </w:pPr>
      <w:rPr>
        <w:rFonts w:asciiTheme="minorHAnsi" w:hAnsiTheme="minorHAnsi" w:cstheme="minorHAnsi" w:hint="default"/>
        <w:b/>
        <w:sz w:val="24"/>
        <w:szCs w:val="24"/>
      </w:rPr>
    </w:lvl>
    <w:lvl w:ilvl="3">
      <w:start w:val="1"/>
      <w:numFmt w:val="decimal"/>
      <w:lvlText w:val="%1.%2.%3.%4"/>
      <w:lvlJc w:val="left"/>
      <w:pPr>
        <w:ind w:left="864" w:hanging="864"/>
      </w:pPr>
      <w:rPr>
        <w:rFonts w:asciiTheme="minorHAnsi" w:hAnsiTheme="minorHAnsi" w:cstheme="minorHAnsi" w:hint="default"/>
        <w:b/>
        <w:color w:val="2E74B5" w:themeColor="accent1" w:themeShade="BF"/>
        <w:sz w:val="22"/>
        <w:szCs w:val="22"/>
      </w:rPr>
    </w:lvl>
    <w:lvl w:ilvl="4">
      <w:start w:val="1"/>
      <w:numFmt w:val="decimal"/>
      <w:lvlText w:val="%1.2."/>
      <w:lvlJc w:val="left"/>
      <w:pPr>
        <w:ind w:left="1008" w:hanging="1008"/>
      </w:pPr>
      <w:rPr>
        <w:rFonts w:hint="default"/>
        <w:b/>
        <w:color w:val="548DD4"/>
      </w:rPr>
    </w:lvl>
    <w:lvl w:ilvl="5">
      <w:start w:val="1"/>
      <w:numFmt w:val="decimal"/>
      <w:lvlText w:val="%1.%2.%3.%4.%5.%6"/>
      <w:lvlJc w:val="left"/>
      <w:pPr>
        <w:ind w:left="1152" w:hanging="1152"/>
      </w:pPr>
      <w:rPr>
        <w:rFonts w:hint="default"/>
        <w:b/>
        <w:color w:val="548DD4"/>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b/>
      </w:rPr>
    </w:lvl>
    <w:lvl w:ilvl="8">
      <w:start w:val="1"/>
      <w:numFmt w:val="decimal"/>
      <w:lvlText w:val="%1.%2.%3.%4.%5.%6.%7.%8.%9"/>
      <w:lvlJc w:val="left"/>
      <w:pPr>
        <w:ind w:left="1584" w:hanging="1584"/>
      </w:pPr>
      <w:rPr>
        <w:rFonts w:hint="default"/>
      </w:rPr>
    </w:lvl>
  </w:abstractNum>
  <w:abstractNum w:abstractNumId="19" w15:restartNumberingAfterBreak="0">
    <w:nsid w:val="4D4F0B13"/>
    <w:multiLevelType w:val="hybridMultilevel"/>
    <w:tmpl w:val="13BC5A54"/>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0" w15:restartNumberingAfterBreak="0">
    <w:nsid w:val="548A086F"/>
    <w:multiLevelType w:val="hybridMultilevel"/>
    <w:tmpl w:val="53904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BA37FE"/>
    <w:multiLevelType w:val="hybridMultilevel"/>
    <w:tmpl w:val="81A4112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2" w15:restartNumberingAfterBreak="0">
    <w:nsid w:val="5A7A36EE"/>
    <w:multiLevelType w:val="hybridMultilevel"/>
    <w:tmpl w:val="A850AEA0"/>
    <w:lvl w:ilvl="0" w:tplc="972869FE">
      <w:start w:val="1"/>
      <w:numFmt w:val="bullet"/>
      <w:lvlText w:val="-"/>
      <w:lvlJc w:val="left"/>
      <w:pPr>
        <w:ind w:left="1080" w:hanging="360"/>
      </w:pPr>
      <w:rPr>
        <w:rFonts w:ascii="Apercu Pro Light" w:eastAsiaTheme="minorHAnsi" w:hAnsi="Apercu Pro Light"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37F5C39"/>
    <w:multiLevelType w:val="hybridMultilevel"/>
    <w:tmpl w:val="986E5BDE"/>
    <w:lvl w:ilvl="0" w:tplc="04F44C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5AE13B0"/>
    <w:multiLevelType w:val="hybridMultilevel"/>
    <w:tmpl w:val="EECCC98C"/>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5" w15:restartNumberingAfterBreak="0">
    <w:nsid w:val="699847BF"/>
    <w:multiLevelType w:val="hybridMultilevel"/>
    <w:tmpl w:val="4F1A024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AC67EA6"/>
    <w:multiLevelType w:val="multilevel"/>
    <w:tmpl w:val="4620BA1E"/>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74B50BA8"/>
    <w:multiLevelType w:val="hybridMultilevel"/>
    <w:tmpl w:val="8D06835C"/>
    <w:lvl w:ilvl="0" w:tplc="CE2276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23"/>
  </w:num>
  <w:num w:numId="4">
    <w:abstractNumId w:val="22"/>
  </w:num>
  <w:num w:numId="5">
    <w:abstractNumId w:val="7"/>
  </w:num>
  <w:num w:numId="6">
    <w:abstractNumId w:val="0"/>
  </w:num>
  <w:num w:numId="7">
    <w:abstractNumId w:val="6"/>
  </w:num>
  <w:num w:numId="8">
    <w:abstractNumId w:val="20"/>
  </w:num>
  <w:num w:numId="9">
    <w:abstractNumId w:val="18"/>
  </w:num>
  <w:num w:numId="10">
    <w:abstractNumId w:val="26"/>
  </w:num>
  <w:num w:numId="11">
    <w:abstractNumId w:val="12"/>
  </w:num>
  <w:num w:numId="12">
    <w:abstractNumId w:val="3"/>
  </w:num>
  <w:num w:numId="13">
    <w:abstractNumId w:val="17"/>
  </w:num>
  <w:num w:numId="14">
    <w:abstractNumId w:val="2"/>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5"/>
  </w:num>
  <w:num w:numId="18">
    <w:abstractNumId w:val="19"/>
  </w:num>
  <w:num w:numId="19">
    <w:abstractNumId w:val="14"/>
  </w:num>
  <w:num w:numId="20">
    <w:abstractNumId w:val="1"/>
  </w:num>
  <w:num w:numId="21">
    <w:abstractNumId w:val="25"/>
  </w:num>
  <w:num w:numId="22">
    <w:abstractNumId w:val="21"/>
  </w:num>
  <w:num w:numId="23">
    <w:abstractNumId w:val="4"/>
  </w:num>
  <w:num w:numId="24">
    <w:abstractNumId w:val="9"/>
  </w:num>
  <w:num w:numId="25">
    <w:abstractNumId w:val="8"/>
  </w:num>
  <w:num w:numId="26">
    <w:abstractNumId w:val="13"/>
  </w:num>
  <w:num w:numId="27">
    <w:abstractNumId w:val="10"/>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CDC"/>
    <w:rsid w:val="000228EE"/>
    <w:rsid w:val="0002431E"/>
    <w:rsid w:val="00032484"/>
    <w:rsid w:val="0003537D"/>
    <w:rsid w:val="0004556F"/>
    <w:rsid w:val="00070445"/>
    <w:rsid w:val="00096992"/>
    <w:rsid w:val="000B1185"/>
    <w:rsid w:val="000C3816"/>
    <w:rsid w:val="000D4F5E"/>
    <w:rsid w:val="000E3CF9"/>
    <w:rsid w:val="000F4001"/>
    <w:rsid w:val="000F74A0"/>
    <w:rsid w:val="00100927"/>
    <w:rsid w:val="00113961"/>
    <w:rsid w:val="0014348F"/>
    <w:rsid w:val="0015357F"/>
    <w:rsid w:val="00157076"/>
    <w:rsid w:val="001572AF"/>
    <w:rsid w:val="001744C6"/>
    <w:rsid w:val="001B6BA4"/>
    <w:rsid w:val="001C59AD"/>
    <w:rsid w:val="001E0341"/>
    <w:rsid w:val="00244AE3"/>
    <w:rsid w:val="0025412B"/>
    <w:rsid w:val="00257DA6"/>
    <w:rsid w:val="00267FA8"/>
    <w:rsid w:val="002751A3"/>
    <w:rsid w:val="00284269"/>
    <w:rsid w:val="002A6735"/>
    <w:rsid w:val="002C5EEC"/>
    <w:rsid w:val="0035237B"/>
    <w:rsid w:val="003761D8"/>
    <w:rsid w:val="0039048D"/>
    <w:rsid w:val="003C1F4A"/>
    <w:rsid w:val="003E3C7D"/>
    <w:rsid w:val="003F2A50"/>
    <w:rsid w:val="00401D1D"/>
    <w:rsid w:val="00425C2A"/>
    <w:rsid w:val="004553BB"/>
    <w:rsid w:val="004726AD"/>
    <w:rsid w:val="00482646"/>
    <w:rsid w:val="004838AD"/>
    <w:rsid w:val="004972F1"/>
    <w:rsid w:val="004A3D81"/>
    <w:rsid w:val="004C4F22"/>
    <w:rsid w:val="004C77BA"/>
    <w:rsid w:val="004E0C66"/>
    <w:rsid w:val="00527997"/>
    <w:rsid w:val="0053229E"/>
    <w:rsid w:val="00541916"/>
    <w:rsid w:val="0055051F"/>
    <w:rsid w:val="00566C6D"/>
    <w:rsid w:val="00582CB1"/>
    <w:rsid w:val="00593FB4"/>
    <w:rsid w:val="005D4C71"/>
    <w:rsid w:val="005D64C2"/>
    <w:rsid w:val="0060561D"/>
    <w:rsid w:val="006343C1"/>
    <w:rsid w:val="006403FA"/>
    <w:rsid w:val="006418EC"/>
    <w:rsid w:val="0066586D"/>
    <w:rsid w:val="00691D57"/>
    <w:rsid w:val="00694C88"/>
    <w:rsid w:val="006A29D2"/>
    <w:rsid w:val="006B7008"/>
    <w:rsid w:val="006F4E70"/>
    <w:rsid w:val="007115C7"/>
    <w:rsid w:val="0071785F"/>
    <w:rsid w:val="00746197"/>
    <w:rsid w:val="00753231"/>
    <w:rsid w:val="00761B36"/>
    <w:rsid w:val="0078157D"/>
    <w:rsid w:val="007974EA"/>
    <w:rsid w:val="008023BC"/>
    <w:rsid w:val="008024FE"/>
    <w:rsid w:val="008040EC"/>
    <w:rsid w:val="00805D31"/>
    <w:rsid w:val="008125C4"/>
    <w:rsid w:val="0081675E"/>
    <w:rsid w:val="0082090F"/>
    <w:rsid w:val="0083102E"/>
    <w:rsid w:val="008464C2"/>
    <w:rsid w:val="008474F0"/>
    <w:rsid w:val="00863883"/>
    <w:rsid w:val="00872BC6"/>
    <w:rsid w:val="008740AB"/>
    <w:rsid w:val="008B012F"/>
    <w:rsid w:val="008D1FE4"/>
    <w:rsid w:val="008F6812"/>
    <w:rsid w:val="00903630"/>
    <w:rsid w:val="00951E9A"/>
    <w:rsid w:val="00957E7F"/>
    <w:rsid w:val="00971F3A"/>
    <w:rsid w:val="009832D7"/>
    <w:rsid w:val="009A526A"/>
    <w:rsid w:val="009B3391"/>
    <w:rsid w:val="009D4C8E"/>
    <w:rsid w:val="009E134B"/>
    <w:rsid w:val="009F3212"/>
    <w:rsid w:val="00A0371E"/>
    <w:rsid w:val="00A2241C"/>
    <w:rsid w:val="00A250A3"/>
    <w:rsid w:val="00A339C2"/>
    <w:rsid w:val="00A60CB8"/>
    <w:rsid w:val="00A63894"/>
    <w:rsid w:val="00A66B10"/>
    <w:rsid w:val="00A91ACC"/>
    <w:rsid w:val="00A95E2D"/>
    <w:rsid w:val="00AA0DD0"/>
    <w:rsid w:val="00AC048B"/>
    <w:rsid w:val="00AC41E1"/>
    <w:rsid w:val="00AD4EC6"/>
    <w:rsid w:val="00AD5A67"/>
    <w:rsid w:val="00B03F0B"/>
    <w:rsid w:val="00B17F85"/>
    <w:rsid w:val="00B21247"/>
    <w:rsid w:val="00B222D8"/>
    <w:rsid w:val="00B27551"/>
    <w:rsid w:val="00B428DF"/>
    <w:rsid w:val="00B44C52"/>
    <w:rsid w:val="00B5035D"/>
    <w:rsid w:val="00B6153F"/>
    <w:rsid w:val="00B773C6"/>
    <w:rsid w:val="00B82609"/>
    <w:rsid w:val="00B866C8"/>
    <w:rsid w:val="00B948AE"/>
    <w:rsid w:val="00BA13F0"/>
    <w:rsid w:val="00BE6762"/>
    <w:rsid w:val="00BE7A6D"/>
    <w:rsid w:val="00C10025"/>
    <w:rsid w:val="00C2345D"/>
    <w:rsid w:val="00C31BC1"/>
    <w:rsid w:val="00C340E6"/>
    <w:rsid w:val="00C40820"/>
    <w:rsid w:val="00C7191B"/>
    <w:rsid w:val="00C73E25"/>
    <w:rsid w:val="00C92282"/>
    <w:rsid w:val="00CA0EBC"/>
    <w:rsid w:val="00CA35EA"/>
    <w:rsid w:val="00CA5A61"/>
    <w:rsid w:val="00CA6925"/>
    <w:rsid w:val="00CC683D"/>
    <w:rsid w:val="00CD6820"/>
    <w:rsid w:val="00CD7903"/>
    <w:rsid w:val="00CE43D6"/>
    <w:rsid w:val="00D01648"/>
    <w:rsid w:val="00D244A2"/>
    <w:rsid w:val="00D65680"/>
    <w:rsid w:val="00D6711D"/>
    <w:rsid w:val="00DA67DE"/>
    <w:rsid w:val="00DB10BC"/>
    <w:rsid w:val="00DB37F0"/>
    <w:rsid w:val="00DB4C6F"/>
    <w:rsid w:val="00DB76F3"/>
    <w:rsid w:val="00DC1C52"/>
    <w:rsid w:val="00DC322B"/>
    <w:rsid w:val="00DD7C9F"/>
    <w:rsid w:val="00DE36E7"/>
    <w:rsid w:val="00E05B78"/>
    <w:rsid w:val="00E0641B"/>
    <w:rsid w:val="00E44333"/>
    <w:rsid w:val="00E46297"/>
    <w:rsid w:val="00E5721F"/>
    <w:rsid w:val="00E6490F"/>
    <w:rsid w:val="00E934C8"/>
    <w:rsid w:val="00EE2230"/>
    <w:rsid w:val="00EE4718"/>
    <w:rsid w:val="00EF3F5D"/>
    <w:rsid w:val="00F0113C"/>
    <w:rsid w:val="00F10898"/>
    <w:rsid w:val="00F167E2"/>
    <w:rsid w:val="00F32F16"/>
    <w:rsid w:val="00F45CDC"/>
    <w:rsid w:val="00F64564"/>
    <w:rsid w:val="00F809F9"/>
    <w:rsid w:val="00FB3243"/>
    <w:rsid w:val="00FC1ED7"/>
    <w:rsid w:val="00FC5D0E"/>
    <w:rsid w:val="00FD3A46"/>
    <w:rsid w:val="00FE2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E23B5C-F0EA-44CF-BF12-78F63757F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CDC"/>
    <w:pPr>
      <w:spacing w:after="210" w:line="210" w:lineRule="atLeast"/>
    </w:pPr>
    <w:rPr>
      <w:rFonts w:ascii="Apercu Pro Light" w:hAnsi="Apercu Pro Light"/>
      <w:color w:val="70AD47" w:themeColor="accent6"/>
      <w:sz w:val="20"/>
      <w:szCs w:val="20"/>
      <w:lang w:val="en-GB"/>
    </w:rPr>
  </w:style>
  <w:style w:type="paragraph" w:styleId="Heading1">
    <w:name w:val="heading 1"/>
    <w:basedOn w:val="Normal"/>
    <w:next w:val="Normal"/>
    <w:link w:val="Heading1Char"/>
    <w:uiPriority w:val="9"/>
    <w:qFormat/>
    <w:rsid w:val="00F45CDC"/>
    <w:pPr>
      <w:keepNext/>
      <w:keepLines/>
      <w:spacing w:before="240" w:after="40" w:line="240" w:lineRule="auto"/>
      <w:outlineLvl w:val="0"/>
    </w:pPr>
    <w:rPr>
      <w:rFonts w:ascii="Apercu Pro" w:eastAsiaTheme="majorEastAsia" w:hAnsi="Apercu Pro" w:cstheme="majorBidi"/>
      <w:noProof/>
      <w:color w:val="41C363"/>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CDC"/>
    <w:rPr>
      <w:rFonts w:ascii="Apercu Pro" w:eastAsiaTheme="majorEastAsia" w:hAnsi="Apercu Pro" w:cstheme="majorBidi"/>
      <w:noProof/>
      <w:color w:val="41C363"/>
      <w:sz w:val="20"/>
      <w:szCs w:val="32"/>
    </w:rPr>
  </w:style>
  <w:style w:type="character" w:styleId="Hyperlink">
    <w:name w:val="Hyperlink"/>
    <w:basedOn w:val="DefaultParagraphFont"/>
    <w:uiPriority w:val="99"/>
    <w:unhideWhenUsed/>
    <w:qFormat/>
    <w:rsid w:val="00F45CDC"/>
    <w:rPr>
      <w:color w:val="0563C1" w:themeColor="hyperlink"/>
      <w:u w:val="single"/>
    </w:rPr>
  </w:style>
  <w:style w:type="paragraph" w:customStyle="1" w:styleId="AltHeaderTitleunnumbered">
    <w:name w:val="Alt Header Title (unnumbered)"/>
    <w:basedOn w:val="Header"/>
    <w:uiPriority w:val="1"/>
    <w:qFormat/>
    <w:rsid w:val="00F45CDC"/>
    <w:pPr>
      <w:tabs>
        <w:tab w:val="clear" w:pos="4680"/>
        <w:tab w:val="clear" w:pos="9360"/>
        <w:tab w:val="center" w:pos="4153"/>
        <w:tab w:val="right" w:pos="8306"/>
      </w:tabs>
      <w:spacing w:before="240" w:after="40" w:line="276" w:lineRule="auto"/>
    </w:pPr>
    <w:rPr>
      <w:rFonts w:ascii="Apercu Pro" w:hAnsi="Apercu Pro" w:cs="Arial"/>
      <w:b/>
      <w:noProof/>
      <w:color w:val="000000" w:themeColor="text1"/>
      <w:lang w:val="en-US"/>
    </w:rPr>
  </w:style>
  <w:style w:type="paragraph" w:styleId="ListParagraph">
    <w:name w:val="List Paragraph"/>
    <w:basedOn w:val="Normal"/>
    <w:link w:val="ListParagraphChar"/>
    <w:uiPriority w:val="34"/>
    <w:qFormat/>
    <w:rsid w:val="00F45CDC"/>
    <w:pPr>
      <w:numPr>
        <w:numId w:val="1"/>
      </w:numPr>
      <w:spacing w:after="40" w:line="240" w:lineRule="auto"/>
      <w:ind w:left="274" w:hanging="274"/>
    </w:pPr>
    <w:rPr>
      <w:color w:val="auto"/>
      <w:sz w:val="18"/>
      <w:lang w:val="en-US"/>
    </w:rPr>
  </w:style>
  <w:style w:type="paragraph" w:styleId="Header">
    <w:name w:val="header"/>
    <w:basedOn w:val="Normal"/>
    <w:link w:val="HeaderChar"/>
    <w:uiPriority w:val="99"/>
    <w:unhideWhenUsed/>
    <w:rsid w:val="00F45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CDC"/>
    <w:rPr>
      <w:rFonts w:ascii="Apercu Pro Light" w:hAnsi="Apercu Pro Light"/>
      <w:color w:val="70AD47" w:themeColor="accent6"/>
      <w:sz w:val="20"/>
      <w:szCs w:val="20"/>
      <w:lang w:val="en-GB"/>
    </w:rPr>
  </w:style>
  <w:style w:type="paragraph" w:styleId="Footer">
    <w:name w:val="footer"/>
    <w:basedOn w:val="Normal"/>
    <w:link w:val="FooterChar"/>
    <w:uiPriority w:val="99"/>
    <w:unhideWhenUsed/>
    <w:rsid w:val="00244A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4AE3"/>
    <w:rPr>
      <w:rFonts w:ascii="Apercu Pro Light" w:hAnsi="Apercu Pro Light"/>
      <w:color w:val="70AD47" w:themeColor="accent6"/>
      <w:sz w:val="20"/>
      <w:szCs w:val="20"/>
      <w:lang w:val="en-GB"/>
    </w:rPr>
  </w:style>
  <w:style w:type="paragraph" w:styleId="Title">
    <w:name w:val="Title"/>
    <w:basedOn w:val="Normal"/>
    <w:next w:val="Normal"/>
    <w:link w:val="TitleChar"/>
    <w:uiPriority w:val="10"/>
    <w:qFormat/>
    <w:rsid w:val="00244AE3"/>
    <w:pPr>
      <w:spacing w:after="0" w:line="240" w:lineRule="auto"/>
      <w:contextualSpacing/>
    </w:pPr>
    <w:rPr>
      <w:rFonts w:ascii="Apercu Avnet Mono" w:eastAsiaTheme="majorEastAsia" w:hAnsi="Apercu Avnet Mono" w:cstheme="majorBidi"/>
      <w:color w:val="41C363"/>
      <w:spacing w:val="-10"/>
      <w:kern w:val="28"/>
      <w:sz w:val="32"/>
      <w:szCs w:val="56"/>
      <w:lang w:val="en-US"/>
    </w:rPr>
  </w:style>
  <w:style w:type="character" w:customStyle="1" w:styleId="TitleChar">
    <w:name w:val="Title Char"/>
    <w:basedOn w:val="DefaultParagraphFont"/>
    <w:link w:val="Title"/>
    <w:uiPriority w:val="10"/>
    <w:rsid w:val="00244AE3"/>
    <w:rPr>
      <w:rFonts w:ascii="Apercu Avnet Mono" w:eastAsiaTheme="majorEastAsia" w:hAnsi="Apercu Avnet Mono" w:cstheme="majorBidi"/>
      <w:color w:val="41C363"/>
      <w:spacing w:val="-10"/>
      <w:kern w:val="28"/>
      <w:sz w:val="32"/>
      <w:szCs w:val="56"/>
    </w:rPr>
  </w:style>
  <w:style w:type="character" w:customStyle="1" w:styleId="ListParagraphChar">
    <w:name w:val="List Paragraph Char"/>
    <w:link w:val="ListParagraph"/>
    <w:uiPriority w:val="34"/>
    <w:qFormat/>
    <w:rsid w:val="006F4E70"/>
    <w:rPr>
      <w:rFonts w:ascii="Apercu Pro Light" w:hAnsi="Apercu Pro Light"/>
      <w:sz w:val="18"/>
      <w:szCs w:val="20"/>
    </w:rPr>
  </w:style>
  <w:style w:type="character" w:styleId="Strong">
    <w:name w:val="Strong"/>
    <w:basedOn w:val="DefaultParagraphFont"/>
    <w:uiPriority w:val="22"/>
    <w:qFormat/>
    <w:rsid w:val="006F4E70"/>
    <w:rPr>
      <w:b/>
      <w:bCs/>
    </w:rPr>
  </w:style>
  <w:style w:type="paragraph" w:styleId="BalloonText">
    <w:name w:val="Balloon Text"/>
    <w:basedOn w:val="Normal"/>
    <w:link w:val="BalloonTextChar"/>
    <w:uiPriority w:val="99"/>
    <w:semiHidden/>
    <w:unhideWhenUsed/>
    <w:rsid w:val="00E64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490F"/>
    <w:rPr>
      <w:rFonts w:ascii="Segoe UI" w:hAnsi="Segoe UI" w:cs="Segoe UI"/>
      <w:color w:val="70AD47" w:themeColor="accent6"/>
      <w:sz w:val="18"/>
      <w:szCs w:val="18"/>
      <w:lang w:val="en-GB"/>
    </w:rPr>
  </w:style>
  <w:style w:type="paragraph" w:customStyle="1" w:styleId="Standard">
    <w:name w:val="Standard"/>
    <w:rsid w:val="00C73E25"/>
    <w:pPr>
      <w:suppressAutoHyphens/>
      <w:autoSpaceDN w:val="0"/>
      <w:spacing w:after="210" w:line="210" w:lineRule="atLeast"/>
    </w:pPr>
    <w:rPr>
      <w:rFonts w:ascii="Apercu Pro Light" w:eastAsia="SimSun" w:hAnsi="Apercu Pro Light" w:cs="F"/>
      <w:color w:val="70AD47"/>
      <w:kern w:val="3"/>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54536">
      <w:bodyDiv w:val="1"/>
      <w:marLeft w:val="0"/>
      <w:marRight w:val="0"/>
      <w:marTop w:val="0"/>
      <w:marBottom w:val="0"/>
      <w:divBdr>
        <w:top w:val="none" w:sz="0" w:space="0" w:color="auto"/>
        <w:left w:val="none" w:sz="0" w:space="0" w:color="auto"/>
        <w:bottom w:val="none" w:sz="0" w:space="0" w:color="auto"/>
        <w:right w:val="none" w:sz="0" w:space="0" w:color="auto"/>
      </w:divBdr>
    </w:div>
    <w:div w:id="841772572">
      <w:bodyDiv w:val="1"/>
      <w:marLeft w:val="0"/>
      <w:marRight w:val="0"/>
      <w:marTop w:val="0"/>
      <w:marBottom w:val="0"/>
      <w:divBdr>
        <w:top w:val="none" w:sz="0" w:space="0" w:color="auto"/>
        <w:left w:val="none" w:sz="0" w:space="0" w:color="auto"/>
        <w:bottom w:val="none" w:sz="0" w:space="0" w:color="auto"/>
        <w:right w:val="none" w:sz="0" w:space="0" w:color="auto"/>
      </w:divBdr>
    </w:div>
    <w:div w:id="970480280">
      <w:bodyDiv w:val="1"/>
      <w:marLeft w:val="0"/>
      <w:marRight w:val="0"/>
      <w:marTop w:val="0"/>
      <w:marBottom w:val="0"/>
      <w:divBdr>
        <w:top w:val="none" w:sz="0" w:space="0" w:color="auto"/>
        <w:left w:val="none" w:sz="0" w:space="0" w:color="auto"/>
        <w:bottom w:val="none" w:sz="0" w:space="0" w:color="auto"/>
        <w:right w:val="none" w:sz="0" w:space="0" w:color="auto"/>
      </w:divBdr>
    </w:div>
    <w:div w:id="1197501778">
      <w:bodyDiv w:val="1"/>
      <w:marLeft w:val="0"/>
      <w:marRight w:val="0"/>
      <w:marTop w:val="0"/>
      <w:marBottom w:val="0"/>
      <w:divBdr>
        <w:top w:val="none" w:sz="0" w:space="0" w:color="auto"/>
        <w:left w:val="none" w:sz="0" w:space="0" w:color="auto"/>
        <w:bottom w:val="none" w:sz="0" w:space="0" w:color="auto"/>
        <w:right w:val="none" w:sz="0" w:space="0" w:color="auto"/>
      </w:divBdr>
    </w:div>
    <w:div w:id="1527714603">
      <w:bodyDiv w:val="1"/>
      <w:marLeft w:val="0"/>
      <w:marRight w:val="0"/>
      <w:marTop w:val="0"/>
      <w:marBottom w:val="0"/>
      <w:divBdr>
        <w:top w:val="none" w:sz="0" w:space="0" w:color="auto"/>
        <w:left w:val="none" w:sz="0" w:space="0" w:color="auto"/>
        <w:bottom w:val="none" w:sz="0" w:space="0" w:color="auto"/>
        <w:right w:val="none" w:sz="0" w:space="0" w:color="auto"/>
      </w:divBdr>
    </w:div>
    <w:div w:id="166928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lement14.com/gateway%20Page%2017"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682</Words>
  <Characters>3889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Peters</dc:creator>
  <cp:keywords/>
  <dc:description/>
  <cp:lastModifiedBy>Wayne Peters</cp:lastModifiedBy>
  <cp:revision>3</cp:revision>
  <cp:lastPrinted>2019-12-04T15:17:00Z</cp:lastPrinted>
  <dcterms:created xsi:type="dcterms:W3CDTF">2020-07-13T17:57:00Z</dcterms:created>
  <dcterms:modified xsi:type="dcterms:W3CDTF">2020-07-13T17:59:00Z</dcterms:modified>
</cp:coreProperties>
</file>