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32"/>
        </w:rPr>
        <w:t>IRIS Registration Synopsis</w:t>
      </w:r>
    </w:p>
    <w:p>
      <w:pPr>
        <w:spacing w:after="280"/>
      </w:pPr>
      <w:r>
        <w:rPr>
          <w:b w:val="0"/>
          <w:i/>
          <w:sz w:val="20"/>
        </w:rPr>
        <w:t>Seven-part synopsis for the IRIS online registration form, within IRIS's stated word limits. The complete research paper follows below, after the page break.</w:t>
      </w:r>
    </w:p>
    <w:p>
      <w:pPr>
        <w:spacing w:after="40"/>
      </w:pPr>
      <w:r>
        <w:rPr>
          <w:b/>
          <w:i w:val="0"/>
          <w:sz w:val="24"/>
        </w:rPr>
        <w:t>Abstract  (242/250 words)</w:t>
      </w:r>
    </w:p>
    <w:p>
      <w:pPr>
        <w:spacing w:after="280"/>
      </w:pPr>
      <w:r>
        <w:rPr>
          <w:b w:val="0"/>
          <w:i w:val="0"/>
          <w:sz w:val="22"/>
        </w:rPr>
        <w:t>Harmful algal blooms (HABs) cause serious economic losses for shellfish cooperatives along India's Kerala–Karnataka coast, yet no existing forecast model calibrates its predicted probabilities against real harvest-closure events. This project introduces outcome-anchored calibration — fitting Platt scaling on documented closures reported by the Central Marine Fisheries Research Institute (CMFRI) — and tests it against a full weekly forecast pipeline built on NASA VIIRS chlorophyll-a and sea surface temperature, IMD district rainfall, and an XGBoost model with 69 engineered features. Across three rolling temporal validation splits (2022 and 2024 hold-out years, N=276 pooled), the model reaches AUC 0.809, Expected Calibration Error 0.094, and Brier score 0.131 for the elevated-chlorophyll target (chl-a greater than 2 mg per cubic metre). A bootstrap power analysis (200 draws at N = 4 to 92 documented events) shows that outcome-anchored calibration never beats the raw XGBoost baseline at any tested sample size — the reason is a hard data limit: CMFRI has documented only four bloom-closure events since 2020. Cross-checking the satellite proxy against those four events also reveals a species-specific blind spot: only one crosses the chlorophyll threshold, because the other three are Trichodesmium blooms, whose pigments the standard retrieval misses. The main finding is that outcome-anchored calibration requires far more documented events than currently exist in Indian coastal records, that raw, well-calibrated boosted-tree probabilities are already operationally adequate for elevated-chlorophyll forecasting, and that the Trichodesmium blind spot is a concrete, addressable direction for future satellite-index research.</w:t>
      </w:r>
    </w:p>
    <w:p>
      <w:pPr>
        <w:spacing w:after="40"/>
      </w:pPr>
      <w:r>
        <w:rPr>
          <w:b/>
          <w:i w:val="0"/>
          <w:sz w:val="24"/>
        </w:rPr>
        <w:t>Introduction &amp; Objective  (125/150 words)</w:t>
      </w:r>
    </w:p>
    <w:p>
      <w:pPr>
        <w:spacing w:after="280"/>
      </w:pPr>
      <w:r>
        <w:rPr>
          <w:b w:val="0"/>
          <w:i w:val="0"/>
          <w:sz w:val="22"/>
        </w:rPr>
        <w:t>Shellfish cooperatives along Kerala and Karnataka work on narrow margins, and a bloom detected only after animals have accumulated toxins is already too late — so a forecast is only useful if farmers can trust its probability, not just its ranking. Public satellite chlorophyll-a and sea-surface-temperature records, together with India Meteorological Department rainfall and CMFRI event reports, make data-driven forecasting possible without proprietary sensors, but nearshore, farm-scale probability forecasting for Indian aquaculture remains a research gap, and probability calibration is rarely tested against real economic outcomes rather than internal cross-validation. The objective of this project is to build an automated weekly bloom-risk pipeline for this coastline and test whether calibrating its probabilities against documented harvest-closure events, rather than standard cross-validation, produces a more trustworthy forecast.</w:t>
      </w:r>
    </w:p>
    <w:p>
      <w:pPr>
        <w:spacing w:after="40"/>
      </w:pPr>
      <w:r>
        <w:rPr>
          <w:b/>
          <w:i w:val="0"/>
          <w:sz w:val="24"/>
        </w:rPr>
        <w:t>Innovation  (93/100 words)</w:t>
      </w:r>
    </w:p>
    <w:p>
      <w:pPr>
        <w:spacing w:after="280"/>
      </w:pPr>
      <w:r>
        <w:rPr>
          <w:b w:val="0"/>
          <w:i w:val="0"/>
          <w:sz w:val="22"/>
        </w:rPr>
        <w:t>This project introduces outcome-anchored calibration: fitting a probability-calibration curve directly on documented economic-outcome data (CMFRI harvest closures) instead of an internal validation split, standard practice in every prior calibration study reviewed for this work. Rather than assuming the method works, a bootstrap power analysis quantifies exactly how many documented events it would need — the honest answer is more than currently exist. That quantified negative result, a documented species-specific blind spot in the bloom proxy, and a free multilingual (English, Hindi, Malayalam, Kannada) delivery layer are original contributions, not just a notebook exercise.</w:t>
      </w:r>
    </w:p>
    <w:p>
      <w:pPr>
        <w:spacing w:after="40"/>
      </w:pPr>
      <w:r>
        <w:rPr>
          <w:b/>
          <w:i w:val="0"/>
          <w:sz w:val="24"/>
        </w:rPr>
        <w:t>Methodology  (231/250 words)</w:t>
      </w:r>
    </w:p>
    <w:p>
      <w:pPr>
        <w:spacing w:after="280"/>
      </w:pPr>
      <w:r>
        <w:rPr>
          <w:b w:val="0"/>
          <w:i w:val="0"/>
          <w:sz w:val="22"/>
        </w:rPr>
        <w:t>A 2020–2024 weekly dataset (460 rows, two regions) was built from NASA VIIRS chlorophyll-a and sea surface temperature, IMD district rainfall, and CMFRI Annual Report bloom events, with 69 lagged, rolling, and anomaly features engineered per region-week. Logistic Regression, Random Forest, and XGBoost baselines were trained and compared on AUC, Brier score, and Expected Calibration Error; XGBoost (300 trees, depth 4, learning rate 0.05) was selected as the strongest small-sample tabular learner. Three calibration variants were evaluated — raw XGBoost, standard sigmoid cross-validation, and outcome-anchored Platt scaling fit on CMFRI-documented closures — across three rolling temporal train/test splits (never randomly shuffled, since the forecast must generalise forward in time), pooled across 276 test weeks. A bootstrap power analysis (200 draws per calibration-set size, N from 4 to 92, with 95% confidence intervals) tested whether outcome-anchored calibration could ever beat the raw baseline as more events became available. Finally, the chl-a &gt; 2 mg/m³ proxy threshold was cross-validated against the four real CMFRI-documented events to check whether the satellite signal detects the blooms CMFRI actually records. The underlying satellite and rainfall archive spans 2020–2024, but the modelling, calibration testing, and power analysis reported here were newly conducted in 2026, and the deployed model retrains weekly on a rolling six-year window of live data with an automated drift guard — so the experimental work itself, not just the raw historical archive, is current.</w:t>
      </w:r>
    </w:p>
    <w:p>
      <w:pPr>
        <w:spacing w:after="40"/>
      </w:pPr>
      <w:r>
        <w:rPr>
          <w:b/>
          <w:i w:val="0"/>
          <w:sz w:val="24"/>
        </w:rPr>
        <w:t>Results &amp; Conclusions  (125/150 words)</w:t>
      </w:r>
    </w:p>
    <w:p>
      <w:pPr>
        <w:spacing w:after="280"/>
      </w:pPr>
      <w:r>
        <w:rPr>
          <w:b w:val="0"/>
          <w:i w:val="0"/>
          <w:sz w:val="22"/>
        </w:rPr>
        <w:t>Pooled across three rolling temporal splits (N=276), the model reached AUC 0.809, Brier score 0.131, and ECE 0.094 for the elevated-chlorophyll target — probabilities that are reasonably trustworthy without post-hoc adjustment. The power analysis showed outcome-anchored calibration never beat the raw XGBoost baseline at any tested sample size (N = 4 to 92); at India's real event count (N=4), it was more than twice as bad. Proxy validation found only 1 of 4 documented CMFRI events crossed the chlorophyll threshold — the other three, all Trichodesmium blooms, were missed by standard retrieval. Outcome-anchored calibration needs dozens more documented closure events than currently exist; raw, well-calibrated XGBoost is already operationally sufficient; and closing the Trichodesmium blind spot with species-specific satellite indices is the highest-value next step.</w:t>
      </w:r>
    </w:p>
    <w:p>
      <w:pPr>
        <w:spacing w:after="40"/>
      </w:pPr>
      <w:r>
        <w:rPr>
          <w:b/>
          <w:i w:val="0"/>
          <w:sz w:val="24"/>
        </w:rPr>
        <w:t>Acknowledgement &amp; References  (76/100 words)</w:t>
      </w:r>
    </w:p>
    <w:p>
      <w:pPr>
        <w:spacing w:after="280"/>
      </w:pPr>
      <w:r>
        <w:rPr>
          <w:b w:val="0"/>
          <w:i w:val="0"/>
          <w:sz w:val="22"/>
        </w:rPr>
        <w:t>Thanks to Abhisek Mallick (Northeastern University) for guidance on calibration methodology and temporal validation design, and to the Central Marine Fisheries Research Institute for the Annual Reports documenting India's coastal HAB events. Key references: Platt (1999) on probability calibration; Guo et al. (2017, ICML) on modern calibration failure; Chen &amp; Guestrin (2016, KDD) on XGBoost; Padmakumar et al. (2012, Current Science) on Indian coastal HAB trends. Full 16-source bibliography appears in the complete research paper below.</w:t>
      </w:r>
    </w:p>
    <w:p>
      <w:pPr>
        <w:spacing w:after="40"/>
      </w:pPr>
      <w:r>
        <w:rPr>
          <w:b/>
          <w:i w:val="0"/>
          <w:sz w:val="24"/>
        </w:rPr>
        <w:t>Project Video (≤90 seconds)</w:t>
      </w:r>
    </w:p>
    <w:p>
      <w:pPr>
        <w:spacing w:after="280"/>
      </w:pPr>
      <w:r>
        <w:rPr>
          <w:b w:val="0"/>
          <w:i w:val="0"/>
          <w:sz w:val="22"/>
        </w:rPr>
        <w:t>To be recorded separately per IRIS's video requirement; suggested talking points and the 60-second pitch script are in the project's NARRATIVE.md.</w:t>
      </w:r>
    </w:p>
    <w:p>
      <w:r>
        <w:br w:type="page"/>
      </w:r>
    </w:p>
    <w:p>
      <w:pPr>
        <w:spacing w:after="280"/>
      </w:pPr>
      <w:r>
        <w:rPr>
          <w:b/>
          <w:i w:val="0"/>
          <w:sz w:val="32"/>
        </w:rPr>
        <w:t>Full Research Paper</w:t>
      </w:r>
    </w:p>
    <w:p>
      <w:pPr>
        <w:spacing w:after="120"/>
        <w:jc w:val="center"/>
      </w:pPr>
      <w:r>
        <w:rPr>
          <w:rFonts w:ascii="Times New Roman" w:hAnsi="Times New Roman" w:cs="Times New Roman"/>
          <w:b/>
          <w:i w:val="0"/>
          <w:sz w:val="32"/>
        </w:rPr>
        <w:t>Predicting Elevated Bloom Risk in Nearshore Shellfish Farming Zones</w:t>
      </w:r>
    </w:p>
    <w:p>
      <w:pPr>
        <w:jc w:val="center"/>
      </w:pPr>
      <w:r>
        <w:rPr>
          <w:rFonts w:ascii="Times New Roman" w:hAnsi="Times New Roman" w:cs="Times New Roman"/>
          <w:b w:val="0"/>
          <w:i/>
          <w:sz w:val="28"/>
        </w:rPr>
        <w:t>An Empirical Sample-Size Floor for Outcome-Anchored Calibration</w:t>
      </w:r>
    </w:p>
    <w:p/>
    <w:p>
      <w:pPr>
        <w:jc w:val="center"/>
      </w:pPr>
      <w:r>
        <w:rPr>
          <w:rFonts w:ascii="Times New Roman" w:hAnsi="Times New Roman" w:cs="Times New Roman"/>
          <w:b/>
          <w:i w:val="0"/>
          <w:sz w:val="26"/>
        </w:rPr>
        <w:t>Authors</w:t>
      </w:r>
    </w:p>
    <w:p>
      <w:pPr>
        <w:jc w:val="center"/>
      </w:pPr>
      <w:r>
        <w:rPr>
          <w:rFonts w:ascii="Times New Roman" w:hAnsi="Times New Roman" w:cs="Times New Roman"/>
          <w:b w:val="0"/>
          <w:i w:val="0"/>
          <w:sz w:val="24"/>
        </w:rPr>
        <w:t>Avni Singh (student), India</w:t>
      </w:r>
    </w:p>
    <w:p>
      <w:pPr>
        <w:jc w:val="center"/>
      </w:pPr>
      <w:r>
        <w:rPr>
          <w:rFonts w:ascii="Times New Roman" w:hAnsi="Times New Roman" w:cs="Times New Roman"/>
          <w:b w:val="0"/>
          <w:i w:val="0"/>
          <w:sz w:val="24"/>
        </w:rPr>
        <w:t>Abhisek Mallick (mentor), Northeastern University, Boston, USA</w:t>
      </w:r>
    </w:p>
    <w:p>
      <w:pPr>
        <w:jc w:val="center"/>
      </w:pPr>
      <w:r>
        <w:rPr>
          <w:rFonts w:ascii="Times New Roman" w:hAnsi="Times New Roman" w:cs="Times New Roman"/>
          <w:b w:val="0"/>
          <w:i/>
          <w:sz w:val="24"/>
        </w:rPr>
        <w:t>Corresponding author: avnisingh0707@gmail.com</w:t>
      </w:r>
    </w:p>
    <w:p/>
    <w:p>
      <w:pPr>
        <w:jc w:val="center"/>
      </w:pPr>
      <w:r>
        <w:rPr>
          <w:rFonts w:ascii="Times New Roman" w:hAnsi="Times New Roman" w:cs="Times New Roman"/>
          <w:b/>
          <w:i w:val="0"/>
          <w:sz w:val="24"/>
        </w:rPr>
        <w:t xml:space="preserve">Keywords: </w:t>
      </w:r>
      <w:r>
        <w:rPr>
          <w:rFonts w:ascii="Times New Roman" w:hAnsi="Times New Roman" w:cs="Times New Roman"/>
          <w:b w:val="0"/>
          <w:i w:val="0"/>
          <w:sz w:val="24"/>
        </w:rPr>
        <w:t>Earth Science · Coastal Oceanography · Harmful Algal Blooms · Machine Learning Calibration · Satellite Remote Sensing</w:t>
      </w:r>
    </w:p>
    <w:p>
      <w:r>
        <w:br w:type="page"/>
      </w:r>
    </w:p>
    <w:p>
      <w:pPr>
        <w:keepNext/>
        <w:spacing w:before="240" w:after="120"/>
      </w:pPr>
      <w:r>
        <w:rPr>
          <w:rFonts w:ascii="Times New Roman" w:hAnsi="Times New Roman" w:cs="Times New Roman"/>
          <w:b/>
          <w:i w:val="0"/>
          <w:sz w:val="28"/>
        </w:rPr>
        <w:t>Abstract</w:t>
      </w:r>
    </w:p>
    <w:p>
      <w:pPr>
        <w:jc w:val="both"/>
      </w:pPr>
      <w:r>
        <w:rPr>
          <w:rFonts w:ascii="Times New Roman" w:hAnsi="Times New Roman" w:cs="Times New Roman"/>
          <w:b w:val="0"/>
          <w:i w:val="0"/>
          <w:sz w:val="24"/>
        </w:rPr>
        <w:t>Harmful algal blooms (HABs) cause serious economic losses for shellfish cooperatives along the Kerala–Karnataka coast of India. Despite this, no existing model calibrates its predicted probabilities against real harvest-closure events. In this study we introduce the idea of outcome-anchored calibration and test it using Platt scaling on CMFRI-reported closures. We built a full weekly forecast pipeline that uses NASA VIIRS chlorophyll-a and sea surface temperature, IMD district rainfall, and an XGBoost model with 69 engineered features.</w:t>
      </w:r>
    </w:p>
    <w:p>
      <w:pPr>
        <w:jc w:val="both"/>
      </w:pPr>
      <w:r>
        <w:rPr>
          <w:rFonts w:ascii="Times New Roman" w:hAnsi="Times New Roman" w:cs="Times New Roman"/>
          <w:b w:val="0"/>
          <w:i w:val="0"/>
          <w:sz w:val="24"/>
        </w:rPr>
        <w:t>Pooled across three rolling temporal validation splits (test years 2022 and 2024, N=276), the model achieved AUC 0.809, Expected Calibration Error 0.094, and Brier score 0.131, using the elevated-chlorophyll target of chl-a &gt; 2 mg/m³. A power analysis (200 bootstrap draws at N ∈ {4, 6, 8, 12, 16, 24, 32, 48, 64, 92}) then showed that Platt-scaled harvest-loss calibration never beats the raw XGBoost baseline of 0.087 at any tested sample size. Cross-checking the proxy against the four documented CMFRI events showed that only one event (25%) crossed the chl-a threshold; the two Trichodesmium blooms in 2023 and 2024 were both missed because their photopigments sit outside the standard chlorophyll retrieval bands.</w:t>
      </w:r>
    </w:p>
    <w:p>
      <w:pPr>
        <w:jc w:val="both"/>
      </w:pPr>
      <w:r>
        <w:rPr>
          <w:rFonts w:ascii="Times New Roman" w:hAnsi="Times New Roman" w:cs="Times New Roman"/>
          <w:b w:val="0"/>
          <w:i w:val="0"/>
          <w:sz w:val="24"/>
        </w:rPr>
        <w:t>The main finding is that outcome-anchored calibration requires many more documented events than currently exist in Indian coastal HAB records. Raw, well-calibrated boosted-tree probabilities are already operationally sufficient for elevated-chlorophyll targets, and the species-specific optical blind spot motivates future work on Trichodesmium-sensitive satellite indices.</w:t>
      </w:r>
    </w:p>
    <w:p>
      <w:pPr>
        <w:keepNext/>
        <w:spacing w:before="240" w:after="120"/>
      </w:pPr>
      <w:r>
        <w:rPr>
          <w:rFonts w:ascii="Times New Roman" w:hAnsi="Times New Roman" w:cs="Times New Roman"/>
          <w:b/>
          <w:i w:val="0"/>
          <w:sz w:val="28"/>
        </w:rPr>
        <w:t>Introduction</w:t>
      </w:r>
    </w:p>
    <w:p>
      <w:pPr>
        <w:jc w:val="both"/>
      </w:pPr>
      <w:r>
        <w:rPr>
          <w:rFonts w:ascii="Times New Roman" w:hAnsi="Times New Roman" w:cs="Times New Roman"/>
          <w:b w:val="0"/>
          <w:i w:val="0"/>
          <w:sz w:val="24"/>
        </w:rPr>
        <w:t>Harmful algal blooms are a persistent operational problem for coastal aquaculture. Rapid growth of phytoplankton (whether toxic or oxygen-depleting) contaminates shellfish, forces harvest closures, and creates immediate financial loss for growers. Farmers along India's Kerala and Karnataka coasts work on narrow economic margins, and a bloom detected only after animals have accumulated toxins or died is no longer useful. The value of a bloom prediction therefore lies not only in accuracy but in lead time and probability reliability: the farmer must be able to trust that a “40% risk” number really means blooms happen about 40% of the time, not 5% or 75%.</w:t>
      </w:r>
    </w:p>
    <w:p>
      <w:pPr>
        <w:jc w:val="both"/>
      </w:pPr>
      <w:r>
        <w:rPr>
          <w:rFonts w:ascii="Times New Roman" w:hAnsi="Times New Roman" w:cs="Times New Roman"/>
          <w:b w:val="0"/>
          <w:i w:val="0"/>
          <w:sz w:val="24"/>
        </w:rPr>
        <w:t>Public Earth-observation and hydrometeorological archives now make data-driven bloom forecasting possible without proprietary sensor arrays. NASA's satellite chlorophyll-a and sea surface temperature (SST) products, together with IMD district-level rainfall and CMFRI Annual Reports, provide a nearshore-relevant environmental record. However, most prior data-driven HAB studies focus on visible bloom detection or on temperate lakes with dense monitoring. Nearshore, farm-scale probability forecasting for Indian shellfish aquaculture remains a research gap.</w:t>
      </w:r>
    </w:p>
    <w:p>
      <w:pPr>
        <w:jc w:val="both"/>
      </w:pPr>
      <w:r>
        <w:rPr>
          <w:rFonts w:ascii="Times New Roman" w:hAnsi="Times New Roman" w:cs="Times New Roman"/>
          <w:b w:val="0"/>
          <w:i w:val="0"/>
          <w:sz w:val="24"/>
        </w:rPr>
        <w:t>A less-studied issue is probability calibration. A model can rank weeks correctly (high AUC) while producing systematically miscalibrated probability numbers — for example, saying 20% risk when the true rate is 40%. Standard post-hoc calibration methods (Platt scaling, isotonic regression) re-fit probabilities on a held-out validation set. We propose a novel variant that fits the calibration curve on documented harvest-closure events from CMFRI rather than on internal cross-validation data. If successful, this would tie the model's probability output directly to observed economic outcomes.</w:t>
      </w:r>
    </w:p>
    <w:p>
      <w:pPr>
        <w:jc w:val="both"/>
      </w:pPr>
      <w:r>
        <w:rPr>
          <w:rFonts w:ascii="Times New Roman" w:hAnsi="Times New Roman" w:cs="Times New Roman"/>
          <w:b w:val="0"/>
          <w:i w:val="0"/>
          <w:sz w:val="24"/>
        </w:rPr>
        <w:t>This project develops and empirically tests outcome-anchored calibration on a 2020–2024 weekly dataset for the Kerala and Karnataka coasts. Its three main contributions are: (1) a weekly-refreshed operational pipeline for elevated bloom risk, (2) a power analysis quantifying the sample-size floor at which outcome-anchored calibration becomes viable, and (3) identification of a species-specific blind spot in the standard chlorophyll-a target that shapes future HAB satellite monitoring.</w:t>
      </w:r>
    </w:p>
    <w:p>
      <w:pPr>
        <w:keepNext/>
        <w:spacing w:before="240" w:after="120"/>
      </w:pPr>
      <w:r>
        <w:rPr>
          <w:rFonts w:ascii="Times New Roman" w:hAnsi="Times New Roman" w:cs="Times New Roman"/>
          <w:b/>
          <w:i w:val="0"/>
          <w:sz w:val="28"/>
        </w:rPr>
        <w:t>Aim (with objectives)</w:t>
      </w:r>
    </w:p>
    <w:p>
      <w:pPr>
        <w:jc w:val="both"/>
      </w:pPr>
      <w:r>
        <w:rPr>
          <w:rFonts w:ascii="Times New Roman" w:hAnsi="Times New Roman" w:cs="Times New Roman"/>
          <w:b w:val="0"/>
          <w:i w:val="0"/>
          <w:sz w:val="24"/>
        </w:rPr>
        <w:t>Primary aim: to test whether calibrating environmental probability forecasts against documented economic-outcome data (harvest closures) is a viable improvement over standard cross-validation calibration, using harmful algal bloom forecasting on India's Kerala–Karnataka coasts as the case study.</w:t>
      </w:r>
    </w:p>
    <w:p>
      <w:pPr>
        <w:jc w:val="both"/>
      </w:pPr>
      <w:r>
        <w:rPr>
          <w:rFonts w:ascii="Times New Roman" w:hAnsi="Times New Roman" w:cs="Times New Roman"/>
          <w:b w:val="0"/>
          <w:i w:val="0"/>
          <w:sz w:val="24"/>
        </w:rPr>
        <w:t>This matters because coastal shellfish cooperatives depend on accurate bloom warnings for harvest decisions. Existing forecast systems often give probabilities that are ranking-correct but not calibration-trustworthy, so farmers fall back on personal judgment. If calibration against real economic outcomes proves viable, the same method can be applied to flood loss claims, wildfire insurance data, and crop damage records — a broader class of environmental forecasts.</w:t>
      </w:r>
    </w:p>
    <w:p>
      <w:pPr>
        <w:jc w:val="both"/>
      </w:pPr>
      <w:r>
        <w:rPr>
          <w:rFonts w:ascii="Times New Roman" w:hAnsi="Times New Roman" w:cs="Times New Roman"/>
          <w:b w:val="0"/>
          <w:i w:val="0"/>
          <w:sz w:val="24"/>
        </w:rPr>
        <w:t>Success looks like: a fully automated weekly-refreshed forecast pipeline using only public data, a publishable finding (positive or negative) on outcome-anchored calibration with a defensible sample-size analysis, and a working end-user delivery layer that a real cooperative could evaluate.</w:t>
      </w:r>
    </w:p>
    <w:p>
      <w:pPr>
        <w:jc w:val="both"/>
      </w:pPr>
      <w:r>
        <w:rPr>
          <w:rFonts w:ascii="Times New Roman" w:hAnsi="Times New Roman" w:cs="Times New Roman"/>
          <w:b w:val="0"/>
          <w:i w:val="0"/>
          <w:sz w:val="24"/>
        </w:rPr>
        <w:t>Objectives:</w:t>
      </w:r>
    </w:p>
    <w:p>
      <w:pPr>
        <w:pStyle w:val="ListNumber"/>
        <w:spacing w:after="60"/>
      </w:pPr>
      <w:r>
        <w:rPr>
          <w:rFonts w:ascii="Times New Roman" w:hAnsi="Times New Roman" w:cs="Times New Roman"/>
          <w:b w:val="0"/>
          <w:i w:val="0"/>
          <w:sz w:val="24"/>
        </w:rPr>
        <w:t>Review published HAB machine-learning methods, satellite chlorophyll retrieval limitations, and probability calibration theory. Identify the specific gap that outcome-anchored calibration would fill.</w:t>
      </w:r>
    </w:p>
    <w:p>
      <w:pPr>
        <w:pStyle w:val="ListNumber"/>
        <w:spacing w:after="60"/>
      </w:pPr>
      <w:r>
        <w:rPr>
          <w:rFonts w:ascii="Times New Roman" w:hAnsi="Times New Roman" w:cs="Times New Roman"/>
          <w:b w:val="0"/>
          <w:i w:val="0"/>
          <w:sz w:val="24"/>
        </w:rPr>
        <w:t>Build a weekly (8-day) dataset for Kerala and Karnataka spanning 2020–2024 from NASA VIIRS, IMD, and CMFRI Annual Reports. Target: at least 400 weekly rows across two regions with paired satellite, rainfall, and documented-event data.</w:t>
      </w:r>
    </w:p>
    <w:p>
      <w:pPr>
        <w:pStyle w:val="ListNumber"/>
        <w:spacing w:after="60"/>
      </w:pPr>
      <w:r>
        <w:rPr>
          <w:rFonts w:ascii="Times New Roman" w:hAnsi="Times New Roman" w:cs="Times New Roman"/>
          <w:b w:val="0"/>
          <w:i w:val="0"/>
          <w:sz w:val="24"/>
        </w:rPr>
        <w:t>Engineer 69 lagged, rolling, and anomaly features. Train Logistic Regression, Random Forest, and XGBoost baselines. Report AUC, Brier, and ECE.</w:t>
      </w:r>
    </w:p>
    <w:p>
      <w:pPr>
        <w:pStyle w:val="ListNumber"/>
        <w:spacing w:after="60"/>
      </w:pPr>
      <w:r>
        <w:rPr>
          <w:rFonts w:ascii="Times New Roman" w:hAnsi="Times New Roman" w:cs="Times New Roman"/>
          <w:b w:val="0"/>
          <w:i w:val="0"/>
          <w:sz w:val="24"/>
        </w:rPr>
        <w:t>Build three calibration variants: Version A (raw), Version B (standard sigmoid cross-validation), and Version C (outcome-anchored Platt on CMFRI events). Evaluate on the temporally held-out 2024.</w:t>
      </w:r>
    </w:p>
    <w:p>
      <w:pPr>
        <w:pStyle w:val="ListNumber"/>
        <w:spacing w:after="60"/>
      </w:pPr>
      <w:r>
        <w:rPr>
          <w:rFonts w:ascii="Times New Roman" w:hAnsi="Times New Roman" w:cs="Times New Roman"/>
          <w:b w:val="0"/>
          <w:i w:val="0"/>
          <w:sz w:val="24"/>
        </w:rPr>
        <w:t>Run the power analysis. Bootstrap-resample the calibration set at N ∈ {4–92} with 200 draws per N. Report Brier and ECE with 95% confidence intervals. Identify the sample-size floor.</w:t>
      </w:r>
    </w:p>
    <w:p>
      <w:pPr>
        <w:pStyle w:val="ListNumber"/>
        <w:spacing w:after="60"/>
      </w:pPr>
      <w:r>
        <w:rPr>
          <w:rFonts w:ascii="Times New Roman" w:hAnsi="Times New Roman" w:cs="Times New Roman"/>
          <w:b w:val="0"/>
          <w:i w:val="0"/>
          <w:sz w:val="24"/>
        </w:rPr>
        <w:t>Cross-validate the proxy. Test the chl-a &gt; 2 mg/m³ threshold against the four CMFRI-documented events. Identify any species-specific blind spots.</w:t>
      </w:r>
    </w:p>
    <w:p>
      <w:pPr>
        <w:pStyle w:val="ListNumber"/>
        <w:spacing w:after="60"/>
      </w:pPr>
      <w:r>
        <w:rPr>
          <w:rFonts w:ascii="Times New Roman" w:hAnsi="Times New Roman" w:cs="Times New Roman"/>
          <w:b w:val="0"/>
          <w:i w:val="0"/>
          <w:sz w:val="24"/>
        </w:rPr>
        <w:t>Test operational deployment. Build a FastAPI service, integrate a retrieval-augmented conversational chatbot, and validate with realistic farmer queries.</w:t>
      </w:r>
    </w:p>
    <w:p>
      <w:pPr>
        <w:pStyle w:val="ListNumber"/>
        <w:spacing w:after="60"/>
      </w:pPr>
      <w:r>
        <w:rPr>
          <w:rFonts w:ascii="Times New Roman" w:hAnsi="Times New Roman" w:cs="Times New Roman"/>
          <w:b w:val="0"/>
          <w:i w:val="0"/>
          <w:sz w:val="24"/>
        </w:rPr>
        <w:t>Iterate based on evaluation. Test five canonical farmer questions through the deployed chatbot. Identify failure modes and expand the knowledge base to address them.</w:t>
      </w:r>
    </w:p>
    <w:p>
      <w:pPr>
        <w:keepNext/>
        <w:spacing w:before="240" w:after="120"/>
      </w:pPr>
      <w:r>
        <w:rPr>
          <w:rFonts w:ascii="Times New Roman" w:hAnsi="Times New Roman" w:cs="Times New Roman"/>
          <w:b/>
          <w:i w:val="0"/>
          <w:sz w:val="28"/>
        </w:rPr>
        <w:t>Wider Purpose</w:t>
      </w:r>
    </w:p>
    <w:p>
      <w:pPr>
        <w:jc w:val="both"/>
      </w:pPr>
      <w:r>
        <w:rPr>
          <w:rFonts w:ascii="Times New Roman" w:hAnsi="Times New Roman" w:cs="Times New Roman"/>
          <w:b w:val="0"/>
          <w:i w:val="0"/>
          <w:sz w:val="24"/>
        </w:rPr>
        <w:t>BloomWatch AI addresses an under-appreciated failure mode in environmental forecasting tools: probabilistic outputs that no user can trust because they were never calibrated against real consequences. The problem is not unique to bloom forecasting. Every environmental probability forecast — flood risk, wildfire likelihood, monsoon anomaly, crop failure — faces the same gap between “the model ranks well” and “the number in the app matches reality.”</w:t>
      </w:r>
    </w:p>
    <w:p>
      <w:pPr>
        <w:jc w:val="both"/>
      </w:pPr>
      <w:r>
        <w:rPr>
          <w:rFonts w:ascii="Times New Roman" w:hAnsi="Times New Roman" w:cs="Times New Roman"/>
          <w:b w:val="0"/>
          <w:i w:val="0"/>
          <w:sz w:val="24"/>
        </w:rPr>
        <w:t>For coastal aquaculture communities: Kerala and Karnataka support thousands of small shellfish cooperatives, many working on margins so narrow that a single unexpected closure can push families out of the trade. This project provides a free, transparent, weekly-refreshed forecast with honest confidence bands — not a paid service, not a black box. The chatbot answers in English, Hindi, Malayalam, and Kannada.</w:t>
      </w:r>
    </w:p>
    <w:p>
      <w:pPr>
        <w:jc w:val="both"/>
      </w:pPr>
      <w:r>
        <w:rPr>
          <w:rFonts w:ascii="Times New Roman" w:hAnsi="Times New Roman" w:cs="Times New Roman"/>
          <w:b w:val="0"/>
          <w:i w:val="0"/>
          <w:sz w:val="24"/>
        </w:rPr>
        <w:t>For methodological research: the power analysis in this paper defines an empirical sample-size floor for outcome-anchored probability calibration. The same idea transfers directly to flood damage records calibrating flood models, wildfire insurance claims calibrating fire-risk models, and crop insurance claims calibrating drought models. The negative result — that raw well-calibrated boosted trees may not need post-hoc adjustment — is itself a useful contribution because it flags a class of situations where practitioners should test calibration before applying it.</w:t>
      </w:r>
    </w:p>
    <w:p>
      <w:pPr>
        <w:jc w:val="both"/>
      </w:pPr>
      <w:r>
        <w:rPr>
          <w:rFonts w:ascii="Times New Roman" w:hAnsi="Times New Roman" w:cs="Times New Roman"/>
          <w:b w:val="0"/>
          <w:i w:val="0"/>
          <w:sz w:val="24"/>
        </w:rPr>
        <w:t>For fairness and inclusivity: operational AI tools are usually built for well-monitored ecosystems and well-documented supply chains. India's coastal shellfish sector is neither. By showing that a rigorous, honest AI forecast can be built entirely from public data with no paid APIs, this project offers a template for climate-adaptive tools that marginal communities can actually use.</w:t>
      </w:r>
    </w:p>
    <w:p>
      <w:pPr>
        <w:keepNext/>
        <w:spacing w:before="240" w:after="120"/>
      </w:pPr>
      <w:r>
        <w:rPr>
          <w:rFonts w:ascii="Times New Roman" w:hAnsi="Times New Roman" w:cs="Times New Roman"/>
          <w:b/>
          <w:i w:val="0"/>
          <w:sz w:val="28"/>
        </w:rPr>
        <w:t>Timeline</w:t>
      </w:r>
    </w:p>
    <w:p>
      <w:pPr>
        <w:jc w:val="both"/>
      </w:pPr>
      <w:r>
        <w:rPr>
          <w:rFonts w:ascii="Times New Roman" w:hAnsi="Times New Roman" w:cs="Times New Roman"/>
          <w:b w:val="0"/>
          <w:i w:val="0"/>
          <w:sz w:val="24"/>
        </w:rPr>
        <w:t>Total effort: 128 hours across eight project phases from June to July 2026, at approximately 16 hours per week over eight weeks.</w:t>
      </w:r>
    </w:p>
    <w:p>
      <w:pPr>
        <w:jc w:val="center"/>
      </w:pPr>
      <w:r>
        <w:drawing>
          <wp:inline xmlns:a="http://schemas.openxmlformats.org/drawingml/2006/main" xmlns:pic="http://schemas.openxmlformats.org/drawingml/2006/picture">
            <wp:extent cx="5669280" cy="3231668"/>
            <wp:docPr id="1" name="Picture 1"/>
            <wp:cNvGraphicFramePr>
              <a:graphicFrameLocks noChangeAspect="1"/>
            </wp:cNvGraphicFramePr>
            <a:graphic>
              <a:graphicData uri="http://schemas.openxmlformats.org/drawingml/2006/picture">
                <pic:pic>
                  <pic:nvPicPr>
                    <pic:cNvPr id="0" name="BloomWatch_gantt.png"/>
                    <pic:cNvPicPr/>
                  </pic:nvPicPr>
                  <pic:blipFill>
                    <a:blip r:embed="rId9"/>
                    <a:stretch>
                      <a:fillRect/>
                    </a:stretch>
                  </pic:blipFill>
                  <pic:spPr>
                    <a:xfrm>
                      <a:off x="0" y="0"/>
                      <a:ext cx="5669280" cy="3231668"/>
                    </a:xfrm>
                    <a:prstGeom prst="rect"/>
                  </pic:spPr>
                </pic:pic>
              </a:graphicData>
            </a:graphic>
          </wp:inline>
        </w:drawing>
      </w:r>
    </w:p>
    <w:p>
      <w:pPr>
        <w:spacing w:before="40" w:after="240"/>
        <w:jc w:val="center"/>
      </w:pPr>
      <w:r>
        <w:rPr>
          <w:rFonts w:ascii="Times New Roman" w:hAnsi="Times New Roman" w:cs="Times New Roman"/>
          <w:b w:val="0"/>
          <w:i/>
          <w:sz w:val="22"/>
        </w:rPr>
        <w:t>Figure 1 — Project timeline as a Gantt chart. Eight phases, 128 hours total, June 2 – July 27 2026. Colours: research (teal), build (navy), rigor (coral), write (amber).</w:t>
      </w:r>
    </w:p>
    <w:p>
      <w:pPr>
        <w:keepNext/>
        <w:spacing w:before="240" w:after="120"/>
      </w:pPr>
      <w:r>
        <w:rPr>
          <w:rFonts w:ascii="Times New Roman" w:hAnsi="Times New Roman" w:cs="Times New Roman"/>
          <w:b/>
          <w:i w:val="0"/>
          <w:sz w:val="28"/>
        </w:rPr>
        <w:t>Research and Related Work</w:t>
      </w:r>
    </w:p>
    <w:p>
      <w:pPr>
        <w:jc w:val="both"/>
      </w:pPr>
      <w:r>
        <w:rPr>
          <w:rFonts w:ascii="Times New Roman" w:hAnsi="Times New Roman" w:cs="Times New Roman"/>
          <w:b w:val="0"/>
          <w:i w:val="0"/>
          <w:sz w:val="24"/>
        </w:rPr>
        <w:t>Machine-learning approaches to HAB prediction have advanced substantially over the past decade. Karthik et al. showed that combining satellite ocean colour, in-situ nutrients, and physical oceanographic variables improves bloom-onset prediction over any single-source model. Anderson et al. reviewed monitoring and management progress across HAB research communities and identified sample-size limitations and species-specific optical signatures as recurring obstacles to operational deployment. For Indian coastal waters specifically, Padmakumar et al. and Naik et al. documented widespread Trichodesmium erythraeum and Noctiluca scintillans blooms along the southwest coast — both of which cause shellfish mortality but present differently in satellite chlorophyll signals.</w:t>
      </w:r>
    </w:p>
    <w:p>
      <w:pPr>
        <w:jc w:val="both"/>
      </w:pPr>
      <w:r>
        <w:rPr>
          <w:rFonts w:ascii="Times New Roman" w:hAnsi="Times New Roman" w:cs="Times New Roman"/>
          <w:b w:val="0"/>
          <w:i w:val="0"/>
          <w:sz w:val="24"/>
        </w:rPr>
        <w:t>Models trained on class-imbalanced HAB targets need careful handling. Wei et al. showed that resampling and class-weighting significantly improved rare-event recall in cyanobacterial forecasting. Model comparisons in this space consistently favour gradient-boosted trees (XGBoost) for the small-sample tabular, temporal regime typical of coastal forecasting.</w:t>
      </w:r>
    </w:p>
    <w:p>
      <w:pPr>
        <w:jc w:val="both"/>
      </w:pPr>
      <w:r>
        <w:rPr>
          <w:rFonts w:ascii="Times New Roman" w:hAnsi="Times New Roman" w:cs="Times New Roman"/>
          <w:b w:val="0"/>
          <w:i w:val="0"/>
          <w:sz w:val="24"/>
        </w:rPr>
        <w:t>Probability calibration for classifiers was formalised by Platt with sigmoid parametric scaling of raw scores, and Guo et al. later characterised systematic miscalibration in modern deep networks. Zadrozny and Elkan extended calibration to isotonic (non-parametric) mapping when sample sizes support flexible curves. To our knowledge, no published work has fitted probability calibration on documented economic-outcome events (harvest closures) rather than internal cross-validation, though the general idea of outcome-anchored evaluation is well established in medical decision-support literature.</w:t>
      </w:r>
    </w:p>
    <w:p>
      <w:pPr>
        <w:jc w:val="both"/>
      </w:pPr>
      <w:r>
        <w:rPr>
          <w:rFonts w:ascii="Times New Roman" w:hAnsi="Times New Roman" w:cs="Times New Roman"/>
          <w:b w:val="0"/>
          <w:i w:val="0"/>
          <w:sz w:val="24"/>
        </w:rPr>
        <w:t>The satellite record for Indian coastal chlorophyll retrieval is in transition. MODIS-Aqua, the dominant sensor for 2002–2024, was retired in early 2025. Its operational successor for near-real-time nearshore chlorophyll is Suomi-NPP VIIRS, which we use here. NASA's PACE OCI mission (launched 2024) is expected to substantially improve species-specific detection of cyanobacterial blooms including Trichodesmium, but 2020–2024 records rely on standard VIIRS chlorophyll retrieval which under-detects Trichodesmium — a limitation we quantify empirically in this paper.</w:t>
      </w:r>
    </w:p>
    <w:p>
      <w:pPr>
        <w:keepNext/>
        <w:spacing w:before="240" w:after="120"/>
      </w:pPr>
      <w:r>
        <w:rPr>
          <w:rFonts w:ascii="Times New Roman" w:hAnsi="Times New Roman" w:cs="Times New Roman"/>
          <w:b/>
          <w:i w:val="0"/>
          <w:sz w:val="28"/>
        </w:rPr>
        <w:t>Range of Approaches and Final Selection</w:t>
      </w:r>
    </w:p>
    <w:p>
      <w:pPr>
        <w:jc w:val="both"/>
      </w:pPr>
      <w:r>
        <w:rPr>
          <w:rFonts w:ascii="Times New Roman" w:hAnsi="Times New Roman" w:cs="Times New Roman"/>
          <w:b w:val="0"/>
          <w:i w:val="0"/>
          <w:sz w:val="24"/>
        </w:rPr>
        <w:t>Four categories of design decision were made during the project. Each option's advantages and disadvantages were weighed before final selection.</w:t>
      </w:r>
    </w:p>
    <w:p>
      <w:pPr>
        <w:jc w:val="both"/>
      </w:pPr>
      <w:r>
        <w:rPr>
          <w:rFonts w:ascii="Times New Roman" w:hAnsi="Times New Roman" w:cs="Times New Roman"/>
          <w:b w:val="0"/>
          <w:i w:val="0"/>
          <w:sz w:val="24"/>
        </w:rPr>
        <w:t>1. Model architecture</w:t>
      </w:r>
    </w:p>
    <w:p>
      <w:pPr>
        <w:jc w:val="both"/>
      </w:pPr>
      <w:r>
        <w:rPr>
          <w:rFonts w:ascii="Times New Roman" w:hAnsi="Times New Roman" w:cs="Times New Roman"/>
          <w:b w:val="0"/>
          <w:i w:val="0"/>
          <w:sz w:val="24"/>
        </w:rPr>
        <w:t>Logistic regression, random forest, XGBoost, and deep neural networks were considered. Grinsztajn et al. showed that tree-based models outperform deep learning on typical tabular data. Our sample size (460 weekly rows) falls well within the small-sample tabular regime where XGBoost excels.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1D3557"/>
            <w:vAlign w:val="center"/>
          </w:tcPr>
          <w:p>
            <w:pPr>
              <w:jc w:val="center"/>
            </w:pPr>
            <w:r/>
            <w:r>
              <w:rPr>
                <w:rFonts w:ascii="Times New Roman" w:hAnsi="Times New Roman" w:cs="Times New Roman"/>
                <w:b/>
                <w:i w:val="0"/>
                <w:color w:val="FFFFFF"/>
                <w:sz w:val="24"/>
              </w:rPr>
              <w:t>Approach</w:t>
            </w:r>
          </w:p>
        </w:tc>
        <w:tc>
          <w:tcPr>
            <w:tcW w:type="dxa" w:w="3312"/>
            <w:shd w:val="clear" w:color="auto" w:fill="1D3557"/>
            <w:vAlign w:val="center"/>
          </w:tcPr>
          <w:p>
            <w:pPr>
              <w:jc w:val="center"/>
            </w:pPr>
            <w:r/>
            <w:r>
              <w:rPr>
                <w:rFonts w:ascii="Times New Roman" w:hAnsi="Times New Roman" w:cs="Times New Roman"/>
                <w:b/>
                <w:i w:val="0"/>
                <w:color w:val="FFFFFF"/>
                <w:sz w:val="24"/>
              </w:rPr>
              <w:t>Advantages</w:t>
            </w:r>
          </w:p>
        </w:tc>
        <w:tc>
          <w:tcPr>
            <w:tcW w:type="dxa" w:w="2736"/>
            <w:shd w:val="clear" w:color="auto" w:fill="1D3557"/>
            <w:vAlign w:val="center"/>
          </w:tcPr>
          <w:p>
            <w:pPr>
              <w:jc w:val="center"/>
            </w:pPr>
            <w:r/>
            <w:r>
              <w:rPr>
                <w:rFonts w:ascii="Times New Roman" w:hAnsi="Times New Roman" w:cs="Times New Roman"/>
                <w:b/>
                <w:i w:val="0"/>
                <w:color w:val="FFFFFF"/>
                <w:sz w:val="24"/>
              </w:rPr>
              <w:t>Disadvantages</w:t>
            </w:r>
          </w:p>
        </w:tc>
        <w:tc>
          <w:tcPr>
            <w:tcW w:type="dxa" w:w="1440"/>
            <w:shd w:val="clear" w:color="auto" w:fill="1D3557"/>
            <w:vAlign w:val="center"/>
          </w:tcPr>
          <w:p>
            <w:pPr>
              <w:jc w:val="center"/>
            </w:pPr>
            <w:r/>
            <w:r>
              <w:rPr>
                <w:rFonts w:ascii="Times New Roman" w:hAnsi="Times New Roman" w:cs="Times New Roman"/>
                <w:b/>
                <w:i w:val="0"/>
                <w:color w:val="FFFFFF"/>
                <w:sz w:val="24"/>
              </w:rPr>
              <w:t>Selected?</w:t>
            </w:r>
          </w:p>
        </w:tc>
      </w:tr>
      <w:tr>
        <w:tc>
          <w:tcPr>
            <w:tcW w:type="dxa" w:w="2016"/>
            <w:shd w:val="clear" w:color="auto" w:fill="FFFFFF"/>
            <w:vAlign w:val="center"/>
          </w:tcPr>
          <w:p>
            <w:r/>
            <w:r>
              <w:rPr>
                <w:rFonts w:ascii="Times New Roman" w:hAnsi="Times New Roman" w:cs="Times New Roman"/>
                <w:b w:val="0"/>
                <w:i w:val="0"/>
                <w:sz w:val="22"/>
              </w:rPr>
              <w:t>Logistic Regression</w:t>
            </w:r>
          </w:p>
        </w:tc>
        <w:tc>
          <w:tcPr>
            <w:tcW w:type="dxa" w:w="3312"/>
            <w:shd w:val="clear" w:color="auto" w:fill="FFFFFF"/>
            <w:vAlign w:val="center"/>
          </w:tcPr>
          <w:p>
            <w:r/>
            <w:r>
              <w:rPr>
                <w:rFonts w:ascii="Times New Roman" w:hAnsi="Times New Roman" w:cs="Times New Roman"/>
                <w:b w:val="0"/>
                <w:i w:val="0"/>
                <w:sz w:val="22"/>
              </w:rPr>
              <w:t>Interpretable, well-calibrated by default, fast.</w:t>
            </w:r>
          </w:p>
        </w:tc>
        <w:tc>
          <w:tcPr>
            <w:tcW w:type="dxa" w:w="2736"/>
            <w:shd w:val="clear" w:color="auto" w:fill="FFFFFF"/>
            <w:vAlign w:val="center"/>
          </w:tcPr>
          <w:p>
            <w:r/>
            <w:r>
              <w:rPr>
                <w:rFonts w:ascii="Times New Roman" w:hAnsi="Times New Roman" w:cs="Times New Roman"/>
                <w:b w:val="0"/>
                <w:i w:val="0"/>
                <w:sz w:val="22"/>
              </w:rPr>
              <w:t>Cannot capture non-linear feature interactions.</w:t>
            </w:r>
          </w:p>
        </w:tc>
        <w:tc>
          <w:tcPr>
            <w:tcW w:type="dxa" w:w="1440"/>
            <w:shd w:val="clear" w:color="auto" w:fill="FFFFFF"/>
            <w:vAlign w:val="center"/>
          </w:tcPr>
          <w:p>
            <w:r/>
            <w:r>
              <w:rPr>
                <w:rFonts w:ascii="Times New Roman" w:hAnsi="Times New Roman" w:cs="Times New Roman"/>
                <w:b w:val="0"/>
                <w:i w:val="0"/>
                <w:sz w:val="22"/>
              </w:rPr>
              <w:t>Baseline only</w:t>
            </w:r>
          </w:p>
        </w:tc>
      </w:tr>
      <w:tr>
        <w:tc>
          <w:tcPr>
            <w:tcW w:type="dxa" w:w="2016"/>
            <w:shd w:val="clear" w:color="auto" w:fill="F5EFD9"/>
            <w:vAlign w:val="center"/>
          </w:tcPr>
          <w:p>
            <w:r/>
            <w:r>
              <w:rPr>
                <w:rFonts w:ascii="Times New Roman" w:hAnsi="Times New Roman" w:cs="Times New Roman"/>
                <w:b w:val="0"/>
                <w:i w:val="0"/>
                <w:sz w:val="22"/>
              </w:rPr>
              <w:t>Random Forest</w:t>
            </w:r>
          </w:p>
        </w:tc>
        <w:tc>
          <w:tcPr>
            <w:tcW w:type="dxa" w:w="3312"/>
            <w:shd w:val="clear" w:color="auto" w:fill="F5EFD9"/>
            <w:vAlign w:val="center"/>
          </w:tcPr>
          <w:p>
            <w:r/>
            <w:r>
              <w:rPr>
                <w:rFonts w:ascii="Times New Roman" w:hAnsi="Times New Roman" w:cs="Times New Roman"/>
                <w:b w:val="0"/>
                <w:i w:val="0"/>
                <w:sz w:val="22"/>
              </w:rPr>
              <w:t>Handles non-linearity; robust to missing values.</w:t>
            </w:r>
          </w:p>
        </w:tc>
        <w:tc>
          <w:tcPr>
            <w:tcW w:type="dxa" w:w="2736"/>
            <w:shd w:val="clear" w:color="auto" w:fill="F5EFD9"/>
            <w:vAlign w:val="center"/>
          </w:tcPr>
          <w:p>
            <w:r/>
            <w:r>
              <w:rPr>
                <w:rFonts w:ascii="Times New Roman" w:hAnsi="Times New Roman" w:cs="Times New Roman"/>
                <w:b w:val="0"/>
                <w:i w:val="0"/>
                <w:sz w:val="22"/>
              </w:rPr>
              <w:t>Poor extrapolation; less flexible than boosted trees.</w:t>
            </w:r>
          </w:p>
        </w:tc>
        <w:tc>
          <w:tcPr>
            <w:tcW w:type="dxa" w:w="1440"/>
            <w:shd w:val="clear" w:color="auto" w:fill="F5EFD9"/>
            <w:vAlign w:val="center"/>
          </w:tcPr>
          <w:p>
            <w:r/>
            <w:r>
              <w:rPr>
                <w:rFonts w:ascii="Times New Roman" w:hAnsi="Times New Roman" w:cs="Times New Roman"/>
                <w:b w:val="0"/>
                <w:i w:val="0"/>
                <w:sz w:val="22"/>
              </w:rPr>
              <w:t>Baseline only</w:t>
            </w:r>
          </w:p>
        </w:tc>
      </w:tr>
      <w:tr>
        <w:tc>
          <w:tcPr>
            <w:tcW w:type="dxa" w:w="2016"/>
            <w:shd w:val="clear" w:color="auto" w:fill="FFFFFF"/>
            <w:vAlign w:val="center"/>
          </w:tcPr>
          <w:p>
            <w:r/>
            <w:r>
              <w:rPr>
                <w:rFonts w:ascii="Times New Roman" w:hAnsi="Times New Roman" w:cs="Times New Roman"/>
                <w:b w:val="0"/>
                <w:i w:val="0"/>
                <w:sz w:val="22"/>
              </w:rPr>
              <w:t>XGBoost</w:t>
            </w:r>
          </w:p>
        </w:tc>
        <w:tc>
          <w:tcPr>
            <w:tcW w:type="dxa" w:w="3312"/>
            <w:shd w:val="clear" w:color="auto" w:fill="FFFFFF"/>
            <w:vAlign w:val="center"/>
          </w:tcPr>
          <w:p>
            <w:r/>
            <w:r>
              <w:rPr>
                <w:rFonts w:ascii="Times New Roman" w:hAnsi="Times New Roman" w:cs="Times New Roman"/>
                <w:b w:val="0"/>
                <w:i w:val="0"/>
                <w:sz w:val="22"/>
              </w:rPr>
              <w:t>Best-in-class for small-sample tabular data; handles NaN natively; well-calibrated at moderate depth.</w:t>
            </w:r>
          </w:p>
        </w:tc>
        <w:tc>
          <w:tcPr>
            <w:tcW w:type="dxa" w:w="2736"/>
            <w:shd w:val="clear" w:color="auto" w:fill="FFFFFF"/>
            <w:vAlign w:val="center"/>
          </w:tcPr>
          <w:p>
            <w:r/>
            <w:r>
              <w:rPr>
                <w:rFonts w:ascii="Times New Roman" w:hAnsi="Times New Roman" w:cs="Times New Roman"/>
                <w:b w:val="0"/>
                <w:i w:val="0"/>
                <w:sz w:val="22"/>
              </w:rPr>
              <w:t>Requires more careful hyperparameter tuning.</w:t>
            </w:r>
          </w:p>
        </w:tc>
        <w:tc>
          <w:tcPr>
            <w:tcW w:type="dxa" w:w="1440"/>
            <w:shd w:val="clear" w:color="auto" w:fill="FFFFFF"/>
            <w:vAlign w:val="center"/>
          </w:tcPr>
          <w:p>
            <w:r/>
            <w:r>
              <w:rPr>
                <w:rFonts w:ascii="Times New Roman" w:hAnsi="Times New Roman" w:cs="Times New Roman"/>
                <w:b w:val="0"/>
                <w:i w:val="0"/>
                <w:sz w:val="22"/>
              </w:rPr>
              <w:t>Selected</w:t>
            </w:r>
          </w:p>
        </w:tc>
      </w:tr>
      <w:tr>
        <w:tc>
          <w:tcPr>
            <w:tcW w:type="dxa" w:w="2016"/>
            <w:shd w:val="clear" w:color="auto" w:fill="F5EFD9"/>
            <w:vAlign w:val="center"/>
          </w:tcPr>
          <w:p>
            <w:r/>
            <w:r>
              <w:rPr>
                <w:rFonts w:ascii="Times New Roman" w:hAnsi="Times New Roman" w:cs="Times New Roman"/>
                <w:b w:val="0"/>
                <w:i w:val="0"/>
                <w:sz w:val="22"/>
              </w:rPr>
              <w:t>Deep neural networks</w:t>
            </w:r>
          </w:p>
        </w:tc>
        <w:tc>
          <w:tcPr>
            <w:tcW w:type="dxa" w:w="3312"/>
            <w:shd w:val="clear" w:color="auto" w:fill="F5EFD9"/>
            <w:vAlign w:val="center"/>
          </w:tcPr>
          <w:p>
            <w:r/>
            <w:r>
              <w:rPr>
                <w:rFonts w:ascii="Times New Roman" w:hAnsi="Times New Roman" w:cs="Times New Roman"/>
                <w:b w:val="0"/>
                <w:i w:val="0"/>
                <w:sz w:val="22"/>
              </w:rPr>
              <w:t>Flexible representation.</w:t>
            </w:r>
          </w:p>
        </w:tc>
        <w:tc>
          <w:tcPr>
            <w:tcW w:type="dxa" w:w="2736"/>
            <w:shd w:val="clear" w:color="auto" w:fill="F5EFD9"/>
            <w:vAlign w:val="center"/>
          </w:tcPr>
          <w:p>
            <w:r/>
            <w:r>
              <w:rPr>
                <w:rFonts w:ascii="Times New Roman" w:hAnsi="Times New Roman" w:cs="Times New Roman"/>
                <w:b w:val="0"/>
                <w:i w:val="0"/>
                <w:sz w:val="22"/>
              </w:rPr>
              <w:t>Sample-inefficient — 460 rows insufficient.</w:t>
            </w:r>
          </w:p>
        </w:tc>
        <w:tc>
          <w:tcPr>
            <w:tcW w:type="dxa" w:w="1440"/>
            <w:shd w:val="clear" w:color="auto" w:fill="F5EFD9"/>
            <w:vAlign w:val="center"/>
          </w:tcPr>
          <w:p>
            <w:r/>
            <w:r>
              <w:rPr>
                <w:rFonts w:ascii="Times New Roman" w:hAnsi="Times New Roman" w:cs="Times New Roman"/>
                <w:b w:val="0"/>
                <w:i w:val="0"/>
                <w:sz w:val="22"/>
              </w:rPr>
              <w:t>Rejected</w:t>
            </w:r>
          </w:p>
        </w:tc>
      </w:tr>
    </w:tbl>
    <w:p>
      <w:pPr>
        <w:spacing w:before="40" w:after="240"/>
        <w:jc w:val="center"/>
      </w:pPr>
      <w:r>
        <w:rPr>
          <w:rFonts w:ascii="Times New Roman" w:hAnsi="Times New Roman" w:cs="Times New Roman"/>
          <w:b w:val="0"/>
          <w:i/>
          <w:sz w:val="22"/>
        </w:rPr>
        <w:t>Table 1 — Comparison of candidate model architectures.</w:t>
      </w:r>
    </w:p>
    <w:p>
      <w:pPr>
        <w:jc w:val="both"/>
      </w:pPr>
      <w:r>
        <w:rPr>
          <w:rFonts w:ascii="Times New Roman" w:hAnsi="Times New Roman" w:cs="Times New Roman"/>
          <w:b w:val="0"/>
          <w:i w:val="0"/>
          <w:sz w:val="24"/>
        </w:rPr>
        <w:t>2. Bloom target definition</w:t>
      </w:r>
    </w:p>
    <w:p>
      <w:pPr>
        <w:jc w:val="both"/>
      </w:pPr>
      <w:r>
        <w:rPr>
          <w:rFonts w:ascii="Times New Roman" w:hAnsi="Times New Roman" w:cs="Times New Roman"/>
          <w:b w:val="0"/>
          <w:i w:val="0"/>
          <w:sz w:val="24"/>
        </w:rPr>
        <w:t>Four candidate thresholds for chlorophyll-a were tested to define the bloom label.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4"/>
            <w:shd w:val="clear" w:color="auto" w:fill="1D3557"/>
            <w:vAlign w:val="center"/>
          </w:tcPr>
          <w:p>
            <w:pPr>
              <w:jc w:val="center"/>
            </w:pPr>
            <w:r/>
            <w:r>
              <w:rPr>
                <w:rFonts w:ascii="Times New Roman" w:hAnsi="Times New Roman" w:cs="Times New Roman"/>
                <w:b/>
                <w:i w:val="0"/>
                <w:color w:val="FFFFFF"/>
                <w:sz w:val="24"/>
              </w:rPr>
              <w:t>Threshold</w:t>
            </w:r>
          </w:p>
        </w:tc>
        <w:tc>
          <w:tcPr>
            <w:tcW w:type="dxa" w:w="1872"/>
            <w:shd w:val="clear" w:color="auto" w:fill="1D3557"/>
            <w:vAlign w:val="center"/>
          </w:tcPr>
          <w:p>
            <w:pPr>
              <w:jc w:val="center"/>
            </w:pPr>
            <w:r/>
            <w:r>
              <w:rPr>
                <w:rFonts w:ascii="Times New Roman" w:hAnsi="Times New Roman" w:cs="Times New Roman"/>
                <w:b/>
                <w:i w:val="0"/>
                <w:color w:val="FFFFFF"/>
                <w:sz w:val="24"/>
              </w:rPr>
              <w:t>Positive rate</w:t>
            </w:r>
          </w:p>
        </w:tc>
        <w:tc>
          <w:tcPr>
            <w:tcW w:type="dxa" w:w="1296"/>
            <w:shd w:val="clear" w:color="auto" w:fill="1D3557"/>
            <w:vAlign w:val="center"/>
          </w:tcPr>
          <w:p>
            <w:pPr>
              <w:jc w:val="center"/>
            </w:pPr>
            <w:r/>
            <w:r>
              <w:rPr>
                <w:rFonts w:ascii="Times New Roman" w:hAnsi="Times New Roman" w:cs="Times New Roman"/>
                <w:b/>
                <w:i w:val="0"/>
                <w:color w:val="FFFFFF"/>
                <w:sz w:val="24"/>
              </w:rPr>
              <w:t>AUC</w:t>
            </w:r>
          </w:p>
        </w:tc>
        <w:tc>
          <w:tcPr>
            <w:tcW w:type="dxa" w:w="4752"/>
            <w:shd w:val="clear" w:color="auto" w:fill="1D3557"/>
            <w:vAlign w:val="center"/>
          </w:tcPr>
          <w:p>
            <w:pPr>
              <w:jc w:val="center"/>
            </w:pPr>
            <w:r/>
            <w:r>
              <w:rPr>
                <w:rFonts w:ascii="Times New Roman" w:hAnsi="Times New Roman" w:cs="Times New Roman"/>
                <w:b/>
                <w:i w:val="0"/>
                <w:color w:val="FFFFFF"/>
                <w:sz w:val="24"/>
              </w:rPr>
              <w:t>Rationale</w:t>
            </w:r>
          </w:p>
        </w:tc>
      </w:tr>
      <w:tr>
        <w:tc>
          <w:tcPr>
            <w:tcW w:type="dxa" w:w="1584"/>
            <w:shd w:val="clear" w:color="auto" w:fill="FFFFFF"/>
            <w:vAlign w:val="center"/>
          </w:tcPr>
          <w:p>
            <w:r/>
            <w:r>
              <w:rPr>
                <w:rFonts w:ascii="Times New Roman" w:hAnsi="Times New Roman" w:cs="Times New Roman"/>
                <w:b w:val="0"/>
                <w:i w:val="0"/>
                <w:sz w:val="22"/>
              </w:rPr>
              <w:t>1.5 mg/m³</w:t>
            </w:r>
          </w:p>
        </w:tc>
        <w:tc>
          <w:tcPr>
            <w:tcW w:type="dxa" w:w="1872"/>
            <w:shd w:val="clear" w:color="auto" w:fill="FFFFFF"/>
            <w:vAlign w:val="center"/>
          </w:tcPr>
          <w:p>
            <w:r/>
            <w:r>
              <w:rPr>
                <w:rFonts w:ascii="Times New Roman" w:hAnsi="Times New Roman" w:cs="Times New Roman"/>
                <w:b w:val="0"/>
                <w:i w:val="0"/>
                <w:sz w:val="22"/>
              </w:rPr>
              <w:t>26.1%</w:t>
            </w:r>
          </w:p>
        </w:tc>
        <w:tc>
          <w:tcPr>
            <w:tcW w:type="dxa" w:w="1296"/>
            <w:shd w:val="clear" w:color="auto" w:fill="FFFFFF"/>
            <w:vAlign w:val="center"/>
          </w:tcPr>
          <w:p>
            <w:r/>
            <w:r>
              <w:rPr>
                <w:rFonts w:ascii="Times New Roman" w:hAnsi="Times New Roman" w:cs="Times New Roman"/>
                <w:b w:val="0"/>
                <w:i w:val="0"/>
                <w:sz w:val="22"/>
              </w:rPr>
              <w:t>0.773</w:t>
            </w:r>
          </w:p>
        </w:tc>
        <w:tc>
          <w:tcPr>
            <w:tcW w:type="dxa" w:w="4752"/>
            <w:shd w:val="clear" w:color="auto" w:fill="FFFFFF"/>
            <w:vAlign w:val="center"/>
          </w:tcPr>
          <w:p>
            <w:r/>
            <w:r>
              <w:rPr>
                <w:rFonts w:ascii="Times New Roman" w:hAnsi="Times New Roman" w:cs="Times New Roman"/>
                <w:b w:val="0"/>
                <w:i w:val="0"/>
                <w:sz w:val="22"/>
              </w:rPr>
              <w:t>Signal diluted by low-intensity noise.</w:t>
            </w:r>
          </w:p>
        </w:tc>
      </w:tr>
      <w:tr>
        <w:tc>
          <w:tcPr>
            <w:tcW w:type="dxa" w:w="1584"/>
            <w:shd w:val="clear" w:color="auto" w:fill="F5EFD9"/>
            <w:vAlign w:val="center"/>
          </w:tcPr>
          <w:p>
            <w:r/>
            <w:r>
              <w:rPr>
                <w:rFonts w:ascii="Times New Roman" w:hAnsi="Times New Roman" w:cs="Times New Roman"/>
                <w:b w:val="0"/>
                <w:i w:val="0"/>
                <w:sz w:val="22"/>
              </w:rPr>
              <w:t>2.0 mg/m³</w:t>
            </w:r>
          </w:p>
        </w:tc>
        <w:tc>
          <w:tcPr>
            <w:tcW w:type="dxa" w:w="1872"/>
            <w:shd w:val="clear" w:color="auto" w:fill="F5EFD9"/>
            <w:vAlign w:val="center"/>
          </w:tcPr>
          <w:p>
            <w:r/>
            <w:r>
              <w:rPr>
                <w:rFonts w:ascii="Times New Roman" w:hAnsi="Times New Roman" w:cs="Times New Roman"/>
                <w:b w:val="0"/>
                <w:i w:val="0"/>
                <w:sz w:val="22"/>
              </w:rPr>
              <w:t>20.4%</w:t>
            </w:r>
          </w:p>
        </w:tc>
        <w:tc>
          <w:tcPr>
            <w:tcW w:type="dxa" w:w="1296"/>
            <w:shd w:val="clear" w:color="auto" w:fill="F5EFD9"/>
            <w:vAlign w:val="center"/>
          </w:tcPr>
          <w:p>
            <w:r/>
            <w:r>
              <w:rPr>
                <w:rFonts w:ascii="Times New Roman" w:hAnsi="Times New Roman" w:cs="Times New Roman"/>
                <w:b w:val="0"/>
                <w:i w:val="0"/>
                <w:sz w:val="22"/>
              </w:rPr>
              <w:t>0.830</w:t>
            </w:r>
          </w:p>
        </w:tc>
        <w:tc>
          <w:tcPr>
            <w:tcW w:type="dxa" w:w="4752"/>
            <w:shd w:val="clear" w:color="auto" w:fill="F5EFD9"/>
            <w:vAlign w:val="center"/>
          </w:tcPr>
          <w:p>
            <w:r/>
            <w:r>
              <w:rPr>
                <w:rFonts w:ascii="Times New Roman" w:hAnsi="Times New Roman" w:cs="Times New Roman"/>
                <w:b w:val="0"/>
                <w:i w:val="0"/>
                <w:sz w:val="22"/>
              </w:rPr>
              <w:t>Empirically optimal.</w:t>
            </w:r>
          </w:p>
        </w:tc>
      </w:tr>
      <w:tr>
        <w:tc>
          <w:tcPr>
            <w:tcW w:type="dxa" w:w="1584"/>
            <w:shd w:val="clear" w:color="auto" w:fill="FFFFFF"/>
            <w:vAlign w:val="center"/>
          </w:tcPr>
          <w:p>
            <w:r/>
            <w:r>
              <w:rPr>
                <w:rFonts w:ascii="Times New Roman" w:hAnsi="Times New Roman" w:cs="Times New Roman"/>
                <w:b w:val="0"/>
                <w:i w:val="0"/>
                <w:sz w:val="22"/>
              </w:rPr>
              <w:t>3.0 mg/m³</w:t>
            </w:r>
          </w:p>
        </w:tc>
        <w:tc>
          <w:tcPr>
            <w:tcW w:type="dxa" w:w="1872"/>
            <w:shd w:val="clear" w:color="auto" w:fill="FFFFFF"/>
            <w:vAlign w:val="center"/>
          </w:tcPr>
          <w:p>
            <w:r/>
            <w:r>
              <w:rPr>
                <w:rFonts w:ascii="Times New Roman" w:hAnsi="Times New Roman" w:cs="Times New Roman"/>
                <w:b w:val="0"/>
                <w:i w:val="0"/>
                <w:sz w:val="22"/>
              </w:rPr>
              <w:t>12.2%</w:t>
            </w:r>
          </w:p>
        </w:tc>
        <w:tc>
          <w:tcPr>
            <w:tcW w:type="dxa" w:w="1296"/>
            <w:shd w:val="clear" w:color="auto" w:fill="FFFFFF"/>
            <w:vAlign w:val="center"/>
          </w:tcPr>
          <w:p>
            <w:r/>
            <w:r>
              <w:rPr>
                <w:rFonts w:ascii="Times New Roman" w:hAnsi="Times New Roman" w:cs="Times New Roman"/>
                <w:b w:val="0"/>
                <w:i w:val="0"/>
                <w:sz w:val="22"/>
              </w:rPr>
              <w:t>0.765</w:t>
            </w:r>
          </w:p>
        </w:tc>
        <w:tc>
          <w:tcPr>
            <w:tcW w:type="dxa" w:w="4752"/>
            <w:shd w:val="clear" w:color="auto" w:fill="FFFFFF"/>
            <w:vAlign w:val="center"/>
          </w:tcPr>
          <w:p>
            <w:r/>
            <w:r>
              <w:rPr>
                <w:rFonts w:ascii="Times New Roman" w:hAnsi="Times New Roman" w:cs="Times New Roman"/>
                <w:b w:val="0"/>
                <w:i w:val="0"/>
                <w:sz w:val="22"/>
              </w:rPr>
              <w:t>Reasonable but weaker signal.</w:t>
            </w:r>
          </w:p>
        </w:tc>
      </w:tr>
      <w:tr>
        <w:tc>
          <w:tcPr>
            <w:tcW w:type="dxa" w:w="1584"/>
            <w:shd w:val="clear" w:color="auto" w:fill="F5EFD9"/>
            <w:vAlign w:val="center"/>
          </w:tcPr>
          <w:p>
            <w:r/>
            <w:r>
              <w:rPr>
                <w:rFonts w:ascii="Times New Roman" w:hAnsi="Times New Roman" w:cs="Times New Roman"/>
                <w:b w:val="0"/>
                <w:i w:val="0"/>
                <w:sz w:val="22"/>
              </w:rPr>
              <w:t>5.0 mg/m³</w:t>
            </w:r>
          </w:p>
        </w:tc>
        <w:tc>
          <w:tcPr>
            <w:tcW w:type="dxa" w:w="1872"/>
            <w:shd w:val="clear" w:color="auto" w:fill="F5EFD9"/>
            <w:vAlign w:val="center"/>
          </w:tcPr>
          <w:p>
            <w:r/>
            <w:r>
              <w:rPr>
                <w:rFonts w:ascii="Times New Roman" w:hAnsi="Times New Roman" w:cs="Times New Roman"/>
                <w:b w:val="0"/>
                <w:i w:val="0"/>
                <w:sz w:val="22"/>
              </w:rPr>
              <w:t>6.1%</w:t>
            </w:r>
          </w:p>
        </w:tc>
        <w:tc>
          <w:tcPr>
            <w:tcW w:type="dxa" w:w="1296"/>
            <w:shd w:val="clear" w:color="auto" w:fill="F5EFD9"/>
            <w:vAlign w:val="center"/>
          </w:tcPr>
          <w:p>
            <w:r/>
            <w:r>
              <w:rPr>
                <w:rFonts w:ascii="Times New Roman" w:hAnsi="Times New Roman" w:cs="Times New Roman"/>
                <w:b w:val="0"/>
                <w:i w:val="0"/>
                <w:sz w:val="22"/>
              </w:rPr>
              <w:t>0.593</w:t>
            </w:r>
          </w:p>
        </w:tc>
        <w:tc>
          <w:tcPr>
            <w:tcW w:type="dxa" w:w="4752"/>
            <w:shd w:val="clear" w:color="auto" w:fill="F5EFD9"/>
            <w:vAlign w:val="center"/>
          </w:tcPr>
          <w:p>
            <w:r/>
            <w:r>
              <w:rPr>
                <w:rFonts w:ascii="Times New Roman" w:hAnsi="Times New Roman" w:cs="Times New Roman"/>
                <w:b w:val="0"/>
                <w:i w:val="0"/>
                <w:sz w:val="22"/>
              </w:rPr>
              <w:t>Insufficient positives to learn.</w:t>
            </w:r>
          </w:p>
        </w:tc>
      </w:tr>
    </w:tbl>
    <w:p>
      <w:pPr>
        <w:spacing w:before="40" w:after="240"/>
        <w:jc w:val="center"/>
      </w:pPr>
      <w:r>
        <w:rPr>
          <w:rFonts w:ascii="Times New Roman" w:hAnsi="Times New Roman" w:cs="Times New Roman"/>
          <w:b w:val="0"/>
          <w:i/>
          <w:sz w:val="22"/>
        </w:rPr>
        <w:t>Table 2 — Threshold sensitivity for the bloom target definition. The 2.0 mg/m³ threshold was selected on empirical AUC optimality.</w:t>
      </w:r>
    </w:p>
    <w:p>
      <w:pPr>
        <w:jc w:val="center"/>
      </w:pPr>
      <w:r>
        <w:drawing>
          <wp:inline xmlns:a="http://schemas.openxmlformats.org/drawingml/2006/main" xmlns:pic="http://schemas.openxmlformats.org/drawingml/2006/picture">
            <wp:extent cx="5669280" cy="3298490"/>
            <wp:docPr id="2" name="Picture 2"/>
            <wp:cNvGraphicFramePr>
              <a:graphicFrameLocks noChangeAspect="1"/>
            </wp:cNvGraphicFramePr>
            <a:graphic>
              <a:graphicData uri="http://schemas.openxmlformats.org/drawingml/2006/picture">
                <pic:pic>
                  <pic:nvPicPr>
                    <pic:cNvPr id="0" name="BloomWatch_threshold_sensitivity.png"/>
                    <pic:cNvPicPr/>
                  </pic:nvPicPr>
                  <pic:blipFill>
                    <a:blip r:embed="rId10"/>
                    <a:stretch>
                      <a:fillRect/>
                    </a:stretch>
                  </pic:blipFill>
                  <pic:spPr>
                    <a:xfrm>
                      <a:off x="0" y="0"/>
                      <a:ext cx="5669280" cy="3298490"/>
                    </a:xfrm>
                    <a:prstGeom prst="rect"/>
                  </pic:spPr>
                </pic:pic>
              </a:graphicData>
            </a:graphic>
          </wp:inline>
        </w:drawing>
      </w:r>
    </w:p>
    <w:p>
      <w:pPr>
        <w:spacing w:before="40" w:after="240"/>
        <w:jc w:val="center"/>
      </w:pPr>
      <w:r>
        <w:rPr>
          <w:rFonts w:ascii="Times New Roman" w:hAnsi="Times New Roman" w:cs="Times New Roman"/>
          <w:b w:val="0"/>
          <w:i/>
          <w:sz w:val="22"/>
        </w:rPr>
        <w:t>Figure 2 — Threshold sensitivity: ROC-AUC peaks at chl-a &gt; 2.0 mg/m³. Positive rate on the secondary axis (coral, dashed) shows how the class balance shifts with the threshold.</w:t>
      </w:r>
    </w:p>
    <w:p>
      <w:pPr>
        <w:jc w:val="both"/>
      </w:pPr>
      <w:r>
        <w:rPr>
          <w:rFonts w:ascii="Times New Roman" w:hAnsi="Times New Roman" w:cs="Times New Roman"/>
          <w:b w:val="0"/>
          <w:i w:val="0"/>
          <w:sz w:val="24"/>
        </w:rPr>
        <w:t>3. Calibration approach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D3557"/>
            <w:vAlign w:val="center"/>
          </w:tcPr>
          <w:p>
            <w:pPr>
              <w:jc w:val="center"/>
            </w:pPr>
            <w:r/>
            <w:r>
              <w:rPr>
                <w:rFonts w:ascii="Times New Roman" w:hAnsi="Times New Roman" w:cs="Times New Roman"/>
                <w:b/>
                <w:i w:val="0"/>
                <w:color w:val="FFFFFF"/>
                <w:sz w:val="24"/>
              </w:rPr>
              <w:t>Approach</w:t>
            </w:r>
          </w:p>
        </w:tc>
        <w:tc>
          <w:tcPr>
            <w:tcW w:type="dxa" w:w="2880"/>
            <w:shd w:val="clear" w:color="auto" w:fill="1D3557"/>
            <w:vAlign w:val="center"/>
          </w:tcPr>
          <w:p>
            <w:pPr>
              <w:jc w:val="center"/>
            </w:pPr>
            <w:r/>
            <w:r>
              <w:rPr>
                <w:rFonts w:ascii="Times New Roman" w:hAnsi="Times New Roman" w:cs="Times New Roman"/>
                <w:b/>
                <w:i w:val="0"/>
                <w:color w:val="FFFFFF"/>
                <w:sz w:val="24"/>
              </w:rPr>
              <w:t>Advantages</w:t>
            </w:r>
          </w:p>
        </w:tc>
        <w:tc>
          <w:tcPr>
            <w:tcW w:type="dxa" w:w="2736"/>
            <w:shd w:val="clear" w:color="auto" w:fill="1D3557"/>
            <w:vAlign w:val="center"/>
          </w:tcPr>
          <w:p>
            <w:pPr>
              <w:jc w:val="center"/>
            </w:pPr>
            <w:r/>
            <w:r>
              <w:rPr>
                <w:rFonts w:ascii="Times New Roman" w:hAnsi="Times New Roman" w:cs="Times New Roman"/>
                <w:b/>
                <w:i w:val="0"/>
                <w:color w:val="FFFFFF"/>
                <w:sz w:val="24"/>
              </w:rPr>
              <w:t>Disadvantages</w:t>
            </w:r>
          </w:p>
        </w:tc>
        <w:tc>
          <w:tcPr>
            <w:tcW w:type="dxa" w:w="1872"/>
            <w:shd w:val="clear" w:color="auto" w:fill="1D3557"/>
            <w:vAlign w:val="center"/>
          </w:tcPr>
          <w:p>
            <w:pPr>
              <w:jc w:val="center"/>
            </w:pPr>
            <w:r/>
            <w:r>
              <w:rPr>
                <w:rFonts w:ascii="Times New Roman" w:hAnsi="Times New Roman" w:cs="Times New Roman"/>
                <w:b/>
                <w:i w:val="0"/>
                <w:color w:val="FFFFFF"/>
                <w:sz w:val="24"/>
              </w:rPr>
              <w:t>Selected?</w:t>
            </w:r>
          </w:p>
        </w:tc>
      </w:tr>
      <w:tr>
        <w:tc>
          <w:tcPr>
            <w:tcW w:type="dxa" w:w="2160"/>
            <w:shd w:val="clear" w:color="auto" w:fill="FFFFFF"/>
            <w:vAlign w:val="center"/>
          </w:tcPr>
          <w:p>
            <w:r/>
            <w:r>
              <w:rPr>
                <w:rFonts w:ascii="Times New Roman" w:hAnsi="Times New Roman" w:cs="Times New Roman"/>
                <w:b w:val="0"/>
                <w:i w:val="0"/>
                <w:sz w:val="22"/>
              </w:rPr>
              <w:t>No calibration (Version A)</w:t>
            </w:r>
          </w:p>
        </w:tc>
        <w:tc>
          <w:tcPr>
            <w:tcW w:type="dxa" w:w="2880"/>
            <w:shd w:val="clear" w:color="auto" w:fill="FFFFFF"/>
            <w:vAlign w:val="center"/>
          </w:tcPr>
          <w:p>
            <w:r/>
            <w:r>
              <w:rPr>
                <w:rFonts w:ascii="Times New Roman" w:hAnsi="Times New Roman" w:cs="Times New Roman"/>
                <w:b w:val="0"/>
                <w:i w:val="0"/>
                <w:sz w:val="22"/>
              </w:rPr>
              <w:t>Preserves raw XGBoost output.</w:t>
            </w:r>
          </w:p>
        </w:tc>
        <w:tc>
          <w:tcPr>
            <w:tcW w:type="dxa" w:w="2736"/>
            <w:shd w:val="clear" w:color="auto" w:fill="FFFFFF"/>
            <w:vAlign w:val="center"/>
          </w:tcPr>
          <w:p>
            <w:r/>
            <w:r>
              <w:rPr>
                <w:rFonts w:ascii="Times New Roman" w:hAnsi="Times New Roman" w:cs="Times New Roman"/>
                <w:b w:val="0"/>
                <w:i w:val="0"/>
                <w:sz w:val="22"/>
              </w:rPr>
              <w:t>May be systematically off if base learner is miscalibrated.</w:t>
            </w:r>
          </w:p>
        </w:tc>
        <w:tc>
          <w:tcPr>
            <w:tcW w:type="dxa" w:w="1872"/>
            <w:shd w:val="clear" w:color="auto" w:fill="FFFFFF"/>
            <w:vAlign w:val="center"/>
          </w:tcPr>
          <w:p>
            <w:r/>
            <w:r>
              <w:rPr>
                <w:rFonts w:ascii="Times New Roman" w:hAnsi="Times New Roman" w:cs="Times New Roman"/>
                <w:b w:val="0"/>
                <w:i w:val="0"/>
                <w:sz w:val="22"/>
              </w:rPr>
              <w:t>Selected as final operational choice (see Power Analysis).</w:t>
            </w:r>
          </w:p>
        </w:tc>
      </w:tr>
      <w:tr>
        <w:tc>
          <w:tcPr>
            <w:tcW w:type="dxa" w:w="2160"/>
            <w:shd w:val="clear" w:color="auto" w:fill="F5EFD9"/>
            <w:vAlign w:val="center"/>
          </w:tcPr>
          <w:p>
            <w:r/>
            <w:r>
              <w:rPr>
                <w:rFonts w:ascii="Times New Roman" w:hAnsi="Times New Roman" w:cs="Times New Roman"/>
                <w:b w:val="0"/>
                <w:i w:val="0"/>
                <w:sz w:val="22"/>
              </w:rPr>
              <w:t>Standard sigmoid CV (Version B)</w:t>
            </w:r>
          </w:p>
        </w:tc>
        <w:tc>
          <w:tcPr>
            <w:tcW w:type="dxa" w:w="2880"/>
            <w:shd w:val="clear" w:color="auto" w:fill="F5EFD9"/>
            <w:vAlign w:val="center"/>
          </w:tcPr>
          <w:p>
            <w:r/>
            <w:r>
              <w:rPr>
                <w:rFonts w:ascii="Times New Roman" w:hAnsi="Times New Roman" w:cs="Times New Roman"/>
                <w:b w:val="0"/>
                <w:i w:val="0"/>
                <w:sz w:val="22"/>
              </w:rPr>
              <w:t>Well-established, robust.</w:t>
            </w:r>
          </w:p>
        </w:tc>
        <w:tc>
          <w:tcPr>
            <w:tcW w:type="dxa" w:w="2736"/>
            <w:shd w:val="clear" w:color="auto" w:fill="F5EFD9"/>
            <w:vAlign w:val="center"/>
          </w:tcPr>
          <w:p>
            <w:r/>
            <w:r>
              <w:rPr>
                <w:rFonts w:ascii="Times New Roman" w:hAnsi="Times New Roman" w:cs="Times New Roman"/>
                <w:b w:val="0"/>
                <w:i w:val="0"/>
                <w:sz w:val="22"/>
              </w:rPr>
              <w:t>Requires held-out validation set.</w:t>
            </w:r>
          </w:p>
        </w:tc>
        <w:tc>
          <w:tcPr>
            <w:tcW w:type="dxa" w:w="1872"/>
            <w:shd w:val="clear" w:color="auto" w:fill="F5EFD9"/>
            <w:vAlign w:val="center"/>
          </w:tcPr>
          <w:p>
            <w:r/>
            <w:r>
              <w:rPr>
                <w:rFonts w:ascii="Times New Roman" w:hAnsi="Times New Roman" w:cs="Times New Roman"/>
                <w:b w:val="0"/>
                <w:i w:val="0"/>
                <w:sz w:val="22"/>
              </w:rPr>
              <w:t>Tested</w:t>
            </w:r>
          </w:p>
        </w:tc>
      </w:tr>
      <w:tr>
        <w:tc>
          <w:tcPr>
            <w:tcW w:type="dxa" w:w="2160"/>
            <w:shd w:val="clear" w:color="auto" w:fill="FFFFFF"/>
            <w:vAlign w:val="center"/>
          </w:tcPr>
          <w:p>
            <w:r/>
            <w:r>
              <w:rPr>
                <w:rFonts w:ascii="Times New Roman" w:hAnsi="Times New Roman" w:cs="Times New Roman"/>
                <w:b w:val="0"/>
                <w:i w:val="0"/>
                <w:sz w:val="22"/>
              </w:rPr>
              <w:t>Outcome-anchored Platt (Version C, novel)</w:t>
            </w:r>
          </w:p>
        </w:tc>
        <w:tc>
          <w:tcPr>
            <w:tcW w:type="dxa" w:w="2880"/>
            <w:shd w:val="clear" w:color="auto" w:fill="FFFFFF"/>
            <w:vAlign w:val="center"/>
          </w:tcPr>
          <w:p>
            <w:r/>
            <w:r>
              <w:rPr>
                <w:rFonts w:ascii="Times New Roman" w:hAnsi="Times New Roman" w:cs="Times New Roman"/>
                <w:b w:val="0"/>
                <w:i w:val="0"/>
                <w:sz w:val="22"/>
              </w:rPr>
              <w:t>Ties probabilities directly to economic outcomes.</w:t>
            </w:r>
          </w:p>
        </w:tc>
        <w:tc>
          <w:tcPr>
            <w:tcW w:type="dxa" w:w="2736"/>
            <w:shd w:val="clear" w:color="auto" w:fill="FFFFFF"/>
            <w:vAlign w:val="center"/>
          </w:tcPr>
          <w:p>
            <w:r/>
            <w:r>
              <w:rPr>
                <w:rFonts w:ascii="Times New Roman" w:hAnsi="Times New Roman" w:cs="Times New Roman"/>
                <w:b w:val="0"/>
                <w:i w:val="0"/>
                <w:sz w:val="22"/>
              </w:rPr>
              <w:t>Requires many documented events; power analysis identifies the floor.</w:t>
            </w:r>
          </w:p>
        </w:tc>
        <w:tc>
          <w:tcPr>
            <w:tcW w:type="dxa" w:w="1872"/>
            <w:shd w:val="clear" w:color="auto" w:fill="FFFFFF"/>
            <w:vAlign w:val="center"/>
          </w:tcPr>
          <w:p>
            <w:r/>
            <w:r>
              <w:rPr>
                <w:rFonts w:ascii="Times New Roman" w:hAnsi="Times New Roman" w:cs="Times New Roman"/>
                <w:b w:val="0"/>
                <w:i w:val="0"/>
                <w:sz w:val="22"/>
              </w:rPr>
              <w:t>Tested; hypothesis not validated at N=4</w:t>
            </w:r>
          </w:p>
        </w:tc>
      </w:tr>
      <w:tr>
        <w:tc>
          <w:tcPr>
            <w:tcW w:type="dxa" w:w="2160"/>
            <w:shd w:val="clear" w:color="auto" w:fill="F5EFD9"/>
            <w:vAlign w:val="center"/>
          </w:tcPr>
          <w:p>
            <w:r/>
            <w:r>
              <w:rPr>
                <w:rFonts w:ascii="Times New Roman" w:hAnsi="Times New Roman" w:cs="Times New Roman"/>
                <w:b w:val="0"/>
                <w:i w:val="0"/>
                <w:sz w:val="22"/>
              </w:rPr>
              <w:t>Isotonic regression</w:t>
            </w:r>
          </w:p>
        </w:tc>
        <w:tc>
          <w:tcPr>
            <w:tcW w:type="dxa" w:w="2880"/>
            <w:shd w:val="clear" w:color="auto" w:fill="F5EFD9"/>
            <w:vAlign w:val="center"/>
          </w:tcPr>
          <w:p>
            <w:r/>
            <w:r>
              <w:rPr>
                <w:rFonts w:ascii="Times New Roman" w:hAnsi="Times New Roman" w:cs="Times New Roman"/>
                <w:b w:val="0"/>
                <w:i w:val="0"/>
                <w:sz w:val="22"/>
              </w:rPr>
              <w:t>Flexible, non-parametric.</w:t>
            </w:r>
          </w:p>
        </w:tc>
        <w:tc>
          <w:tcPr>
            <w:tcW w:type="dxa" w:w="2736"/>
            <w:shd w:val="clear" w:color="auto" w:fill="F5EFD9"/>
            <w:vAlign w:val="center"/>
          </w:tcPr>
          <w:p>
            <w:r/>
            <w:r>
              <w:rPr>
                <w:rFonts w:ascii="Times New Roman" w:hAnsi="Times New Roman" w:cs="Times New Roman"/>
                <w:b w:val="0"/>
                <w:i w:val="0"/>
                <w:sz w:val="22"/>
              </w:rPr>
              <w:t>Requires 100+ samples per class.</w:t>
            </w:r>
          </w:p>
        </w:tc>
        <w:tc>
          <w:tcPr>
            <w:tcW w:type="dxa" w:w="1872"/>
            <w:shd w:val="clear" w:color="auto" w:fill="F5EFD9"/>
            <w:vAlign w:val="center"/>
          </w:tcPr>
          <w:p>
            <w:r/>
            <w:r>
              <w:rPr>
                <w:rFonts w:ascii="Times New Roman" w:hAnsi="Times New Roman" w:cs="Times New Roman"/>
                <w:b w:val="0"/>
                <w:i w:val="0"/>
                <w:sz w:val="22"/>
              </w:rPr>
              <w:t>Tested; overfits at N=92</w:t>
            </w:r>
          </w:p>
        </w:tc>
      </w:tr>
    </w:tbl>
    <w:p>
      <w:pPr>
        <w:spacing w:before="40" w:after="240"/>
        <w:jc w:val="center"/>
      </w:pPr>
      <w:r>
        <w:rPr>
          <w:rFonts w:ascii="Times New Roman" w:hAnsi="Times New Roman" w:cs="Times New Roman"/>
          <w:b w:val="0"/>
          <w:i/>
          <w:sz w:val="22"/>
        </w:rPr>
        <w:t>Table 3 — Comparison of calibration approaches.</w:t>
      </w:r>
    </w:p>
    <w:p>
      <w:pPr>
        <w:jc w:val="both"/>
      </w:pPr>
      <w:r>
        <w:rPr>
          <w:rFonts w:ascii="Times New Roman" w:hAnsi="Times New Roman" w:cs="Times New Roman"/>
          <w:b w:val="0"/>
          <w:i w:val="0"/>
          <w:sz w:val="24"/>
        </w:rPr>
        <w:t>4. Data source stack</w:t>
      </w:r>
    </w:p>
    <w:p>
      <w:pPr>
        <w:jc w:val="both"/>
      </w:pPr>
      <w:r>
        <w:rPr>
          <w:rFonts w:ascii="Times New Roman" w:hAnsi="Times New Roman" w:cs="Times New Roman"/>
          <w:b w:val="0"/>
          <w:i w:val="0"/>
          <w:sz w:val="24"/>
        </w:rPr>
        <w:t>VIIRS-SNPP was selected for satellite chlorophyll because MODIS-Aqua retired in early 2025 and PACE OCI (launched 2024) does not yet have a full training-window record. IMD district rainfall was selected over CHIRPS because it is authoritative for the Indian subcontinent. CMFRI Annual Reports were the only publicly available source of documented Indian HAB events during the study window.</w:t>
      </w:r>
    </w:p>
    <w:p>
      <w:pPr>
        <w:keepNext/>
        <w:spacing w:before="240" w:after="120"/>
      </w:pPr>
      <w:r>
        <w:rPr>
          <w:rFonts w:ascii="Times New Roman" w:hAnsi="Times New Roman" w:cs="Times New Roman"/>
          <w:b/>
          <w:i w:val="0"/>
          <w:sz w:val="28"/>
        </w:rPr>
        <w:t>Implementation</w:t>
      </w:r>
    </w:p>
    <w:p>
      <w:pPr>
        <w:jc w:val="both"/>
      </w:pPr>
      <w:r>
        <w:rPr>
          <w:rFonts w:ascii="Times New Roman" w:hAnsi="Times New Roman" w:cs="Times New Roman"/>
          <w:b w:val="0"/>
          <w:i w:val="0"/>
          <w:sz w:val="24"/>
        </w:rPr>
        <w:t>BloomWatch AI has four coupled components. Each is described below by purpose, method, advantages, and limitations.</w:t>
      </w:r>
    </w:p>
    <w:p>
      <w:pPr>
        <w:jc w:val="both"/>
      </w:pPr>
      <w:r>
        <w:rPr>
          <w:rFonts w:ascii="Times New Roman" w:hAnsi="Times New Roman" w:cs="Times New Roman"/>
          <w:b/>
          <w:i w:val="0"/>
          <w:sz w:val="24"/>
        </w:rPr>
        <w:t xml:space="preserve">Component 1 — Weekly data ingestion pipeline (pipeline/pull_modis.py, pipeline/pull_imd.py). </w:t>
      </w:r>
      <w:r>
        <w:rPr>
          <w:rFonts w:ascii="Times New Roman" w:hAnsi="Times New Roman" w:cs="Times New Roman"/>
          <w:b w:val="0"/>
          <w:i w:val="0"/>
          <w:sz w:val="24"/>
        </w:rPr>
        <w:t>Purpose: obtain the newest available satellite chlorophyll-a, sea surface temperature, and district-level rainfall. Method: authenticated NASA Earthdata download for VIIRS-SNPP; HTML scraping of the IMD Mausam dashboard for district-level cumulative rainfall. Advantages: entirely public-data driven, no paid APIs. Limitations: satellite retrievals are sensitive to cloud cover, and the IMD dashboard structure could change and break the scraper.</w:t>
      </w:r>
    </w:p>
    <w:p>
      <w:pPr>
        <w:jc w:val="both"/>
      </w:pPr>
      <w:r>
        <w:rPr>
          <w:rFonts w:ascii="Times New Roman" w:hAnsi="Times New Roman" w:cs="Times New Roman"/>
          <w:b/>
          <w:i w:val="0"/>
          <w:sz w:val="24"/>
        </w:rPr>
        <w:t xml:space="preserve">Component 2 — Feature engineering (pipeline/build_features.py). </w:t>
      </w:r>
      <w:r>
        <w:rPr>
          <w:rFonts w:ascii="Times New Roman" w:hAnsi="Times New Roman" w:cs="Times New Roman"/>
          <w:b w:val="0"/>
          <w:i w:val="0"/>
          <w:sz w:val="24"/>
        </w:rPr>
        <w:t>Purpose: transform raw weekly measurements into a 69-dimensional feature vector per region per week. Method: 11 raw current-week statistics × 4 transformations plus climatological anomalies, SST slope, cumulative rainfall, cyclic day-of-year encoding, region one-hot, and 52-week HAB event history. Advantages: encodes both current state and short-term dynamics; XGBoost handles missing satellite values natively without imputation. Limitations: no upstream watershed nutrient loading or tidal state.</w:t>
      </w:r>
    </w:p>
    <w:p>
      <w:pPr>
        <w:jc w:val="both"/>
      </w:pPr>
      <w:r>
        <w:rPr>
          <w:rFonts w:ascii="Times New Roman" w:hAnsi="Times New Roman" w:cs="Times New Roman"/>
          <w:b/>
          <w:i w:val="0"/>
          <w:sz w:val="24"/>
        </w:rPr>
        <w:t xml:space="preserve">Component 3 — XGBoost forecast model and risk-band mapper (pipeline/predict.py). </w:t>
      </w:r>
      <w:r>
        <w:rPr>
          <w:rFonts w:ascii="Times New Roman" w:hAnsi="Times New Roman" w:cs="Times New Roman"/>
          <w:b w:val="0"/>
          <w:i w:val="0"/>
          <w:sz w:val="24"/>
        </w:rPr>
        <w:t>Purpose: convert the feature vector into a calibrated bloom-risk probability plus a hedged risk-band label. Method: XGBoost with 300 trees, depth 4, learning rate 0.05, subsample 0.9. Risk bands were recalibrated against pooled reliability empirical rates: predictions of 0.15–0.35 are shown as “Elevated caution,” predictions of 0.35–0.55 as “Elevated caution (model less reliable),” and 0.55+ as “High risk, consult local extension officer.” Advantages: honest, uncertainty-aware output. Limitations: at the 0.5 decision threshold pooled recall is only 0.40, which is why band-based decisions are used instead of binary calls.</w:t>
      </w:r>
    </w:p>
    <w:p>
      <w:pPr>
        <w:jc w:val="both"/>
      </w:pPr>
      <w:r>
        <w:rPr>
          <w:rFonts w:ascii="Times New Roman" w:hAnsi="Times New Roman" w:cs="Times New Roman"/>
          <w:b/>
          <w:i w:val="0"/>
          <w:sz w:val="24"/>
        </w:rPr>
        <w:t xml:space="preserve">Component 4 — FastAPI service with retrieval-augmented chatbot (api/main.py, chatbot/orchestrator.py). </w:t>
      </w:r>
      <w:r>
        <w:rPr>
          <w:rFonts w:ascii="Times New Roman" w:hAnsi="Times New Roman" w:cs="Times New Roman"/>
          <w:b w:val="0"/>
          <w:i w:val="0"/>
          <w:sz w:val="24"/>
        </w:rPr>
        <w:t>Purpose: expose the forecast and a farmer-facing conversational interface. Endpoints: /health, /forecast, /model_status, /chat. The chatbot supports English, Malayalam, Hindi, and Kannada. Method: FastAPI backend, Google Gemini as primary language model with Ollama Llama 3.2 as local fallback. ChromaDB indexes 19 documents: static guidance on forecast interpretation, risk bands, mitigation, CMFRI historical events, shellfish diagnostic symptoms, species field guide, emergency contacts, safe disposal, and model limitations (including the Trichodesmium blind spot). Advantages: composable — the chatbot fetches the current forecast and retrieves relevant docs, then generates a grounded response. Limitations: retrieval quality depends on document coverage; questions outside the corpus produce a “not covered” acknowledgement rather than an invented answer.</w:t>
      </w:r>
    </w:p>
    <w:p>
      <w:pPr>
        <w:jc w:val="both"/>
      </w:pPr>
      <w:r>
        <w:rPr>
          <w:rFonts w:ascii="Times New Roman" w:hAnsi="Times New Roman" w:cs="Times New Roman"/>
          <w:b w:val="0"/>
          <w:i w:val="0"/>
          <w:sz w:val="24"/>
        </w:rPr>
        <w:t>The four components run weekly on GitHub Actions. The current forecast JSON is refreshed every Friday and served by the API without user intervention. A rolling six-year retrain with a 5% AUC drift guard keeps the deployed model current as new data lands.</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BloomWatch_architecture.png"/>
                    <pic:cNvPicPr/>
                  </pic:nvPicPr>
                  <pic:blipFill>
                    <a:blip r:embed="rId11"/>
                    <a:stretch>
                      <a:fillRect/>
                    </a:stretch>
                  </pic:blipFill>
                  <pic:spPr>
                    <a:xfrm>
                      <a:off x="0" y="0"/>
                      <a:ext cx="5669280" cy="3401568"/>
                    </a:xfrm>
                    <a:prstGeom prst="rect"/>
                  </pic:spPr>
                </pic:pic>
              </a:graphicData>
            </a:graphic>
          </wp:inline>
        </w:drawing>
      </w:r>
    </w:p>
    <w:p>
      <w:pPr>
        <w:spacing w:before="40" w:after="240"/>
        <w:jc w:val="center"/>
      </w:pPr>
      <w:r>
        <w:rPr>
          <w:rFonts w:ascii="Times New Roman" w:hAnsi="Times New Roman" w:cs="Times New Roman"/>
          <w:b w:val="0"/>
          <w:i/>
          <w:sz w:val="22"/>
        </w:rPr>
        <w:t>Figure 3 — BloomWatch AI system architecture. Four coupled components: weekly data ingestion, feature engineering, XGBoost modelling + risk-band mapping, and the FastAPI serving layer with the RAG chatbot. Live deployment at bloomwatch-ai.onrender.com.</w:t>
      </w:r>
    </w:p>
    <w:p>
      <w:pPr>
        <w:keepNext/>
        <w:spacing w:before="240" w:after="120"/>
      </w:pPr>
      <w:r>
        <w:rPr>
          <w:rFonts w:ascii="Times New Roman" w:hAnsi="Times New Roman" w:cs="Times New Roman"/>
          <w:b/>
          <w:i w:val="0"/>
          <w:sz w:val="28"/>
        </w:rPr>
        <w:t>Resources (Materials and People)</w:t>
      </w:r>
    </w:p>
    <w:p>
      <w:pPr>
        <w:jc w:val="both"/>
      </w:pPr>
      <w:r>
        <w:rPr>
          <w:rFonts w:ascii="Times New Roman" w:hAnsi="Times New Roman" w:cs="Times New Roman"/>
          <w:b w:val="0"/>
          <w:i w:val="0"/>
          <w:sz w:val="24"/>
        </w:rPr>
        <w:t>Materials (all free / public):</w:t>
      </w:r>
    </w:p>
    <w:p>
      <w:pPr>
        <w:pStyle w:val="ListBullet"/>
        <w:spacing w:after="60"/>
      </w:pPr>
      <w:r>
        <w:rPr>
          <w:rFonts w:ascii="Times New Roman" w:hAnsi="Times New Roman" w:cs="Times New Roman"/>
          <w:b w:val="0"/>
          <w:i w:val="0"/>
          <w:sz w:val="24"/>
        </w:rPr>
        <w:t>Compute: personal MacBook (M-series, macOS 24) for development; GitHub Actions free tier for the weekly refresh.</w:t>
      </w:r>
    </w:p>
    <w:p>
      <w:pPr>
        <w:pStyle w:val="ListBullet"/>
        <w:spacing w:after="60"/>
      </w:pPr>
      <w:r>
        <w:rPr>
          <w:rFonts w:ascii="Times New Roman" w:hAnsi="Times New Roman" w:cs="Times New Roman"/>
          <w:b w:val="0"/>
          <w:i w:val="0"/>
          <w:sz w:val="24"/>
        </w:rPr>
        <w:t>Data: NASA Earthdata (free registration), Indian Meteorological Department Mausam dashboard (public), CMFRI Annual Reports 2016–2024 (public PDFs).</w:t>
      </w:r>
    </w:p>
    <w:p>
      <w:pPr>
        <w:pStyle w:val="ListBullet"/>
        <w:spacing w:after="60"/>
      </w:pPr>
      <w:r>
        <w:rPr>
          <w:rFonts w:ascii="Times New Roman" w:hAnsi="Times New Roman" w:cs="Times New Roman"/>
          <w:b w:val="0"/>
          <w:i w:val="0"/>
          <w:sz w:val="24"/>
        </w:rPr>
        <w:t>Software: Python 3.11, XGBoost, scikit-learn, pandas, NumPy, ChromaDB, FastAPI, Uvicorn, Next.js, Tailwind CSS. Google Gemini gemini-flash-lite-latest free tier for the chatbot; Ollama llama3.2:3b locally as fallback.</w:t>
      </w:r>
    </w:p>
    <w:p>
      <w:pPr>
        <w:pStyle w:val="ListBullet"/>
        <w:spacing w:after="60"/>
      </w:pPr>
      <w:r>
        <w:rPr>
          <w:rFonts w:ascii="Times New Roman" w:hAnsi="Times New Roman" w:cs="Times New Roman"/>
          <w:b w:val="0"/>
          <w:i w:val="0"/>
          <w:sz w:val="24"/>
        </w:rPr>
        <w:t>Deployment: Render.com free tier (backend), Lovable/Vercel free tier (frontend), GitHub (code repository and CI/CD).</w:t>
      </w:r>
    </w:p>
    <w:p>
      <w:pPr>
        <w:jc w:val="both"/>
      </w:pPr>
      <w:r>
        <w:rPr>
          <w:rFonts w:ascii="Times New Roman" w:hAnsi="Times New Roman" w:cs="Times New Roman"/>
          <w:b w:val="0"/>
          <w:i w:val="0"/>
          <w:sz w:val="24"/>
        </w:rPr>
        <w:t>People:</w:t>
      </w:r>
    </w:p>
    <w:p>
      <w:pPr>
        <w:pStyle w:val="ListBullet"/>
        <w:spacing w:after="60"/>
      </w:pPr>
      <w:r>
        <w:rPr>
          <w:rFonts w:ascii="Times New Roman" w:hAnsi="Times New Roman" w:cs="Times New Roman"/>
          <w:b w:val="0"/>
          <w:i w:val="0"/>
          <w:sz w:val="24"/>
        </w:rPr>
        <w:t>Abhisek Mallick, mentor at Northeastern University, provided methodological guidance on temporal cross-validation, calibration theory, and rigor critique that reshaped the project into its final form.</w:t>
      </w:r>
    </w:p>
    <w:p>
      <w:pPr>
        <w:pStyle w:val="ListBullet"/>
        <w:spacing w:after="60"/>
      </w:pPr>
      <w:r>
        <w:rPr>
          <w:rFonts w:ascii="Times New Roman" w:hAnsi="Times New Roman" w:cs="Times New Roman"/>
          <w:b w:val="0"/>
          <w:i w:val="0"/>
          <w:sz w:val="24"/>
        </w:rPr>
        <w:t>External reviewer critique flagged four honest limitations mid-project (the n=4 CMFRI ceiling, chl-a proxy imprecision, reliability flattening, and the 5-year window). Responding to these critiques generated the power analysis that became the paper's central finding.</w:t>
      </w:r>
    </w:p>
    <w:p>
      <w:pPr>
        <w:pStyle w:val="ListBullet"/>
        <w:spacing w:after="60"/>
      </w:pPr>
      <w:r>
        <w:rPr>
          <w:rFonts w:ascii="Times New Roman" w:hAnsi="Times New Roman" w:cs="Times New Roman"/>
          <w:b w:val="0"/>
          <w:i w:val="0"/>
          <w:sz w:val="24"/>
        </w:rPr>
        <w:t>Central Marine Fisheries Research Institute (CMFRI), Kochi — indirectly, through their Annual Reports — provided the documented bloom events without which no outcome-anchored calibration study would be possible.</w:t>
      </w:r>
    </w:p>
    <w:p>
      <w:pPr>
        <w:jc w:val="both"/>
      </w:pPr>
      <w:r>
        <w:rPr>
          <w:rFonts w:ascii="Times New Roman" w:hAnsi="Times New Roman" w:cs="Times New Roman"/>
          <w:b w:val="0"/>
          <w:i w:val="0"/>
          <w:sz w:val="24"/>
        </w:rPr>
        <w:t>Challenges and mitigations:</w:t>
      </w:r>
    </w:p>
    <w:p>
      <w:pPr>
        <w:pStyle w:val="ListBullet"/>
        <w:spacing w:after="60"/>
      </w:pPr>
      <w:r>
        <w:rPr>
          <w:rFonts w:ascii="Times New Roman" w:hAnsi="Times New Roman" w:cs="Times New Roman"/>
          <w:b w:val="0"/>
          <w:i w:val="0"/>
          <w:sz w:val="24"/>
        </w:rPr>
        <w:t>Data availability challenge: MODIS-Aqua retired mid-project. Mitigation: pivoted the ingestion pipeline to VIIRS-SNPP and documented the sensor change in the manuscript.</w:t>
      </w:r>
    </w:p>
    <w:p>
      <w:pPr>
        <w:pStyle w:val="ListBullet"/>
        <w:spacing w:after="60"/>
      </w:pPr>
      <w:r>
        <w:rPr>
          <w:rFonts w:ascii="Times New Roman" w:hAnsi="Times New Roman" w:cs="Times New Roman"/>
          <w:b w:val="0"/>
          <w:i w:val="0"/>
          <w:sz w:val="24"/>
        </w:rPr>
        <w:t>Sample-size challenge: CMFRI Annual Reports documented only 4 unique bloom events in 2020–2024. Mitigation: rather than treat this as a data cleanup problem, ran a power analysis to quantify the empirical sample-size floor. This turned the limitation into a publishable finding.</w:t>
      </w:r>
    </w:p>
    <w:p>
      <w:pPr>
        <w:pStyle w:val="ListBullet"/>
        <w:spacing w:after="60"/>
      </w:pPr>
      <w:r>
        <w:rPr>
          <w:rFonts w:ascii="Times New Roman" w:hAnsi="Times New Roman" w:cs="Times New Roman"/>
          <w:b w:val="0"/>
          <w:i w:val="0"/>
          <w:sz w:val="24"/>
        </w:rPr>
        <w:t>Skills gap: limited prior experience with calibration methods. Mitigation: reviewed Platt (1999) and Guo et al. (2017) primary sources; consulted mentor on empirical calibration testing design; iterated on the notebook implementation until baselines matched published expectations.</w:t>
      </w:r>
    </w:p>
    <w:p>
      <w:pPr>
        <w:pStyle w:val="ListBullet"/>
        <w:spacing w:after="60"/>
      </w:pPr>
      <w:r>
        <w:rPr>
          <w:rFonts w:ascii="Times New Roman" w:hAnsi="Times New Roman" w:cs="Times New Roman"/>
          <w:b w:val="0"/>
          <w:i w:val="0"/>
          <w:sz w:val="24"/>
        </w:rPr>
        <w:t>Time management: 128 hours spread across 8 weeks required a Gantt-style weekly plan. Delays in data assembly were absorbed by trimming feature engineering scope (initially 90 features, cut to 69 based on redundancy).</w:t>
      </w:r>
    </w:p>
    <w:p>
      <w:pPr>
        <w:keepNext/>
        <w:spacing w:before="240" w:after="120"/>
      </w:pPr>
      <w:r>
        <w:rPr>
          <w:rFonts w:ascii="Times New Roman" w:hAnsi="Times New Roman" w:cs="Times New Roman"/>
          <w:b/>
          <w:i w:val="0"/>
          <w:sz w:val="28"/>
        </w:rPr>
        <w:t>Testing</w:t>
      </w:r>
    </w:p>
    <w:p>
      <w:pPr>
        <w:jc w:val="both"/>
      </w:pPr>
      <w:r>
        <w:rPr>
          <w:rFonts w:ascii="Times New Roman" w:hAnsi="Times New Roman" w:cs="Times New Roman"/>
          <w:b w:val="0"/>
          <w:i w:val="0"/>
          <w:sz w:val="24"/>
        </w:rPr>
        <w:t>Model testing.</w:t>
      </w:r>
    </w:p>
    <w:p>
      <w:pPr>
        <w:jc w:val="both"/>
      </w:pPr>
      <w:r>
        <w:rPr>
          <w:rFonts w:ascii="Times New Roman" w:hAnsi="Times New Roman" w:cs="Times New Roman"/>
          <w:b w:val="0"/>
          <w:i w:val="0"/>
          <w:sz w:val="24"/>
        </w:rPr>
        <w:t>Model performance was evaluated on three rolling temporal splits — S1 (2020–2021 train, 2022 test), S2 (2020–2022 train, 2024 test), and S3 (2020–2023 train, 2024 test) — plus a pooled evaluation across all 276 test observations. Per-split metrics appear in Table 4. AUC values ranged from 0.787 to 0.830, with pooled AUC 0.809.</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864"/>
            <w:shd w:val="clear" w:color="auto" w:fill="1D3557"/>
            <w:vAlign w:val="center"/>
          </w:tcPr>
          <w:p>
            <w:pPr>
              <w:jc w:val="center"/>
            </w:pPr>
            <w:r/>
            <w:r>
              <w:rPr>
                <w:rFonts w:ascii="Times New Roman" w:hAnsi="Times New Roman" w:cs="Times New Roman"/>
                <w:b/>
                <w:i w:val="0"/>
                <w:color w:val="FFFFFF"/>
                <w:sz w:val="24"/>
              </w:rPr>
              <w:t>Split</w:t>
            </w:r>
          </w:p>
        </w:tc>
        <w:tc>
          <w:tcPr>
            <w:tcW w:type="dxa" w:w="1440"/>
            <w:shd w:val="clear" w:color="auto" w:fill="1D3557"/>
            <w:vAlign w:val="center"/>
          </w:tcPr>
          <w:p>
            <w:pPr>
              <w:jc w:val="center"/>
            </w:pPr>
            <w:r/>
            <w:r>
              <w:rPr>
                <w:rFonts w:ascii="Times New Roman" w:hAnsi="Times New Roman" w:cs="Times New Roman"/>
                <w:b/>
                <w:i w:val="0"/>
                <w:color w:val="FFFFFF"/>
                <w:sz w:val="24"/>
              </w:rPr>
              <w:t>Train yrs</w:t>
            </w:r>
          </w:p>
        </w:tc>
        <w:tc>
          <w:tcPr>
            <w:tcW w:type="dxa" w:w="1008"/>
            <w:shd w:val="clear" w:color="auto" w:fill="1D3557"/>
            <w:vAlign w:val="center"/>
          </w:tcPr>
          <w:p>
            <w:pPr>
              <w:jc w:val="center"/>
            </w:pPr>
            <w:r/>
            <w:r>
              <w:rPr>
                <w:rFonts w:ascii="Times New Roman" w:hAnsi="Times New Roman" w:cs="Times New Roman"/>
                <w:b/>
                <w:i w:val="0"/>
                <w:color w:val="FFFFFF"/>
                <w:sz w:val="24"/>
              </w:rPr>
              <w:t>Test yr</w:t>
            </w:r>
          </w:p>
        </w:tc>
        <w:tc>
          <w:tcPr>
            <w:tcW w:type="dxa" w:w="864"/>
            <w:shd w:val="clear" w:color="auto" w:fill="1D3557"/>
            <w:vAlign w:val="center"/>
          </w:tcPr>
          <w:p>
            <w:pPr>
              <w:jc w:val="center"/>
            </w:pPr>
            <w:r/>
            <w:r>
              <w:rPr>
                <w:rFonts w:ascii="Times New Roman" w:hAnsi="Times New Roman" w:cs="Times New Roman"/>
                <w:b/>
                <w:i w:val="0"/>
                <w:color w:val="FFFFFF"/>
                <w:sz w:val="24"/>
              </w:rPr>
              <w:t>AUC</w:t>
            </w:r>
          </w:p>
        </w:tc>
        <w:tc>
          <w:tcPr>
            <w:tcW w:type="dxa" w:w="864"/>
            <w:shd w:val="clear" w:color="auto" w:fill="1D3557"/>
            <w:vAlign w:val="center"/>
          </w:tcPr>
          <w:p>
            <w:pPr>
              <w:jc w:val="center"/>
            </w:pPr>
            <w:r/>
            <w:r>
              <w:rPr>
                <w:rFonts w:ascii="Times New Roman" w:hAnsi="Times New Roman" w:cs="Times New Roman"/>
                <w:b/>
                <w:i w:val="0"/>
                <w:color w:val="FFFFFF"/>
                <w:sz w:val="24"/>
              </w:rPr>
              <w:t>Brier</w:t>
            </w:r>
          </w:p>
        </w:tc>
        <w:tc>
          <w:tcPr>
            <w:tcW w:type="dxa" w:w="864"/>
            <w:shd w:val="clear" w:color="auto" w:fill="1D3557"/>
            <w:vAlign w:val="center"/>
          </w:tcPr>
          <w:p>
            <w:pPr>
              <w:jc w:val="center"/>
            </w:pPr>
            <w:r/>
            <w:r>
              <w:rPr>
                <w:rFonts w:ascii="Times New Roman" w:hAnsi="Times New Roman" w:cs="Times New Roman"/>
                <w:b/>
                <w:i w:val="0"/>
                <w:color w:val="FFFFFF"/>
                <w:sz w:val="24"/>
              </w:rPr>
              <w:t>ECE</w:t>
            </w:r>
          </w:p>
        </w:tc>
        <w:tc>
          <w:tcPr>
            <w:tcW w:type="dxa" w:w="1008"/>
            <w:shd w:val="clear" w:color="auto" w:fill="1D3557"/>
            <w:vAlign w:val="center"/>
          </w:tcPr>
          <w:p>
            <w:pPr>
              <w:jc w:val="center"/>
            </w:pPr>
            <w:r/>
            <w:r>
              <w:rPr>
                <w:rFonts w:ascii="Times New Roman" w:hAnsi="Times New Roman" w:cs="Times New Roman"/>
                <w:b/>
                <w:i w:val="0"/>
                <w:color w:val="FFFFFF"/>
                <w:sz w:val="24"/>
              </w:rPr>
              <w:t>Precision</w:t>
            </w:r>
          </w:p>
        </w:tc>
        <w:tc>
          <w:tcPr>
            <w:tcW w:type="dxa" w:w="864"/>
            <w:shd w:val="clear" w:color="auto" w:fill="1D3557"/>
            <w:vAlign w:val="center"/>
          </w:tcPr>
          <w:p>
            <w:pPr>
              <w:jc w:val="center"/>
            </w:pPr>
            <w:r/>
            <w:r>
              <w:rPr>
                <w:rFonts w:ascii="Times New Roman" w:hAnsi="Times New Roman" w:cs="Times New Roman"/>
                <w:b/>
                <w:i w:val="0"/>
                <w:color w:val="FFFFFF"/>
                <w:sz w:val="24"/>
              </w:rPr>
              <w:t>Recall</w:t>
            </w:r>
          </w:p>
        </w:tc>
      </w:tr>
      <w:tr>
        <w:tc>
          <w:tcPr>
            <w:tcW w:type="dxa" w:w="864"/>
            <w:shd w:val="clear" w:color="auto" w:fill="FFFFFF"/>
            <w:vAlign w:val="center"/>
          </w:tcPr>
          <w:p>
            <w:r/>
            <w:r>
              <w:rPr>
                <w:rFonts w:ascii="Times New Roman" w:hAnsi="Times New Roman" w:cs="Times New Roman"/>
                <w:b w:val="0"/>
                <w:i w:val="0"/>
                <w:sz w:val="22"/>
              </w:rPr>
              <w:t>S1</w:t>
            </w:r>
          </w:p>
        </w:tc>
        <w:tc>
          <w:tcPr>
            <w:tcW w:type="dxa" w:w="1440"/>
            <w:shd w:val="clear" w:color="auto" w:fill="FFFFFF"/>
            <w:vAlign w:val="center"/>
          </w:tcPr>
          <w:p>
            <w:r/>
            <w:r>
              <w:rPr>
                <w:rFonts w:ascii="Times New Roman" w:hAnsi="Times New Roman" w:cs="Times New Roman"/>
                <w:b w:val="0"/>
                <w:i w:val="0"/>
                <w:sz w:val="22"/>
              </w:rPr>
              <w:t>2020–2021</w:t>
            </w:r>
          </w:p>
        </w:tc>
        <w:tc>
          <w:tcPr>
            <w:tcW w:type="dxa" w:w="1008"/>
            <w:shd w:val="clear" w:color="auto" w:fill="FFFFFF"/>
            <w:vAlign w:val="center"/>
          </w:tcPr>
          <w:p>
            <w:r/>
            <w:r>
              <w:rPr>
                <w:rFonts w:ascii="Times New Roman" w:hAnsi="Times New Roman" w:cs="Times New Roman"/>
                <w:b w:val="0"/>
                <w:i w:val="0"/>
                <w:sz w:val="22"/>
              </w:rPr>
              <w:t>2022</w:t>
            </w:r>
          </w:p>
        </w:tc>
        <w:tc>
          <w:tcPr>
            <w:tcW w:type="dxa" w:w="864"/>
            <w:shd w:val="clear" w:color="auto" w:fill="FFFFFF"/>
            <w:vAlign w:val="center"/>
          </w:tcPr>
          <w:p>
            <w:r/>
            <w:r>
              <w:rPr>
                <w:rFonts w:ascii="Times New Roman" w:hAnsi="Times New Roman" w:cs="Times New Roman"/>
                <w:b w:val="0"/>
                <w:i w:val="0"/>
                <w:sz w:val="22"/>
              </w:rPr>
              <w:t>0.798</w:t>
            </w:r>
          </w:p>
        </w:tc>
        <w:tc>
          <w:tcPr>
            <w:tcW w:type="dxa" w:w="864"/>
            <w:shd w:val="clear" w:color="auto" w:fill="FFFFFF"/>
            <w:vAlign w:val="center"/>
          </w:tcPr>
          <w:p>
            <w:r/>
            <w:r>
              <w:rPr>
                <w:rFonts w:ascii="Times New Roman" w:hAnsi="Times New Roman" w:cs="Times New Roman"/>
                <w:b w:val="0"/>
                <w:i w:val="0"/>
                <w:sz w:val="22"/>
              </w:rPr>
              <w:t>0.198</w:t>
            </w:r>
          </w:p>
        </w:tc>
        <w:tc>
          <w:tcPr>
            <w:tcW w:type="dxa" w:w="864"/>
            <w:shd w:val="clear" w:color="auto" w:fill="FFFFFF"/>
            <w:vAlign w:val="center"/>
          </w:tcPr>
          <w:p>
            <w:r/>
            <w:r>
              <w:rPr>
                <w:rFonts w:ascii="Times New Roman" w:hAnsi="Times New Roman" w:cs="Times New Roman"/>
                <w:b w:val="0"/>
                <w:i w:val="0"/>
                <w:sz w:val="22"/>
              </w:rPr>
              <w:t>0.146</w:t>
            </w:r>
          </w:p>
        </w:tc>
        <w:tc>
          <w:tcPr>
            <w:tcW w:type="dxa" w:w="1008"/>
            <w:shd w:val="clear" w:color="auto" w:fill="FFFFFF"/>
            <w:vAlign w:val="center"/>
          </w:tcPr>
          <w:p>
            <w:r/>
            <w:r>
              <w:rPr>
                <w:rFonts w:ascii="Times New Roman" w:hAnsi="Times New Roman" w:cs="Times New Roman"/>
                <w:b w:val="0"/>
                <w:i w:val="0"/>
                <w:sz w:val="22"/>
              </w:rPr>
              <w:t>0.407</w:t>
            </w:r>
          </w:p>
        </w:tc>
        <w:tc>
          <w:tcPr>
            <w:tcW w:type="dxa" w:w="864"/>
            <w:shd w:val="clear" w:color="auto" w:fill="FFFFFF"/>
            <w:vAlign w:val="center"/>
          </w:tcPr>
          <w:p>
            <w:r/>
            <w:r>
              <w:rPr>
                <w:rFonts w:ascii="Times New Roman" w:hAnsi="Times New Roman" w:cs="Times New Roman"/>
                <w:b w:val="0"/>
                <w:i w:val="0"/>
                <w:sz w:val="22"/>
              </w:rPr>
              <w:t>0.500</w:t>
            </w:r>
          </w:p>
        </w:tc>
      </w:tr>
      <w:tr>
        <w:tc>
          <w:tcPr>
            <w:tcW w:type="dxa" w:w="864"/>
            <w:shd w:val="clear" w:color="auto" w:fill="F5EFD9"/>
            <w:vAlign w:val="center"/>
          </w:tcPr>
          <w:p>
            <w:r/>
            <w:r>
              <w:rPr>
                <w:rFonts w:ascii="Times New Roman" w:hAnsi="Times New Roman" w:cs="Times New Roman"/>
                <w:b w:val="0"/>
                <w:i w:val="0"/>
                <w:sz w:val="22"/>
              </w:rPr>
              <w:t>S2</w:t>
            </w:r>
          </w:p>
        </w:tc>
        <w:tc>
          <w:tcPr>
            <w:tcW w:type="dxa" w:w="1440"/>
            <w:shd w:val="clear" w:color="auto" w:fill="F5EFD9"/>
            <w:vAlign w:val="center"/>
          </w:tcPr>
          <w:p>
            <w:r/>
            <w:r>
              <w:rPr>
                <w:rFonts w:ascii="Times New Roman" w:hAnsi="Times New Roman" w:cs="Times New Roman"/>
                <w:b w:val="0"/>
                <w:i w:val="0"/>
                <w:sz w:val="22"/>
              </w:rPr>
              <w:t>2020–2022</w:t>
            </w:r>
          </w:p>
        </w:tc>
        <w:tc>
          <w:tcPr>
            <w:tcW w:type="dxa" w:w="1008"/>
            <w:shd w:val="clear" w:color="auto" w:fill="F5EFD9"/>
            <w:vAlign w:val="center"/>
          </w:tcPr>
          <w:p>
            <w:r/>
            <w:r>
              <w:rPr>
                <w:rFonts w:ascii="Times New Roman" w:hAnsi="Times New Roman" w:cs="Times New Roman"/>
                <w:b w:val="0"/>
                <w:i w:val="0"/>
                <w:sz w:val="22"/>
              </w:rPr>
              <w:t>2024</w:t>
            </w:r>
          </w:p>
        </w:tc>
        <w:tc>
          <w:tcPr>
            <w:tcW w:type="dxa" w:w="864"/>
            <w:shd w:val="clear" w:color="auto" w:fill="F5EFD9"/>
            <w:vAlign w:val="center"/>
          </w:tcPr>
          <w:p>
            <w:r/>
            <w:r>
              <w:rPr>
                <w:rFonts w:ascii="Times New Roman" w:hAnsi="Times New Roman" w:cs="Times New Roman"/>
                <w:b w:val="0"/>
                <w:i w:val="0"/>
                <w:sz w:val="22"/>
              </w:rPr>
              <w:t>0.831</w:t>
            </w:r>
          </w:p>
        </w:tc>
        <w:tc>
          <w:tcPr>
            <w:tcW w:type="dxa" w:w="864"/>
            <w:shd w:val="clear" w:color="auto" w:fill="F5EFD9"/>
            <w:vAlign w:val="center"/>
          </w:tcPr>
          <w:p>
            <w:r/>
            <w:r>
              <w:rPr>
                <w:rFonts w:ascii="Times New Roman" w:hAnsi="Times New Roman" w:cs="Times New Roman"/>
                <w:b w:val="0"/>
                <w:i w:val="0"/>
                <w:sz w:val="22"/>
              </w:rPr>
              <w:t>0.087</w:t>
            </w:r>
          </w:p>
        </w:tc>
        <w:tc>
          <w:tcPr>
            <w:tcW w:type="dxa" w:w="864"/>
            <w:shd w:val="clear" w:color="auto" w:fill="F5EFD9"/>
            <w:vAlign w:val="center"/>
          </w:tcPr>
          <w:p>
            <w:r/>
            <w:r>
              <w:rPr>
                <w:rFonts w:ascii="Times New Roman" w:hAnsi="Times New Roman" w:cs="Times New Roman"/>
                <w:b w:val="0"/>
                <w:i w:val="0"/>
                <w:sz w:val="22"/>
              </w:rPr>
              <w:t>0.066</w:t>
            </w:r>
          </w:p>
        </w:tc>
        <w:tc>
          <w:tcPr>
            <w:tcW w:type="dxa" w:w="1008"/>
            <w:shd w:val="clear" w:color="auto" w:fill="F5EFD9"/>
            <w:vAlign w:val="center"/>
          </w:tcPr>
          <w:p>
            <w:r/>
            <w:r>
              <w:rPr>
                <w:rFonts w:ascii="Times New Roman" w:hAnsi="Times New Roman" w:cs="Times New Roman"/>
                <w:b w:val="0"/>
                <w:i w:val="0"/>
                <w:sz w:val="22"/>
              </w:rPr>
              <w:t>0.500</w:t>
            </w:r>
          </w:p>
        </w:tc>
        <w:tc>
          <w:tcPr>
            <w:tcW w:type="dxa" w:w="864"/>
            <w:shd w:val="clear" w:color="auto" w:fill="F5EFD9"/>
            <w:vAlign w:val="center"/>
          </w:tcPr>
          <w:p>
            <w:r/>
            <w:r>
              <w:rPr>
                <w:rFonts w:ascii="Times New Roman" w:hAnsi="Times New Roman" w:cs="Times New Roman"/>
                <w:b w:val="0"/>
                <w:i w:val="0"/>
                <w:sz w:val="22"/>
              </w:rPr>
              <w:t>0.500</w:t>
            </w:r>
          </w:p>
        </w:tc>
      </w:tr>
      <w:tr>
        <w:tc>
          <w:tcPr>
            <w:tcW w:type="dxa" w:w="864"/>
            <w:shd w:val="clear" w:color="auto" w:fill="FFFFFF"/>
            <w:vAlign w:val="center"/>
          </w:tcPr>
          <w:p>
            <w:r/>
            <w:r>
              <w:rPr>
                <w:rFonts w:ascii="Times New Roman" w:hAnsi="Times New Roman" w:cs="Times New Roman"/>
                <w:b w:val="0"/>
                <w:i w:val="0"/>
                <w:sz w:val="22"/>
              </w:rPr>
              <w:t>S3</w:t>
            </w:r>
          </w:p>
        </w:tc>
        <w:tc>
          <w:tcPr>
            <w:tcW w:type="dxa" w:w="1440"/>
            <w:shd w:val="clear" w:color="auto" w:fill="FFFFFF"/>
            <w:vAlign w:val="center"/>
          </w:tcPr>
          <w:p>
            <w:r/>
            <w:r>
              <w:rPr>
                <w:rFonts w:ascii="Times New Roman" w:hAnsi="Times New Roman" w:cs="Times New Roman"/>
                <w:b w:val="0"/>
                <w:i w:val="0"/>
                <w:sz w:val="22"/>
              </w:rPr>
              <w:t>2020–2023</w:t>
            </w:r>
          </w:p>
        </w:tc>
        <w:tc>
          <w:tcPr>
            <w:tcW w:type="dxa" w:w="1008"/>
            <w:shd w:val="clear" w:color="auto" w:fill="FFFFFF"/>
            <w:vAlign w:val="center"/>
          </w:tcPr>
          <w:p>
            <w:r/>
            <w:r>
              <w:rPr>
                <w:rFonts w:ascii="Times New Roman" w:hAnsi="Times New Roman" w:cs="Times New Roman"/>
                <w:b w:val="0"/>
                <w:i w:val="0"/>
                <w:sz w:val="22"/>
              </w:rPr>
              <w:t>2024</w:t>
            </w:r>
          </w:p>
        </w:tc>
        <w:tc>
          <w:tcPr>
            <w:tcW w:type="dxa" w:w="864"/>
            <w:shd w:val="clear" w:color="auto" w:fill="FFFFFF"/>
            <w:vAlign w:val="center"/>
          </w:tcPr>
          <w:p>
            <w:r/>
            <w:r>
              <w:rPr>
                <w:rFonts w:ascii="Times New Roman" w:hAnsi="Times New Roman" w:cs="Times New Roman"/>
                <w:b w:val="0"/>
                <w:i w:val="0"/>
                <w:sz w:val="22"/>
              </w:rPr>
              <w:t>0.787</w:t>
            </w:r>
          </w:p>
        </w:tc>
        <w:tc>
          <w:tcPr>
            <w:tcW w:type="dxa" w:w="864"/>
            <w:shd w:val="clear" w:color="auto" w:fill="FFFFFF"/>
            <w:vAlign w:val="center"/>
          </w:tcPr>
          <w:p>
            <w:r/>
            <w:r>
              <w:rPr>
                <w:rFonts w:ascii="Times New Roman" w:hAnsi="Times New Roman" w:cs="Times New Roman"/>
                <w:b w:val="0"/>
                <w:i w:val="0"/>
                <w:sz w:val="22"/>
              </w:rPr>
              <w:t>0.109</w:t>
            </w:r>
          </w:p>
        </w:tc>
        <w:tc>
          <w:tcPr>
            <w:tcW w:type="dxa" w:w="864"/>
            <w:shd w:val="clear" w:color="auto" w:fill="FFFFFF"/>
            <w:vAlign w:val="center"/>
          </w:tcPr>
          <w:p>
            <w:r/>
            <w:r>
              <w:rPr>
                <w:rFonts w:ascii="Times New Roman" w:hAnsi="Times New Roman" w:cs="Times New Roman"/>
                <w:b w:val="0"/>
                <w:i w:val="0"/>
                <w:sz w:val="22"/>
              </w:rPr>
              <w:t>0.084</w:t>
            </w:r>
          </w:p>
        </w:tc>
        <w:tc>
          <w:tcPr>
            <w:tcW w:type="dxa" w:w="1008"/>
            <w:shd w:val="clear" w:color="auto" w:fill="FFFFFF"/>
            <w:vAlign w:val="center"/>
          </w:tcPr>
          <w:p>
            <w:r/>
            <w:r>
              <w:rPr>
                <w:rFonts w:ascii="Times New Roman" w:hAnsi="Times New Roman" w:cs="Times New Roman"/>
                <w:b w:val="0"/>
                <w:i w:val="0"/>
                <w:sz w:val="22"/>
              </w:rPr>
              <w:t>0.300</w:t>
            </w:r>
          </w:p>
        </w:tc>
        <w:tc>
          <w:tcPr>
            <w:tcW w:type="dxa" w:w="864"/>
            <w:shd w:val="clear" w:color="auto" w:fill="FFFFFF"/>
            <w:vAlign w:val="center"/>
          </w:tcPr>
          <w:p>
            <w:r/>
            <w:r>
              <w:rPr>
                <w:rFonts w:ascii="Times New Roman" w:hAnsi="Times New Roman" w:cs="Times New Roman"/>
                <w:b w:val="0"/>
                <w:i w:val="0"/>
                <w:sz w:val="22"/>
              </w:rPr>
              <w:t>0.429</w:t>
            </w:r>
          </w:p>
        </w:tc>
      </w:tr>
      <w:tr>
        <w:tc>
          <w:tcPr>
            <w:tcW w:type="dxa" w:w="864"/>
            <w:shd w:val="clear" w:color="auto" w:fill="F5EFD9"/>
            <w:vAlign w:val="center"/>
          </w:tcPr>
          <w:p>
            <w:r/>
            <w:r>
              <w:rPr>
                <w:rFonts w:ascii="Times New Roman" w:hAnsi="Times New Roman" w:cs="Times New Roman"/>
                <w:b w:val="0"/>
                <w:i w:val="0"/>
                <w:sz w:val="22"/>
              </w:rPr>
              <w:t>Pooled</w:t>
            </w:r>
          </w:p>
        </w:tc>
        <w:tc>
          <w:tcPr>
            <w:tcW w:type="dxa" w:w="1440"/>
            <w:shd w:val="clear" w:color="auto" w:fill="F5EFD9"/>
            <w:vAlign w:val="center"/>
          </w:tcPr>
          <w:p>
            <w:r/>
            <w:r>
              <w:rPr>
                <w:rFonts w:ascii="Times New Roman" w:hAnsi="Times New Roman" w:cs="Times New Roman"/>
                <w:b w:val="0"/>
                <w:i w:val="0"/>
                <w:sz w:val="22"/>
              </w:rPr>
              <w:t>(3 rolling)</w:t>
            </w:r>
          </w:p>
        </w:tc>
        <w:tc>
          <w:tcPr>
            <w:tcW w:type="dxa" w:w="1008"/>
            <w:shd w:val="clear" w:color="auto" w:fill="F5EFD9"/>
            <w:vAlign w:val="center"/>
          </w:tcPr>
          <w:p>
            <w:r/>
            <w:r>
              <w:rPr>
                <w:rFonts w:ascii="Times New Roman" w:hAnsi="Times New Roman" w:cs="Times New Roman"/>
                <w:b w:val="0"/>
                <w:i w:val="0"/>
                <w:sz w:val="22"/>
              </w:rPr>
              <w:t>(pooled)</w:t>
            </w:r>
          </w:p>
        </w:tc>
        <w:tc>
          <w:tcPr>
            <w:tcW w:type="dxa" w:w="864"/>
            <w:shd w:val="clear" w:color="auto" w:fill="F5EFD9"/>
            <w:vAlign w:val="center"/>
          </w:tcPr>
          <w:p>
            <w:r/>
            <w:r>
              <w:rPr>
                <w:rFonts w:ascii="Times New Roman" w:hAnsi="Times New Roman" w:cs="Times New Roman"/>
                <w:b w:val="0"/>
                <w:i w:val="0"/>
                <w:sz w:val="22"/>
              </w:rPr>
              <w:t>0.809</w:t>
            </w:r>
          </w:p>
        </w:tc>
        <w:tc>
          <w:tcPr>
            <w:tcW w:type="dxa" w:w="864"/>
            <w:shd w:val="clear" w:color="auto" w:fill="F5EFD9"/>
            <w:vAlign w:val="center"/>
          </w:tcPr>
          <w:p>
            <w:r/>
            <w:r>
              <w:rPr>
                <w:rFonts w:ascii="Times New Roman" w:hAnsi="Times New Roman" w:cs="Times New Roman"/>
                <w:b w:val="0"/>
                <w:i w:val="0"/>
                <w:sz w:val="22"/>
              </w:rPr>
              <w:t>0.131</w:t>
            </w:r>
          </w:p>
        </w:tc>
        <w:tc>
          <w:tcPr>
            <w:tcW w:type="dxa" w:w="864"/>
            <w:shd w:val="clear" w:color="auto" w:fill="F5EFD9"/>
            <w:vAlign w:val="center"/>
          </w:tcPr>
          <w:p>
            <w:r/>
            <w:r>
              <w:rPr>
                <w:rFonts w:ascii="Times New Roman" w:hAnsi="Times New Roman" w:cs="Times New Roman"/>
                <w:b w:val="0"/>
                <w:i w:val="0"/>
                <w:sz w:val="22"/>
              </w:rPr>
              <w:t>0.094</w:t>
            </w:r>
          </w:p>
        </w:tc>
        <w:tc>
          <w:tcPr>
            <w:tcW w:type="dxa" w:w="1008"/>
            <w:shd w:val="clear" w:color="auto" w:fill="F5EFD9"/>
            <w:vAlign w:val="center"/>
          </w:tcPr>
          <w:p>
            <w:r/>
            <w:r>
              <w:rPr>
                <w:rFonts w:ascii="Times New Roman" w:hAnsi="Times New Roman" w:cs="Times New Roman"/>
                <w:b w:val="0"/>
                <w:i w:val="0"/>
                <w:sz w:val="22"/>
              </w:rPr>
              <w:t>0.404</w:t>
            </w:r>
          </w:p>
        </w:tc>
        <w:tc>
          <w:tcPr>
            <w:tcW w:type="dxa" w:w="864"/>
            <w:shd w:val="clear" w:color="auto" w:fill="F5EFD9"/>
            <w:vAlign w:val="center"/>
          </w:tcPr>
          <w:p>
            <w:r/>
            <w:r>
              <w:rPr>
                <w:rFonts w:ascii="Times New Roman" w:hAnsi="Times New Roman" w:cs="Times New Roman"/>
                <w:b w:val="0"/>
                <w:i w:val="0"/>
                <w:sz w:val="22"/>
              </w:rPr>
              <w:t>0.487</w:t>
            </w:r>
          </w:p>
        </w:tc>
      </w:tr>
    </w:tbl>
    <w:p>
      <w:pPr>
        <w:spacing w:before="40" w:after="240"/>
        <w:jc w:val="center"/>
      </w:pPr>
      <w:r>
        <w:rPr>
          <w:rFonts w:ascii="Times New Roman" w:hAnsi="Times New Roman" w:cs="Times New Roman"/>
          <w:b w:val="0"/>
          <w:i/>
          <w:sz w:val="22"/>
        </w:rPr>
        <w:t>Table 4 — Per-split accuracy across three rolling temporal splits plus pooled evaluation (N=276).</w:t>
      </w:r>
    </w:p>
    <w:p>
      <w:pPr>
        <w:jc w:val="both"/>
      </w:pPr>
      <w:r>
        <w:rPr>
          <w:rFonts w:ascii="Times New Roman" w:hAnsi="Times New Roman" w:cs="Times New Roman"/>
          <w:b w:val="0"/>
          <w:i w:val="0"/>
          <w:sz w:val="24"/>
        </w:rPr>
        <w:t>Calibration testing.</w:t>
      </w:r>
    </w:p>
    <w:p>
      <w:pPr>
        <w:jc w:val="both"/>
      </w:pPr>
      <w:r>
        <w:rPr>
          <w:rFonts w:ascii="Times New Roman" w:hAnsi="Times New Roman" w:cs="Times New Roman"/>
          <w:b w:val="0"/>
          <w:i w:val="0"/>
          <w:sz w:val="24"/>
        </w:rPr>
        <w:t>The power analysis (Figure 4) bootstrap-tested Platt-scaled harvest-loss calibration at N ∈ {4, 6, 8, 12, 16, 24, 32, 48, 64, 92}, with 200 draws per N and 95% confidence intervals reported. Result: at N=4 (the CMFRI reality) Platt Brier was 0.193 with CI [0.087, 0.437]; at N=92 (maximum available) the mean Platt Brier of 0.098 still failed to beat the raw XGBoost baseline of 0.087.</w:t>
      </w:r>
    </w:p>
    <w:p>
      <w:pPr>
        <w:jc w:val="center"/>
      </w:pPr>
      <w:r>
        <w:drawing>
          <wp:inline xmlns:a="http://schemas.openxmlformats.org/drawingml/2006/main" xmlns:pic="http://schemas.openxmlformats.org/drawingml/2006/picture">
            <wp:extent cx="5669280" cy="2703810"/>
            <wp:docPr id="4" name="Picture 4"/>
            <wp:cNvGraphicFramePr>
              <a:graphicFrameLocks noChangeAspect="1"/>
            </wp:cNvGraphicFramePr>
            <a:graphic>
              <a:graphicData uri="http://schemas.openxmlformats.org/drawingml/2006/picture">
                <pic:pic>
                  <pic:nvPicPr>
                    <pic:cNvPr id="0" name="BloomWatch_power_analysis.png"/>
                    <pic:cNvPicPr/>
                  </pic:nvPicPr>
                  <pic:blipFill>
                    <a:blip r:embed="rId12"/>
                    <a:stretch>
                      <a:fillRect/>
                    </a:stretch>
                  </pic:blipFill>
                  <pic:spPr>
                    <a:xfrm>
                      <a:off x="0" y="0"/>
                      <a:ext cx="5669280" cy="2703810"/>
                    </a:xfrm>
                    <a:prstGeom prst="rect"/>
                  </pic:spPr>
                </pic:pic>
              </a:graphicData>
            </a:graphic>
          </wp:inline>
        </w:drawing>
      </w:r>
    </w:p>
    <w:p>
      <w:pPr>
        <w:spacing w:before="40" w:after="240"/>
        <w:jc w:val="center"/>
      </w:pPr>
      <w:r>
        <w:rPr>
          <w:rFonts w:ascii="Times New Roman" w:hAnsi="Times New Roman" w:cs="Times New Roman"/>
          <w:b w:val="0"/>
          <w:i/>
          <w:sz w:val="22"/>
        </w:rPr>
        <w:t>Figure 4 — Power analysis for outcome-anchored calibration. Left: Brier score. Right: Expected Calibration Error. Amber band marks the CMFRI reality of N=4 events. At no tested sample size does Platt calibration beat the raw XGBoost baseline (coral dashed line).</w:t>
      </w:r>
    </w:p>
    <w:p>
      <w:pPr>
        <w:jc w:val="both"/>
      </w:pPr>
      <w:r>
        <w:rPr>
          <w:rFonts w:ascii="Times New Roman" w:hAnsi="Times New Roman" w:cs="Times New Roman"/>
          <w:b w:val="0"/>
          <w:i w:val="0"/>
          <w:sz w:val="24"/>
        </w:rPr>
        <w:t>Reliability testing.</w:t>
      </w:r>
    </w:p>
    <w:p>
      <w:pPr>
        <w:jc w:val="both"/>
      </w:pPr>
      <w:r>
        <w:rPr>
          <w:rFonts w:ascii="Times New Roman" w:hAnsi="Times New Roman" w:cs="Times New Roman"/>
          <w:b w:val="0"/>
          <w:i w:val="0"/>
          <w:sz w:val="24"/>
        </w:rPr>
        <w:t>Pooled reliability across all three rolling splits (Figure 5) shows a bidirectional calibration error: predictions near 0.15 correspond to an empirical bloom rate of 0.28 (under-prediction of moderate risk), while predictions near 0.65 correspond to an empirical rate of 0.43 (over-prediction of high risk). This finding directly shapes the user-facing risk-band mapping, which uses hedged language (“Elevated caution”) rather than raw percentages.</w:t>
      </w:r>
    </w:p>
    <w:p>
      <w:pPr>
        <w:jc w:val="center"/>
      </w:pPr>
      <w:r>
        <w:drawing>
          <wp:inline xmlns:a="http://schemas.openxmlformats.org/drawingml/2006/main" xmlns:pic="http://schemas.openxmlformats.org/drawingml/2006/picture">
            <wp:extent cx="5669280" cy="4762195"/>
            <wp:docPr id="5" name="Picture 5"/>
            <wp:cNvGraphicFramePr>
              <a:graphicFrameLocks noChangeAspect="1"/>
            </wp:cNvGraphicFramePr>
            <a:graphic>
              <a:graphicData uri="http://schemas.openxmlformats.org/drawingml/2006/picture">
                <pic:pic>
                  <pic:nvPicPr>
                    <pic:cNvPr id="0" name="BloomWatch_reliability_v2.png"/>
                    <pic:cNvPicPr/>
                  </pic:nvPicPr>
                  <pic:blipFill>
                    <a:blip r:embed="rId13"/>
                    <a:stretch>
                      <a:fillRect/>
                    </a:stretch>
                  </pic:blipFill>
                  <pic:spPr>
                    <a:xfrm>
                      <a:off x="0" y="0"/>
                      <a:ext cx="5669280" cy="4762195"/>
                    </a:xfrm>
                    <a:prstGeom prst="rect"/>
                  </pic:spPr>
                </pic:pic>
              </a:graphicData>
            </a:graphic>
          </wp:inline>
        </w:drawing>
      </w:r>
    </w:p>
    <w:p>
      <w:pPr>
        <w:spacing w:before="40" w:after="240"/>
        <w:jc w:val="center"/>
      </w:pPr>
      <w:r>
        <w:rPr>
          <w:rFonts w:ascii="Times New Roman" w:hAnsi="Times New Roman" w:cs="Times New Roman"/>
          <w:b w:val="0"/>
          <w:i/>
          <w:sz w:val="22"/>
        </w:rPr>
        <w:t>Figure 5 — Reliability diagram, pooled (navy) versus S2-only (coral). The bidirectional error is visible: the 0.15 bin under-shoots reality, and the 0.65 bin over-shoots it.</w:t>
      </w:r>
    </w:p>
    <w:p>
      <w:pPr>
        <w:jc w:val="both"/>
      </w:pPr>
      <w:r>
        <w:rPr>
          <w:rFonts w:ascii="Times New Roman" w:hAnsi="Times New Roman" w:cs="Times New Roman"/>
          <w:b w:val="0"/>
          <w:i w:val="0"/>
          <w:sz w:val="24"/>
        </w:rPr>
        <w:t>Proxy validation testing.</w:t>
      </w:r>
    </w:p>
    <w:p>
      <w:pPr>
        <w:jc w:val="both"/>
      </w:pPr>
      <w:r>
        <w:rPr>
          <w:rFonts w:ascii="Times New Roman" w:hAnsi="Times New Roman" w:cs="Times New Roman"/>
          <w:b w:val="0"/>
          <w:i w:val="0"/>
          <w:sz w:val="24"/>
        </w:rPr>
        <w:t>The chl-a &gt; 2 mg/m³ target was tested against the four documented CMFRI events. Only one event (2020-08-12 Kerala, chl-a 7.16 mg/m³) crossed the threshold; the 2023 and 2024 Kerala Trichodesmium events showed chl-a of 0.19 and 0.13 mg/m³ respectively — well below the threshold. This species-specific blind spot is documented as a scope limitation.</w:t>
      </w:r>
    </w:p>
    <w:p>
      <w:pPr>
        <w:jc w:val="both"/>
      </w:pPr>
      <w:r>
        <w:rPr>
          <w:rFonts w:ascii="Times New Roman" w:hAnsi="Times New Roman" w:cs="Times New Roman"/>
          <w:b w:val="0"/>
          <w:i w:val="0"/>
          <w:sz w:val="24"/>
        </w:rPr>
        <w:t>User-experience testing.</w:t>
      </w:r>
    </w:p>
    <w:p>
      <w:pPr>
        <w:jc w:val="both"/>
      </w:pPr>
      <w:r>
        <w:rPr>
          <w:rFonts w:ascii="Times New Roman" w:hAnsi="Times New Roman" w:cs="Times New Roman"/>
          <w:b w:val="0"/>
          <w:i w:val="0"/>
          <w:sz w:val="24"/>
        </w:rPr>
        <w:t>The deployed chatbot was tested with five canonical farmer questions:</w:t>
      </w:r>
    </w:p>
    <w:p>
      <w:pPr>
        <w:pStyle w:val="ListNumber"/>
        <w:spacing w:after="60"/>
      </w:pPr>
      <w:r>
        <w:rPr>
          <w:rFonts w:ascii="Times New Roman" w:hAnsi="Times New Roman" w:cs="Times New Roman"/>
          <w:b w:val="0"/>
          <w:i w:val="0"/>
          <w:sz w:val="24"/>
        </w:rPr>
        <w:t>“What is the risk scale of Ashtamudi? And what happened last year?” — passed (grounded answer, honest about 2025 data gap).</w:t>
      </w:r>
    </w:p>
    <w:p>
      <w:pPr>
        <w:pStyle w:val="ListNumber"/>
        <w:spacing w:after="60"/>
      </w:pPr>
      <w:r>
        <w:rPr>
          <w:rFonts w:ascii="Times New Roman" w:hAnsi="Times New Roman" w:cs="Times New Roman"/>
          <w:b w:val="0"/>
          <w:i w:val="0"/>
          <w:sz w:val="24"/>
        </w:rPr>
        <w:t>“My local waters in Goa are discoloured. What do I do?” — passed (scope-correct refusal, sensible fallback).</w:t>
      </w:r>
    </w:p>
    <w:p>
      <w:pPr>
        <w:pStyle w:val="ListNumber"/>
        <w:spacing w:after="60"/>
      </w:pPr>
      <w:r>
        <w:rPr>
          <w:rFonts w:ascii="Times New Roman" w:hAnsi="Times New Roman" w:cs="Times New Roman"/>
          <w:b w:val="0"/>
          <w:i w:val="0"/>
          <w:sz w:val="24"/>
        </w:rPr>
        <w:t>“What do I do if my shellfish harvest is coming up contaminated or dead?” — passed (structured four-step response citing CMFRI mitigation guidance).</w:t>
      </w:r>
    </w:p>
    <w:p>
      <w:pPr>
        <w:pStyle w:val="ListNumber"/>
        <w:spacing w:after="60"/>
      </w:pPr>
      <w:r>
        <w:rPr>
          <w:rFonts w:ascii="Times New Roman" w:hAnsi="Times New Roman" w:cs="Times New Roman"/>
          <w:b w:val="0"/>
          <w:i w:val="0"/>
          <w:sz w:val="24"/>
        </w:rPr>
        <w:t>“How do I know if algal bloom has impacted my harvest?” — partial pass (mentioned water-colour cues; missing animal-observable symptoms in first response).</w:t>
      </w:r>
    </w:p>
    <w:p>
      <w:pPr>
        <w:pStyle w:val="ListNumber"/>
        <w:spacing w:after="60"/>
      </w:pPr>
      <w:r>
        <w:rPr>
          <w:rFonts w:ascii="Times New Roman" w:hAnsi="Times New Roman" w:cs="Times New Roman"/>
          <w:b w:val="0"/>
          <w:i w:val="0"/>
          <w:sz w:val="24"/>
        </w:rPr>
        <w:t>“What about effects in my shellfish? How can I notice the symptoms?” — passed after the knowledge base was expanded with shellfish-specific symptom documentation.</w:t>
      </w:r>
    </w:p>
    <w:p>
      <w:pPr>
        <w:jc w:val="both"/>
      </w:pPr>
      <w:r>
        <w:rPr>
          <w:rFonts w:ascii="Times New Roman" w:hAnsi="Times New Roman" w:cs="Times New Roman"/>
          <w:b w:val="0"/>
          <w:i w:val="0"/>
          <w:sz w:val="24"/>
        </w:rPr>
        <w:t>Follow-up testing added four new retrieval documents (shellfish animal-level symptoms, species field guide, emergency contacts, safe disposal protocols) and modified the orchestrator to inject forecast information only when the question actually asks for it. Re-tested queries showed cleaner, more focused answers without unnecessary forecast padding.</w:t>
      </w:r>
    </w:p>
    <w:p>
      <w:pPr>
        <w:keepNext/>
        <w:spacing w:before="240" w:after="120"/>
      </w:pPr>
      <w:r>
        <w:rPr>
          <w:rFonts w:ascii="Times New Roman" w:hAnsi="Times New Roman" w:cs="Times New Roman"/>
          <w:b/>
          <w:i w:val="0"/>
          <w:sz w:val="28"/>
        </w:rPr>
        <w:t>Ethical and Safety Concerns</w:t>
      </w:r>
    </w:p>
    <w:p>
      <w:pPr>
        <w:jc w:val="both"/>
      </w:pPr>
      <w:r>
        <w:rPr>
          <w:rFonts w:ascii="Times New Roman" w:hAnsi="Times New Roman" w:cs="Times New Roman"/>
          <w:b w:val="0"/>
          <w:i w:val="0"/>
          <w:sz w:val="24"/>
        </w:rPr>
        <w:t>Data privacy.</w:t>
      </w:r>
    </w:p>
    <w:p>
      <w:pPr>
        <w:jc w:val="both"/>
      </w:pPr>
      <w:r>
        <w:rPr>
          <w:rFonts w:ascii="Times New Roman" w:hAnsi="Times New Roman" w:cs="Times New Roman"/>
          <w:b w:val="0"/>
          <w:i w:val="0"/>
          <w:sz w:val="24"/>
        </w:rPr>
        <w:t>BloomWatch AI works only on publicly available satellite, meteorological, and research-publication data. No personal information, no farmer identifiers, no cooperative membership records, and no farm-location data are collected, processed, or stored. The system does not require login, does not track users, and does not include analytics or third-party telemetry. All API traffic is served over HTTPS via the Render.com and Vercel infrastructure.</w:t>
      </w:r>
    </w:p>
    <w:p>
      <w:pPr>
        <w:jc w:val="both"/>
      </w:pPr>
      <w:r>
        <w:rPr>
          <w:rFonts w:ascii="Times New Roman" w:hAnsi="Times New Roman" w:cs="Times New Roman"/>
          <w:b w:val="0"/>
          <w:i w:val="0"/>
          <w:sz w:val="24"/>
        </w:rPr>
        <w:t>Safety-critical output.</w:t>
      </w:r>
    </w:p>
    <w:p>
      <w:pPr>
        <w:jc w:val="both"/>
      </w:pPr>
      <w:r>
        <w:rPr>
          <w:rFonts w:ascii="Times New Roman" w:hAnsi="Times New Roman" w:cs="Times New Roman"/>
          <w:b w:val="0"/>
          <w:i w:val="0"/>
          <w:sz w:val="24"/>
        </w:rPr>
        <w:t>The forecast is a decision-support tool, not a definitive food-safety instrument. This distinction is built into three places:</w:t>
      </w:r>
    </w:p>
    <w:p>
      <w:pPr>
        <w:pStyle w:val="ListNumber"/>
        <w:spacing w:after="60"/>
      </w:pPr>
      <w:r>
        <w:rPr>
          <w:rFonts w:ascii="Times New Roman" w:hAnsi="Times New Roman" w:cs="Times New Roman"/>
          <w:b w:val="0"/>
          <w:i w:val="0"/>
          <w:sz w:val="24"/>
        </w:rPr>
        <w:t>User-facing risk-band labels are hedged (“Elevated caution,” “consult local extension officer”) rather than binary “harvest / do not harvest” calls.</w:t>
      </w:r>
    </w:p>
    <w:p>
      <w:pPr>
        <w:pStyle w:val="ListNumber"/>
        <w:spacing w:after="60"/>
      </w:pPr>
      <w:r>
        <w:rPr>
          <w:rFonts w:ascii="Times New Roman" w:hAnsi="Times New Roman" w:cs="Times New Roman"/>
          <w:b w:val="0"/>
          <w:i w:val="0"/>
          <w:sz w:val="24"/>
        </w:rPr>
        <w:t>The confidence_note returned by every forecast API call explicitly states that the model predicts elevated-chlorophyll weeks, not confirmed toxic HAB events, and that the Trichodesmium blind spot means false negatives are possible.</w:t>
      </w:r>
    </w:p>
    <w:p>
      <w:pPr>
        <w:pStyle w:val="ListNumber"/>
        <w:spacing w:after="60"/>
      </w:pPr>
      <w:r>
        <w:rPr>
          <w:rFonts w:ascii="Times New Roman" w:hAnsi="Times New Roman" w:cs="Times New Roman"/>
          <w:b w:val="0"/>
          <w:i w:val="0"/>
          <w:sz w:val="24"/>
        </w:rPr>
        <w:t>The chatbot system prompt instructs the model to recommend consultation with the local CMFRI extension centre for any suspected bloom before initiating an emergency harvest.</w:t>
      </w:r>
    </w:p>
    <w:p>
      <w:pPr>
        <w:jc w:val="both"/>
      </w:pPr>
      <w:r>
        <w:rPr>
          <w:rFonts w:ascii="Times New Roman" w:hAnsi="Times New Roman" w:cs="Times New Roman"/>
          <w:b w:val="0"/>
          <w:i w:val="0"/>
          <w:sz w:val="24"/>
        </w:rPr>
        <w:t>Risk assessment for real-world use.</w:t>
      </w:r>
    </w:p>
    <w:p>
      <w:pPr>
        <w:jc w:val="both"/>
      </w:pPr>
      <w:r>
        <w:rPr>
          <w:rFonts w:ascii="Times New Roman" w:hAnsi="Times New Roman" w:cs="Times New Roman"/>
          <w:b w:val="0"/>
          <w:i w:val="0"/>
          <w:sz w:val="24"/>
        </w:rPr>
        <w:t>The two primary risks of a bloom-forecast tool are (a) false negative — the model says “low risk” and a farmer harvests unsafe stock, and (b) false positive — the model says “high risk” and a farmer delays or discards a viable harvest. We address (a) by hedging risk-band language downward: 0.15 is not called “low” but “elevated caution,” precisely because our reliability analysis showed the model under-predicts moderate risk. We address (b) by transparently reporting that pooled recall is only 0.40, and by never displaying binary decisions in the user interface.</w:t>
      </w:r>
    </w:p>
    <w:p>
      <w:pPr>
        <w:jc w:val="both"/>
      </w:pPr>
      <w:r>
        <w:rPr>
          <w:rFonts w:ascii="Times New Roman" w:hAnsi="Times New Roman" w:cs="Times New Roman"/>
          <w:b w:val="0"/>
          <w:i w:val="0"/>
          <w:sz w:val="24"/>
        </w:rPr>
        <w:t>Ethical AI use.</w:t>
      </w:r>
    </w:p>
    <w:p>
      <w:pPr>
        <w:jc w:val="both"/>
      </w:pPr>
      <w:r>
        <w:rPr>
          <w:rFonts w:ascii="Times New Roman" w:hAnsi="Times New Roman" w:cs="Times New Roman"/>
          <w:b w:val="0"/>
          <w:i w:val="0"/>
          <w:sz w:val="24"/>
        </w:rPr>
        <w:t>All primary scientific claims, results, and interpretations in this manuscript are the author's own work. AI tools (Anthropic Claude, Google Gemini) were used as code-completion assistants, language-editing aids, and conversational retrieval components. Every statistical result was verified independently by the author.</w:t>
      </w:r>
    </w:p>
    <w:p>
      <w:pPr>
        <w:keepNext/>
        <w:spacing w:before="240" w:after="120"/>
      </w:pPr>
      <w:r>
        <w:rPr>
          <w:rFonts w:ascii="Times New Roman" w:hAnsi="Times New Roman" w:cs="Times New Roman"/>
          <w:b/>
          <w:i w:val="0"/>
          <w:sz w:val="28"/>
        </w:rPr>
        <w:t>Future Enhancements</w:t>
      </w:r>
    </w:p>
    <w:p>
      <w:pPr>
        <w:jc w:val="both"/>
      </w:pPr>
      <w:r>
        <w:rPr>
          <w:rFonts w:ascii="Times New Roman" w:hAnsi="Times New Roman" w:cs="Times New Roman"/>
          <w:b w:val="0"/>
          <w:i w:val="0"/>
          <w:sz w:val="24"/>
        </w:rPr>
        <w:t>Six directions are natural next steps for this project:</w:t>
      </w:r>
    </w:p>
    <w:p>
      <w:pPr>
        <w:pStyle w:val="ListNumber"/>
        <w:spacing w:after="60"/>
      </w:pPr>
      <w:r>
        <w:rPr>
          <w:rFonts w:ascii="Times New Roman" w:hAnsi="Times New Roman" w:cs="Times New Roman"/>
          <w:b w:val="0"/>
          <w:i w:val="0"/>
          <w:sz w:val="24"/>
        </w:rPr>
        <w:t>Species-specific optical indices. The Trichodesmium blind spot could be closed by using NASA PACE OCI mission products (launched 2024), which use hyperspectral bands sensitive to cyanobacterial photopigments. NDCI (Normalized Difference Chlorophyll Index) and CDOM absorption at 443 nm — both flagged by CMFRI's own 2024 report as elevated during Kerala Trichodesmium blooms — are promising target features.</w:t>
      </w:r>
    </w:p>
    <w:p>
      <w:pPr>
        <w:pStyle w:val="ListNumber"/>
        <w:spacing w:after="60"/>
      </w:pPr>
      <w:r>
        <w:rPr>
          <w:rFonts w:ascii="Times New Roman" w:hAnsi="Times New Roman" w:cs="Times New Roman"/>
          <w:b w:val="0"/>
          <w:i w:val="0"/>
          <w:sz w:val="24"/>
        </w:rPr>
        <w:t>Extended temporal record. Extending training back to 2015–2019 would add five more monsoon-cycle years. MODIS-Aqua and IMD historical records both exist for that window, but sensor comparability between MODIS-Aqua and VIIRS-SNPP requires cross-calibration work.</w:t>
      </w:r>
    </w:p>
    <w:p>
      <w:pPr>
        <w:pStyle w:val="ListNumber"/>
        <w:spacing w:after="60"/>
      </w:pPr>
      <w:r>
        <w:rPr>
          <w:rFonts w:ascii="Times New Roman" w:hAnsi="Times New Roman" w:cs="Times New Roman"/>
          <w:b w:val="0"/>
          <w:i w:val="0"/>
          <w:sz w:val="24"/>
        </w:rPr>
        <w:t>Expanded closure log. Direct engagement with the CMFRI HAB monitoring unit and Kerala/Karnataka state fisheries departments could yield 30+ additional dated closure events — enough (per our power analysis) to make outcome-anchored calibration empirically viable.</w:t>
      </w:r>
    </w:p>
    <w:p>
      <w:pPr>
        <w:pStyle w:val="ListNumber"/>
        <w:spacing w:after="60"/>
      </w:pPr>
      <w:r>
        <w:rPr>
          <w:rFonts w:ascii="Times New Roman" w:hAnsi="Times New Roman" w:cs="Times New Roman"/>
          <w:b w:val="0"/>
          <w:i w:val="0"/>
          <w:sz w:val="24"/>
        </w:rPr>
        <w:t>Multi-region generalisation. Extending the model to Tamil Nadu, Andhra Pradesh, and Goa coasts would test whether the calibration generalises across the wider Indian coastal HAB regime.</w:t>
      </w:r>
    </w:p>
    <w:p>
      <w:pPr>
        <w:pStyle w:val="ListNumber"/>
        <w:spacing w:after="60"/>
      </w:pPr>
      <w:r>
        <w:rPr>
          <w:rFonts w:ascii="Times New Roman" w:hAnsi="Times New Roman" w:cs="Times New Roman"/>
          <w:b w:val="0"/>
          <w:i w:val="0"/>
          <w:sz w:val="24"/>
        </w:rPr>
        <w:t>Multi-turn chatbot memory. The current chatbot supports conversation history via the messages parameter but the deployed frontend does not yet use it. A memory layer would let the chatbot track a farmer's location and species across a session.</w:t>
      </w:r>
    </w:p>
    <w:p>
      <w:pPr>
        <w:pStyle w:val="ListNumber"/>
        <w:spacing w:after="60"/>
      </w:pPr>
      <w:r>
        <w:rPr>
          <w:rFonts w:ascii="Times New Roman" w:hAnsi="Times New Roman" w:cs="Times New Roman"/>
          <w:b w:val="0"/>
          <w:i w:val="0"/>
          <w:sz w:val="24"/>
        </w:rPr>
        <w:t>Field validation with a real cooperative. Piloting the tool with a Kerala shellfish cooperative for one monsoon season, and gathering feedback on whether the risk-band language actually translates into better harvest decisions, would provide the operational validation the paper currently lacks.</w:t>
      </w:r>
    </w:p>
    <w:p>
      <w:pPr>
        <w:keepNext/>
        <w:spacing w:before="240" w:after="120"/>
      </w:pPr>
      <w:r>
        <w:rPr>
          <w:rFonts w:ascii="Times New Roman" w:hAnsi="Times New Roman" w:cs="Times New Roman"/>
          <w:b/>
          <w:i w:val="0"/>
          <w:sz w:val="28"/>
        </w:rPr>
        <w:t>Conclusion</w:t>
      </w:r>
    </w:p>
    <w:p>
      <w:pPr>
        <w:jc w:val="both"/>
      </w:pPr>
      <w:r>
        <w:rPr>
          <w:rFonts w:ascii="Times New Roman" w:hAnsi="Times New Roman" w:cs="Times New Roman"/>
          <w:b w:val="0"/>
          <w:i w:val="0"/>
          <w:sz w:val="24"/>
        </w:rPr>
        <w:t>We built a weekly bloom-risk forecast for Kerala–Karnataka shellfish cooperatives from public NASA and IMD data, and rigorously evaluated a proposed novel calibration method against uncalibrated and cross-validation baselines. The pipeline achieves a pooled AUC of 0.809 across three rolling temporal splits, with reasonably well-calibrated raw probabilities (pooled ECE 0.094). Post-hoc calibration — including our proposed outcome-anchored variant — did not improve on the raw XGBoost baseline at any tested sample size.</w:t>
      </w:r>
    </w:p>
    <w:p>
      <w:pPr>
        <w:jc w:val="both"/>
      </w:pPr>
      <w:r>
        <w:rPr>
          <w:rFonts w:ascii="Times New Roman" w:hAnsi="Times New Roman" w:cs="Times New Roman"/>
          <w:b w:val="0"/>
          <w:i w:val="0"/>
          <w:sz w:val="24"/>
        </w:rPr>
        <w:t>The power analysis quantifies the empirical floor: dozens of documented closure events would be needed for outcome-anchored calibration to become viable, well above the 4 events CMFRI documented across our study window. Cross-validation also revealed a species-specific blind spot: the standard chlorophyll-a proxy fails to detect Trichodesmium blooms, which are precisely the events most damaging to Kerala's shellfish cooperatives.</w:t>
      </w:r>
    </w:p>
    <w:p>
      <w:pPr>
        <w:jc w:val="both"/>
      </w:pPr>
      <w:r>
        <w:rPr>
          <w:rFonts w:ascii="Times New Roman" w:hAnsi="Times New Roman" w:cs="Times New Roman"/>
          <w:b w:val="0"/>
          <w:i w:val="0"/>
          <w:sz w:val="24"/>
        </w:rPr>
        <w:t>Together these findings support three publishable contributions: (1) an operationally deployable, well-calibrated bloom-risk forecast for south-western India; (2) a quantified sample-size floor for outcome-anchored probability calibration; and (3) a specific research direction — species-specific optical indices — to close the Trichodesmium detection gap.</w:t>
      </w:r>
    </w:p>
    <w:p>
      <w:pPr>
        <w:keepNext/>
        <w:spacing w:before="240" w:after="120"/>
      </w:pPr>
      <w:r>
        <w:rPr>
          <w:rFonts w:ascii="Times New Roman" w:hAnsi="Times New Roman" w:cs="Times New Roman"/>
          <w:b/>
          <w:i w:val="0"/>
          <w:sz w:val="28"/>
        </w:rPr>
        <w:t>Bibliography</w:t>
      </w:r>
    </w:p>
    <w:p>
      <w:pPr>
        <w:spacing w:after="80"/>
        <w:ind w:hanging="432" w:left="432"/>
      </w:pPr>
      <w:r>
        <w:rPr>
          <w:rFonts w:ascii="Times New Roman" w:hAnsi="Times New Roman" w:cs="Times New Roman"/>
          <w:b/>
          <w:i w:val="0"/>
          <w:sz w:val="24"/>
        </w:rPr>
        <w:t xml:space="preserve">1. </w:t>
      </w:r>
      <w:r>
        <w:rPr>
          <w:rFonts w:ascii="Times New Roman" w:hAnsi="Times New Roman" w:cs="Times New Roman"/>
          <w:b w:val="0"/>
          <w:i w:val="0"/>
          <w:sz w:val="24"/>
        </w:rPr>
        <w:t>Anderson, D. M., Cembella, A. D., &amp; Hallegraeff, G. M. (2012). Progress in understanding harmful algal blooms: paradigm shifts and new technologies for research, monitoring, and management. Annual Review of Marine Science, 4, 143–176.</w:t>
      </w:r>
    </w:p>
    <w:p>
      <w:pPr>
        <w:spacing w:after="80"/>
        <w:ind w:hanging="432" w:left="432"/>
      </w:pPr>
      <w:r>
        <w:rPr>
          <w:rFonts w:ascii="Times New Roman" w:hAnsi="Times New Roman" w:cs="Times New Roman"/>
          <w:b/>
          <w:i w:val="0"/>
          <w:sz w:val="24"/>
        </w:rPr>
        <w:t xml:space="preserve">2. </w:t>
      </w:r>
      <w:r>
        <w:rPr>
          <w:rFonts w:ascii="Times New Roman" w:hAnsi="Times New Roman" w:cs="Times New Roman"/>
          <w:b w:val="0"/>
          <w:i w:val="0"/>
          <w:sz w:val="24"/>
        </w:rPr>
        <w:t>Padmakumar, K. B., Menon, N. R., &amp; Sanjeevan, V. N. (2012). Is the Indian coast facing an increase in harmful algal blooms? Current Science, 103(10), 1152–1153.</w:t>
      </w:r>
    </w:p>
    <w:p>
      <w:pPr>
        <w:spacing w:after="80"/>
        <w:ind w:hanging="432" w:left="432"/>
      </w:pPr>
      <w:r>
        <w:rPr>
          <w:rFonts w:ascii="Times New Roman" w:hAnsi="Times New Roman" w:cs="Times New Roman"/>
          <w:b/>
          <w:i w:val="0"/>
          <w:sz w:val="24"/>
        </w:rPr>
        <w:t xml:space="preserve">3. </w:t>
      </w:r>
      <w:r>
        <w:rPr>
          <w:rFonts w:ascii="Times New Roman" w:hAnsi="Times New Roman" w:cs="Times New Roman"/>
          <w:b w:val="0"/>
          <w:i w:val="0"/>
          <w:sz w:val="24"/>
        </w:rPr>
        <w:t>Sathyendranath, S., Brewin, R. J. W., Brockmann, C., Brotas, V., Calton, B., et al. (2019). An Ocean-Colour Time Series for Use in Climate Studies: the Experience of the Ocean-Colour Climate Change Initiative (OC-CCI). Sensors, 19(19), 4285.</w:t>
      </w:r>
    </w:p>
    <w:p>
      <w:pPr>
        <w:spacing w:after="80"/>
        <w:ind w:hanging="432" w:left="432"/>
      </w:pPr>
      <w:r>
        <w:rPr>
          <w:rFonts w:ascii="Times New Roman" w:hAnsi="Times New Roman" w:cs="Times New Roman"/>
          <w:b/>
          <w:i w:val="0"/>
          <w:sz w:val="24"/>
        </w:rPr>
        <w:t xml:space="preserve">4. </w:t>
      </w:r>
      <w:r>
        <w:rPr>
          <w:rFonts w:ascii="Times New Roman" w:hAnsi="Times New Roman" w:cs="Times New Roman"/>
          <w:b w:val="0"/>
          <w:i w:val="0"/>
          <w:sz w:val="24"/>
        </w:rPr>
        <w:t>Pai, D. S., Sridhar, L., Rajeevan, M., Sreejith, O. P., Satbhai, N. S., &amp; Mukhopadhyay, B. (2014). Development of a new high-spatial-resolution (0.25° × 0.25°) long-period (1901–2010) daily gridded rainfall data set over India and its comparison with existing data sets. Mausam, 65(1), 1–18.</w:t>
      </w:r>
    </w:p>
    <w:p>
      <w:pPr>
        <w:spacing w:after="80"/>
        <w:ind w:hanging="432" w:left="432"/>
      </w:pPr>
      <w:r>
        <w:rPr>
          <w:rFonts w:ascii="Times New Roman" w:hAnsi="Times New Roman" w:cs="Times New Roman"/>
          <w:b/>
          <w:i w:val="0"/>
          <w:sz w:val="24"/>
        </w:rPr>
        <w:t xml:space="preserve">5. </w:t>
      </w:r>
      <w:r>
        <w:rPr>
          <w:rFonts w:ascii="Times New Roman" w:hAnsi="Times New Roman" w:cs="Times New Roman"/>
          <w:b w:val="0"/>
          <w:i w:val="0"/>
          <w:sz w:val="24"/>
        </w:rPr>
        <w:t>Karthik, R., Ramesh, R., &amp; Vaithiyanathan, P. (2020). A machine-learning approach for automatic detection of harmful algal blooms using satellite and in-situ data. Journal of Marine Science and Engineering, 8(11), 869.</w:t>
      </w:r>
    </w:p>
    <w:p>
      <w:pPr>
        <w:spacing w:after="80"/>
        <w:ind w:hanging="432" w:left="432"/>
      </w:pPr>
      <w:r>
        <w:rPr>
          <w:rFonts w:ascii="Times New Roman" w:hAnsi="Times New Roman" w:cs="Times New Roman"/>
          <w:b/>
          <w:i w:val="0"/>
          <w:sz w:val="24"/>
        </w:rPr>
        <w:t xml:space="preserve">6. </w:t>
      </w:r>
      <w:r>
        <w:rPr>
          <w:rFonts w:ascii="Times New Roman" w:hAnsi="Times New Roman" w:cs="Times New Roman"/>
          <w:b w:val="0"/>
          <w:i w:val="0"/>
          <w:sz w:val="24"/>
        </w:rPr>
        <w:t>Wei, B., Sugiura, N., &amp; Maekawa, T. (2001). Use of artificial neural network in the prediction of algal blooms. Water Research, 35(8), 2022–2028.</w:t>
      </w:r>
    </w:p>
    <w:p>
      <w:pPr>
        <w:spacing w:after="80"/>
        <w:ind w:hanging="432" w:left="432"/>
      </w:pPr>
      <w:r>
        <w:rPr>
          <w:rFonts w:ascii="Times New Roman" w:hAnsi="Times New Roman" w:cs="Times New Roman"/>
          <w:b/>
          <w:i w:val="0"/>
          <w:sz w:val="24"/>
        </w:rPr>
        <w:t xml:space="preserve">7. </w:t>
      </w:r>
      <w:r>
        <w:rPr>
          <w:rFonts w:ascii="Times New Roman" w:hAnsi="Times New Roman" w:cs="Times New Roman"/>
          <w:b w:val="0"/>
          <w:i w:val="0"/>
          <w:sz w:val="24"/>
        </w:rPr>
        <w:t>Guo, C., Pleiss, G., Sun, Y., &amp; Weinberger, K. Q. (2017). On calibration of modern neural networks. Proceedings of the 34th International Conference on Machine Learning (ICML), 70, 1321–1330.</w:t>
      </w:r>
    </w:p>
    <w:p>
      <w:pPr>
        <w:spacing w:after="80"/>
        <w:ind w:hanging="432" w:left="432"/>
      </w:pPr>
      <w:r>
        <w:rPr>
          <w:rFonts w:ascii="Times New Roman" w:hAnsi="Times New Roman" w:cs="Times New Roman"/>
          <w:b/>
          <w:i w:val="0"/>
          <w:sz w:val="24"/>
        </w:rPr>
        <w:t xml:space="preserve">8. </w:t>
      </w:r>
      <w:r>
        <w:rPr>
          <w:rFonts w:ascii="Times New Roman" w:hAnsi="Times New Roman" w:cs="Times New Roman"/>
          <w:b w:val="0"/>
          <w:i w:val="0"/>
          <w:sz w:val="24"/>
        </w:rPr>
        <w:t>Platt, J. (1999). Probabilistic outputs for support vector machines and comparisons to regularized likelihood methods. In Advances in Large Margin Classifiers (pp. 61–74). MIT Press.</w:t>
      </w:r>
    </w:p>
    <w:p>
      <w:pPr>
        <w:spacing w:after="80"/>
        <w:ind w:hanging="432" w:left="432"/>
      </w:pPr>
      <w:r>
        <w:rPr>
          <w:rFonts w:ascii="Times New Roman" w:hAnsi="Times New Roman" w:cs="Times New Roman"/>
          <w:b/>
          <w:i w:val="0"/>
          <w:sz w:val="24"/>
        </w:rPr>
        <w:t xml:space="preserve">9. </w:t>
      </w:r>
      <w:r>
        <w:rPr>
          <w:rFonts w:ascii="Times New Roman" w:hAnsi="Times New Roman" w:cs="Times New Roman"/>
          <w:b w:val="0"/>
          <w:i w:val="0"/>
          <w:sz w:val="24"/>
        </w:rPr>
        <w:t>Naik, R. K., Chitari, R. R., Anil, A. C., D'Costa, P. M., Shaikh, S., et al. (2011). Trichodesmium bloom event in the coastal waters off Goa, west coast of India. Continental Shelf Research, 31(10), 1017–1025.</w:t>
      </w:r>
    </w:p>
    <w:p>
      <w:pPr>
        <w:spacing w:after="80"/>
        <w:ind w:hanging="432" w:left="432"/>
      </w:pPr>
      <w:r>
        <w:rPr>
          <w:rFonts w:ascii="Times New Roman" w:hAnsi="Times New Roman" w:cs="Times New Roman"/>
          <w:b/>
          <w:i w:val="0"/>
          <w:sz w:val="24"/>
        </w:rPr>
        <w:t xml:space="preserve">10. </w:t>
      </w:r>
      <w:r>
        <w:rPr>
          <w:rFonts w:ascii="Times New Roman" w:hAnsi="Times New Roman" w:cs="Times New Roman"/>
          <w:b w:val="0"/>
          <w:i w:val="0"/>
          <w:sz w:val="24"/>
        </w:rPr>
        <w:t>Chen, T., &amp; Guestrin, C. (2016). XGBoost: A scalable tree boosting system. Proceedings of the 22nd ACM SIGKDD International Conference on Knowledge Discovery and Data Mining, 785–794.</w:t>
      </w:r>
    </w:p>
    <w:p>
      <w:pPr>
        <w:spacing w:after="80"/>
        <w:ind w:hanging="432" w:left="432"/>
      </w:pPr>
      <w:r>
        <w:rPr>
          <w:rFonts w:ascii="Times New Roman" w:hAnsi="Times New Roman" w:cs="Times New Roman"/>
          <w:b/>
          <w:i w:val="0"/>
          <w:sz w:val="24"/>
        </w:rPr>
        <w:t xml:space="preserve">11. </w:t>
      </w:r>
      <w:r>
        <w:rPr>
          <w:rFonts w:ascii="Times New Roman" w:hAnsi="Times New Roman" w:cs="Times New Roman"/>
          <w:b w:val="0"/>
          <w:i w:val="0"/>
          <w:sz w:val="24"/>
        </w:rPr>
        <w:t>Grinsztajn, L., Oyallon, E., &amp; Varoquaux, G. (2022). Why do tree-based models still outperform deep learning on typical tabular data? Advances in Neural Information Processing Systems (NeurIPS), 35.</w:t>
      </w:r>
    </w:p>
    <w:p>
      <w:pPr>
        <w:spacing w:after="80"/>
        <w:ind w:hanging="432" w:left="432"/>
      </w:pPr>
      <w:r>
        <w:rPr>
          <w:rFonts w:ascii="Times New Roman" w:hAnsi="Times New Roman" w:cs="Times New Roman"/>
          <w:b/>
          <w:i w:val="0"/>
          <w:sz w:val="24"/>
        </w:rPr>
        <w:t xml:space="preserve">12. </w:t>
      </w:r>
      <w:r>
        <w:rPr>
          <w:rFonts w:ascii="Times New Roman" w:hAnsi="Times New Roman" w:cs="Times New Roman"/>
          <w:b w:val="0"/>
          <w:i w:val="0"/>
          <w:sz w:val="24"/>
        </w:rPr>
        <w:t>Zadrozny, B., &amp; Elkan, C. (2002). Transforming classifier scores into accurate multiclass probability estimates. Proceedings of the Eighth ACM SIGKDD International Conference on Knowledge Discovery and Data Mining, 694–699.</w:t>
      </w:r>
    </w:p>
    <w:p>
      <w:pPr>
        <w:spacing w:after="80"/>
        <w:ind w:hanging="432" w:left="432"/>
      </w:pPr>
      <w:r>
        <w:rPr>
          <w:rFonts w:ascii="Times New Roman" w:hAnsi="Times New Roman" w:cs="Times New Roman"/>
          <w:b/>
          <w:i w:val="0"/>
          <w:sz w:val="24"/>
        </w:rPr>
        <w:t xml:space="preserve">13. </w:t>
      </w:r>
      <w:r>
        <w:rPr>
          <w:rFonts w:ascii="Times New Roman" w:hAnsi="Times New Roman" w:cs="Times New Roman"/>
          <w:b w:val="0"/>
          <w:i w:val="0"/>
          <w:sz w:val="24"/>
        </w:rPr>
        <w:t>NASA Ocean Biology Processing Group. (2025). MODIS-Aqua mission end-of-life notice. NASA OceanColor Web. Available at: https://oceancolor.gsfc.nasa.gov/</w:t>
      </w:r>
    </w:p>
    <w:p>
      <w:pPr>
        <w:spacing w:after="80"/>
        <w:ind w:hanging="432" w:left="432"/>
      </w:pPr>
      <w:r>
        <w:rPr>
          <w:rFonts w:ascii="Times New Roman" w:hAnsi="Times New Roman" w:cs="Times New Roman"/>
          <w:b/>
          <w:i w:val="0"/>
          <w:sz w:val="24"/>
        </w:rPr>
        <w:t xml:space="preserve">14. </w:t>
      </w:r>
      <w:r>
        <w:rPr>
          <w:rFonts w:ascii="Times New Roman" w:hAnsi="Times New Roman" w:cs="Times New Roman"/>
          <w:b w:val="0"/>
          <w:i w:val="0"/>
          <w:sz w:val="24"/>
        </w:rPr>
        <w:t>Werdell, P. J., McKinna, L. I. W., Boss, E., Ackleson, S. G., Craig, S. E., et al. (2024). An overview of approaches and challenges for retrieving marine inherent optical properties from ocean colour remote sensing. Progress in Oceanography, 224, 103263.</w:t>
      </w:r>
    </w:p>
    <w:p>
      <w:pPr>
        <w:spacing w:after="80"/>
        <w:ind w:hanging="432" w:left="432"/>
      </w:pPr>
      <w:r>
        <w:rPr>
          <w:rFonts w:ascii="Times New Roman" w:hAnsi="Times New Roman" w:cs="Times New Roman"/>
          <w:b/>
          <w:i w:val="0"/>
          <w:sz w:val="24"/>
        </w:rPr>
        <w:t xml:space="preserve">15. </w:t>
      </w:r>
      <w:r>
        <w:rPr>
          <w:rFonts w:ascii="Times New Roman" w:hAnsi="Times New Roman" w:cs="Times New Roman"/>
          <w:b w:val="0"/>
          <w:i w:val="0"/>
          <w:sz w:val="24"/>
        </w:rPr>
        <w:t>Central Marine Fisheries Research Institute (CMFRI). (2016–2024). Annual Reports. Kochi, India. Available at: https://www.cmfri.org.in/</w:t>
      </w:r>
    </w:p>
    <w:p>
      <w:pPr>
        <w:spacing w:after="80"/>
        <w:ind w:hanging="432" w:left="432"/>
      </w:pPr>
      <w:r>
        <w:rPr>
          <w:rFonts w:ascii="Times New Roman" w:hAnsi="Times New Roman" w:cs="Times New Roman"/>
          <w:b/>
          <w:i w:val="0"/>
          <w:sz w:val="24"/>
        </w:rPr>
        <w:t xml:space="preserve">16. </w:t>
      </w:r>
      <w:r>
        <w:rPr>
          <w:rFonts w:ascii="Times New Roman" w:hAnsi="Times New Roman" w:cs="Times New Roman"/>
          <w:b w:val="0"/>
          <w:i w:val="0"/>
          <w:sz w:val="24"/>
        </w:rPr>
        <w:t>India Meteorological Department. (2024). District-wise cumulative rainfall dashboard. Available at: https://mausam.imd.gov.in/</w:t>
      </w:r>
    </w:p>
    <w:p>
      <w:pPr>
        <w:keepNext/>
        <w:spacing w:before="240" w:after="120"/>
      </w:pPr>
      <w:r>
        <w:rPr>
          <w:rFonts w:ascii="Times New Roman" w:hAnsi="Times New Roman" w:cs="Times New Roman"/>
          <w:b/>
          <w:i w:val="0"/>
          <w:sz w:val="28"/>
        </w:rPr>
        <w:t>Appendix — Project Links</w:t>
      </w:r>
    </w:p>
    <w:p>
      <w:r>
        <w:rPr>
          <w:rFonts w:ascii="Times New Roman" w:hAnsi="Times New Roman" w:cs="Times New Roman"/>
          <w:b/>
          <w:i w:val="0"/>
          <w:sz w:val="24"/>
        </w:rPr>
        <w:t xml:space="preserve">GitHub repository: </w:t>
      </w:r>
      <w:r>
        <w:rPr>
          <w:rFonts w:ascii="Times New Roman" w:hAnsi="Times New Roman" w:cs="Times New Roman"/>
          <w:b w:val="0"/>
          <w:i w:val="0"/>
          <w:sz w:val="24"/>
        </w:rPr>
        <w:t>https://github.com/AvniCat/BloomWatch_AI</w:t>
      </w:r>
    </w:p>
    <w:p>
      <w:r>
        <w:rPr>
          <w:rFonts w:ascii="Times New Roman" w:hAnsi="Times New Roman" w:cs="Times New Roman"/>
          <w:b/>
          <w:i w:val="0"/>
          <w:sz w:val="24"/>
        </w:rPr>
        <w:t xml:space="preserve">Live backend (FastAPI): </w:t>
      </w:r>
      <w:r>
        <w:rPr>
          <w:rFonts w:ascii="Times New Roman" w:hAnsi="Times New Roman" w:cs="Times New Roman"/>
          <w:b w:val="0"/>
          <w:i w:val="0"/>
          <w:sz w:val="24"/>
        </w:rPr>
        <w:t>https://bloomwatch-ai.onrender.com</w:t>
      </w:r>
    </w:p>
    <w:p>
      <w:r>
        <w:rPr>
          <w:rFonts w:ascii="Times New Roman" w:hAnsi="Times New Roman" w:cs="Times New Roman"/>
          <w:b/>
          <w:i w:val="0"/>
          <w:sz w:val="24"/>
        </w:rPr>
        <w:t xml:space="preserve">Live frontend (Lovable): </w:t>
      </w:r>
      <w:r>
        <w:rPr>
          <w:rFonts w:ascii="Times New Roman" w:hAnsi="Times New Roman" w:cs="Times New Roman"/>
          <w:b w:val="0"/>
          <w:i w:val="0"/>
          <w:sz w:val="24"/>
        </w:rPr>
        <w:t>https://bloom-watch-appai.lovable.app</w:t>
      </w:r>
    </w:p>
    <w:p>
      <w:r>
        <w:rPr>
          <w:rFonts w:ascii="Times New Roman" w:hAnsi="Times New Roman" w:cs="Times New Roman"/>
          <w:b/>
          <w:i w:val="0"/>
          <w:sz w:val="24"/>
        </w:rPr>
        <w:t xml:space="preserve">Business pitch deck: </w:t>
      </w:r>
      <w:r>
        <w:rPr>
          <w:rFonts w:ascii="Times New Roman" w:hAnsi="Times New Roman" w:cs="Times New Roman"/>
          <w:b w:val="0"/>
          <w:i w:val="0"/>
          <w:sz w:val="24"/>
        </w:rPr>
        <w:t>https://canva.link/8m89kcl1zp2a5p8</w:t>
      </w:r>
    </w:p>
    <w:p>
      <w:r>
        <w:rPr>
          <w:rFonts w:ascii="Times New Roman" w:hAnsi="Times New Roman" w:cs="Times New Roman"/>
          <w:b/>
          <w:i w:val="0"/>
          <w:sz w:val="24"/>
        </w:rPr>
        <w:t xml:space="preserve">Project poster: </w:t>
      </w:r>
      <w:r>
        <w:rPr>
          <w:rFonts w:ascii="Times New Roman" w:hAnsi="Times New Roman" w:cs="Times New Roman"/>
          <w:b w:val="0"/>
          <w:i w:val="0"/>
          <w:sz w:val="24"/>
        </w:rPr>
        <w:t>https://canva.link/d49pvpchzour6b6</w:t>
      </w:r>
    </w:p>
    <w:p>
      <w:r>
        <w:rPr>
          <w:rFonts w:ascii="Times New Roman" w:hAnsi="Times New Roman" w:cs="Times New Roman"/>
          <w:b/>
          <w:i w:val="0"/>
          <w:sz w:val="24"/>
        </w:rPr>
        <w:t xml:space="preserve">Student portfolio: </w:t>
      </w:r>
      <w:r>
        <w:rPr>
          <w:rFonts w:ascii="Times New Roman" w:hAnsi="Times New Roman" w:cs="Times New Roman"/>
          <w:b w:val="0"/>
          <w:i w:val="0"/>
          <w:sz w:val="24"/>
        </w:rPr>
        <w:t>https://avni-spark-portfolio.lovable.app</w:t>
      </w:r>
    </w:p>
    <w:p>
      <w:r>
        <w:br w:type="page"/>
      </w:r>
    </w:p>
    <w:p>
      <w:pPr>
        <w:keepNext/>
        <w:spacing w:before="240" w:after="120"/>
      </w:pPr>
      <w:r>
        <w:rPr>
          <w:rFonts w:ascii="Times New Roman" w:hAnsi="Times New Roman" w:cs="Times New Roman"/>
          <w:b/>
          <w:i w:val="0"/>
          <w:sz w:val="28"/>
        </w:rPr>
        <w:t>AI Innovation Journal — Final Entry</w:t>
      </w:r>
    </w:p>
    <w:p>
      <w:pPr>
        <w:spacing w:before="160" w:after="40"/>
      </w:pPr>
      <w:r>
        <w:rPr>
          <w:rFonts w:ascii="Times New Roman" w:hAnsi="Times New Roman" w:cs="Times New Roman"/>
          <w:b/>
          <w:i w:val="0"/>
          <w:sz w:val="24"/>
        </w:rPr>
        <w:t>The problem I chose to work on</w:t>
      </w:r>
    </w:p>
    <w:p>
      <w:pPr>
        <w:jc w:val="both"/>
      </w:pPr>
      <w:r>
        <w:rPr>
          <w:rFonts w:ascii="Times New Roman" w:hAnsi="Times New Roman" w:cs="Times New Roman"/>
          <w:b w:val="0"/>
          <w:i w:val="0"/>
          <w:sz w:val="24"/>
        </w:rPr>
        <w:t>Every year, harmful algal blooms cost shellfish cooperatives on India's Kerala and Karnataka coasts between ₹100 and ₹200 crore in avoided harvests and dead stock. When I looked into existing bloom-forecast systems, I noticed a pattern: they produced probability numbers that farmers could not actually trust. A model that says “40% risk” when the real event rate is 5% is worse than nothing — because it teaches the farmer to stop listening. I wanted to fix that specific problem: not the accuracy, but the trustworthiness of the number.</w:t>
      </w:r>
    </w:p>
    <w:p>
      <w:pPr>
        <w:spacing w:before="160" w:after="40"/>
      </w:pPr>
      <w:r>
        <w:rPr>
          <w:rFonts w:ascii="Times New Roman" w:hAnsi="Times New Roman" w:cs="Times New Roman"/>
          <w:b/>
          <w:i w:val="0"/>
          <w:sz w:val="24"/>
        </w:rPr>
        <w:t>What I built</w:t>
      </w:r>
    </w:p>
    <w:p>
      <w:pPr>
        <w:jc w:val="both"/>
      </w:pPr>
      <w:r>
        <w:rPr>
          <w:rFonts w:ascii="Times New Roman" w:hAnsi="Times New Roman" w:cs="Times New Roman"/>
          <w:b w:val="0"/>
          <w:i w:val="0"/>
          <w:sz w:val="24"/>
        </w:rPr>
        <w:t>BloomWatch AI is a weekly bloom-risk forecast for the Kerala–Karnataka coast. Behind the number is an XGBoost model trained on five years of NASA VIIRS satellite chlorophyll-a and sea surface temperature, IMD district rainfall, and CMFRI Annual Report bloom records — all free, all public. The dataset is 460 weekly rows across two regions with 69 engineered features. Pooled across three rolling temporal validation splits, the model achieves AUC 0.809, Brier score 0.131, and Expected Calibration Error of 0.094. When the model says 15% risk, blooms happen close to 15% of the time.</w:t>
      </w:r>
    </w:p>
    <w:p>
      <w:pPr>
        <w:jc w:val="both"/>
      </w:pPr>
      <w:r>
        <w:rPr>
          <w:rFonts w:ascii="Times New Roman" w:hAnsi="Times New Roman" w:cs="Times New Roman"/>
          <w:b w:val="0"/>
          <w:i w:val="0"/>
          <w:sz w:val="24"/>
        </w:rPr>
        <w:t>The forecast is served by a FastAPI backend and a chatbot layer using Google Gemini with a curated knowledge base of 19 documents — CMFRI historical events, shellfish symptom guides, disposal protocols, emergency contacts, and honest model limitations. Farmers can ask in English, Malayalam, Hindi, or Kannada. When the chatbot does not know an answer, it says so honestly instead of inventing one.</w:t>
      </w:r>
    </w:p>
    <w:p>
      <w:pPr>
        <w:spacing w:before="160" w:after="40"/>
      </w:pPr>
      <w:r>
        <w:rPr>
          <w:rFonts w:ascii="Times New Roman" w:hAnsi="Times New Roman" w:cs="Times New Roman"/>
          <w:b/>
          <w:i w:val="0"/>
          <w:sz w:val="24"/>
        </w:rPr>
        <w:t>The biggest finding</w:t>
      </w:r>
    </w:p>
    <w:p>
      <w:pPr>
        <w:jc w:val="both"/>
      </w:pPr>
      <w:r>
        <w:rPr>
          <w:rFonts w:ascii="Times New Roman" w:hAnsi="Times New Roman" w:cs="Times New Roman"/>
          <w:b w:val="0"/>
          <w:i w:val="0"/>
          <w:sz w:val="24"/>
        </w:rPr>
        <w:t>The paper's biggest contribution is a negative result. I proposed a novel calibration method: fitting the model's probability scale against real CMFRI harvest-closure events instead of an internal validation set. The power analysis then proved this method needs at least around 30 documented events to beat the uncalibrated baseline. India currently has 4 documented events across 2020–2024.</w:t>
      </w:r>
    </w:p>
    <w:p>
      <w:pPr>
        <w:jc w:val="both"/>
      </w:pPr>
      <w:r>
        <w:rPr>
          <w:rFonts w:ascii="Times New Roman" w:hAnsi="Times New Roman" w:cs="Times New Roman"/>
          <w:b w:val="0"/>
          <w:i w:val="0"/>
          <w:sz w:val="24"/>
        </w:rPr>
        <w:t>This is not a failure — it is a publishable negative result. It quantifies exactly what the field of environmental probability forecasting needs to unlock trustworthy calibration, and the same sample-size floor idea transfers directly to flood loss claims, wildfire insurance data, and crop damage records.</w:t>
      </w:r>
    </w:p>
    <w:p>
      <w:pPr>
        <w:spacing w:before="160" w:after="40"/>
      </w:pPr>
      <w:r>
        <w:rPr>
          <w:rFonts w:ascii="Times New Roman" w:hAnsi="Times New Roman" w:cs="Times New Roman"/>
          <w:b/>
          <w:i w:val="0"/>
          <w:sz w:val="24"/>
        </w:rPr>
        <w:t>What I learned</w:t>
      </w:r>
    </w:p>
    <w:p>
      <w:pPr>
        <w:jc w:val="both"/>
      </w:pPr>
      <w:r>
        <w:rPr>
          <w:rFonts w:ascii="Times New Roman" w:hAnsi="Times New Roman" w:cs="Times New Roman"/>
          <w:b w:val="0"/>
          <w:i w:val="0"/>
          <w:sz w:val="24"/>
        </w:rPr>
        <w:t>The most important lesson was that a limitation, honestly documented, is more valuable than a claim that overreaches. Before mentor and reviewer critique, I would have written a much more confident-sounding paper. Instead, I ended up publishing four honest limitations (the n=4 CMFRI ceiling, the chl-a proxy imprecision, the bidirectional calibration error, and the Trichodesmium species-specific blind spot). Each of these limitations is now part of the deployed model's user-facing text, so farmers see them too.</w:t>
      </w:r>
    </w:p>
    <w:p>
      <w:pPr>
        <w:jc w:val="both"/>
      </w:pPr>
      <w:r>
        <w:rPr>
          <w:rFonts w:ascii="Times New Roman" w:hAnsi="Times New Roman" w:cs="Times New Roman"/>
          <w:b w:val="0"/>
          <w:i w:val="0"/>
          <w:sz w:val="24"/>
        </w:rPr>
        <w:t>Technically, I learned that gradient-boosted trees can be well-calibrated out of the box on small tabular data, and that adding a calibration layer can actually hurt performance when the base learner is already good. I also learned how to run bootstrap power analyses, how to build a retrieval-augmented chatbot that admits when it does not know, and how to deploy an end-to-end system on free-tier cloud infrastructure with automated weekly retraining.</w:t>
      </w:r>
    </w:p>
    <w:p>
      <w:pPr>
        <w:spacing w:before="160" w:after="40"/>
      </w:pPr>
      <w:r>
        <w:rPr>
          <w:rFonts w:ascii="Times New Roman" w:hAnsi="Times New Roman" w:cs="Times New Roman"/>
          <w:b/>
          <w:i w:val="0"/>
          <w:sz w:val="24"/>
        </w:rPr>
        <w:t>Where the project stands now</w:t>
      </w:r>
    </w:p>
    <w:p>
      <w:pPr>
        <w:jc w:val="both"/>
      </w:pPr>
      <w:r>
        <w:rPr>
          <w:rFonts w:ascii="Times New Roman" w:hAnsi="Times New Roman" w:cs="Times New Roman"/>
          <w:b w:val="0"/>
          <w:i w:val="0"/>
          <w:sz w:val="24"/>
        </w:rPr>
        <w:t>The pipeline is deployed and refreshing weekly. The FastAPI backend lives at bloomwatch-ai.onrender.com, the frontend at bloom-watch-appai.lovable.app, and the code and paper are on GitHub at github.com/AvniCat/BloomWatch_AI under the MIT licence. The chatbot answers real farmer questions with grounded, honest replies and knows to recommend CMFRI extension officers for any suspected bloom. Five cooperatives are lined up to test the pilot.</w:t>
      </w:r>
    </w:p>
    <w:p>
      <w:pPr>
        <w:spacing w:before="160" w:after="40"/>
      </w:pPr>
      <w:r>
        <w:rPr>
          <w:rFonts w:ascii="Times New Roman" w:hAnsi="Times New Roman" w:cs="Times New Roman"/>
          <w:b/>
          <w:i w:val="0"/>
          <w:sz w:val="24"/>
        </w:rPr>
        <w:t>Where it goes next</w:t>
      </w:r>
    </w:p>
    <w:p>
      <w:pPr>
        <w:jc w:val="both"/>
      </w:pPr>
      <w:r>
        <w:rPr>
          <w:rFonts w:ascii="Times New Roman" w:hAnsi="Times New Roman" w:cs="Times New Roman"/>
          <w:b w:val="0"/>
          <w:i w:val="0"/>
          <w:sz w:val="24"/>
        </w:rPr>
        <w:t>By 2027, I want to add the daily-updated Version 2 model, extend to Tamil Nadu and Andhra Pradesh, and reach around 500 households through a state MoU. By 2030, the aim is 50,000 households across South Asia — an India-led open-source HAB standard the world can adopt. Closing the Trichodesmium blind spot with NASA PACE OCI hyperspectral products is the single most impactful technical next step, and it is already on the roadmap.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