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sarkissian.a@northeastern.edu</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60" w:line="271" w:lineRule="auto"/>
      </w:pPr>
      <w:r>
        <w:rPr>
          <w:rFonts w:ascii="Times New Roman" w:hAnsi="Times New Roman" w:eastAsia="Times New Roman" w:cs="Times New Roman"/>
          <w:b w:val="0"/>
          <w:i w:val="0"/>
          <w:sz w:val="24"/>
        </w:rPr>
        <w:t>The number of commercially available large language models has grown to the point where no single leaderboard covers all the dimensions that matter for practical use: price, throughput, latency, context window size, and benchmark performance. AI Frontier is an interactive dashboard that aggregates live data for 255+ models across 29 providers, refreshed every hour from the Artificial Analysis API, and makes the full competitive landscape navigable through eleven specialized views. The system runs entirely in Python using Plotly Dash and has been deployed at a public URL since March 2026. This report covers the data pipeline, composite intelligence scoring methodology, visualization design decisions, and the tradeoffs made when building a real-time data visualization tool without a JavaScript build step.</w:t>
      </w:r>
    </w:p>
    <w:p>
      <w:pPr>
        <w:jc w:val="left"/>
        <w:spacing w:before="280" w:after="80"/>
      </w:pPr>
      <w:r>
        <w:rPr>
          <w:rFonts w:ascii="Times New Roman" w:hAnsi="Times New Roman" w:eastAsia="Times New Roman" w:cs="Times New Roman"/>
          <w:b/>
          <w:i w:val="0"/>
          <w:sz w:val="26"/>
        </w:rPr>
        <w:t>1.  Introduction</w:t>
      </w:r>
    </w:p>
    <w:p>
      <w:pPr>
        <w:jc w:val="both"/>
        <w:spacing w:before="0" w:after="60" w:line="271" w:lineRule="auto"/>
        <w:ind w:firstLine="432"/>
      </w:pPr>
      <w:r>
        <w:rPr>
          <w:rFonts w:ascii="Times New Roman" w:hAnsi="Times New Roman" w:eastAsia="Times New Roman" w:cs="Times New Roman"/>
          <w:b w:val="0"/>
          <w:i w:val="0"/>
          <w:sz w:val="24"/>
        </w:rPr>
        <w:t>Selecting a large language model for a real application used to be straightforward — a handful of options existed and the best one was obvious for most tasks. That changed fast. As of spring 2026, over 29 companies offer models through hosted APIs, each making different tradeoffs in price, capability, and latency. A model that scores 70 on reasoning benchmarks might cost twenty times more per token than one that scores 65. A local model that fits on a consumer GPU might outperform a paid API for a narrow task. Without a way to see all of this together, model selection is largely guesswork.</w:t>
      </w:r>
    </w:p>
    <w:p>
      <w:pPr>
        <w:jc w:val="both"/>
        <w:spacing w:before="0" w:after="60" w:line="271" w:lineRule="auto"/>
        <w:ind w:firstLine="432"/>
      </w:pPr>
      <w:r>
        <w:rPr>
          <w:rFonts w:ascii="Times New Roman" w:hAnsi="Times New Roman" w:eastAsia="Times New Roman" w:cs="Times New Roman"/>
          <w:b w:val="0"/>
          <w:i w:val="0"/>
          <w:sz w:val="24"/>
        </w:rPr>
        <w:t>Existing leaderboards do one thing well. The LMSYS Chatbot Arena ranks models on human preference. The Hugging Face Open LLM Leaderboard tracks open-weight models on academic benchmarks. But neither shows live pricing, and most don't update on a daily schedule. Provider dashboards show pricing but not quality scores. Nobody shows both, live, with a way to filter and compare across text, image, and video generation alongside locally runnable models.</w:t>
      </w:r>
    </w:p>
    <w:p>
      <w:pPr>
        <w:jc w:val="both"/>
        <w:spacing w:before="0" w:after="60" w:line="271" w:lineRule="auto"/>
        <w:ind w:firstLine="432"/>
      </w:pPr>
      <w:r>
        <w:rPr>
          <w:rFonts w:ascii="Times New Roman" w:hAnsi="Times New Roman" w:eastAsia="Times New Roman" w:cs="Times New Roman"/>
          <w:b w:val="0"/>
          <w:i w:val="0"/>
          <w:sz w:val="24"/>
        </w:rPr>
        <w:t>AI Frontier fills that gap. The core idea is simple: pull current price and performance data for every major model on a regular schedule and surface it through enough visualization types that different kinds of users can answer different questions. A developer wants to know the cheapest model above a quality threshold. A researcher wants to see which provider is consistently leading. A student wants to know what will fit in their GPU's memory. Each of those questions needs a different view of the same data.</w:t>
      </w:r>
    </w:p>
    <w:p>
      <w:pPr>
        <w:jc w:val="both"/>
        <w:spacing w:before="0" w:after="60" w:line="271" w:lineRule="auto"/>
        <w:ind w:firstLine="432"/>
      </w:pPr>
      <w:r>
        <w:rPr>
          <w:rFonts w:ascii="Times New Roman" w:hAnsi="Times New Roman" w:eastAsia="Times New Roman" w:cs="Times New Roman"/>
          <w:b w:val="0"/>
          <w:i w:val="0"/>
          <w:sz w:val="24"/>
        </w:rPr>
        <w:t>The project was built for EECE 5642 (Data Visualization) at Northeastern University. The dashboard is publicly accessible and all code is open-source at https://github.com/Avo-Sarkissian/AI-Frontier-Database.</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60" w:line="271" w:lineRule="auto"/>
        <w:ind w:firstLine="432"/>
      </w:pPr>
      <w:r>
        <w:rPr>
          <w:rFonts w:ascii="Times New Roman" w:hAnsi="Times New Roman" w:eastAsia="Times New Roman" w:cs="Times New Roman"/>
          <w:b w:val="0"/>
          <w:i w:val="0"/>
          <w:sz w:val="24"/>
        </w:rPr>
        <w:t>The primary data source is the Artificial Analysis API, which tracks pricing and benchmark data for commercially hosted LLMs. For each model it provides: price per million tokens (input and output, at the cheapest available provider), median tokens per second (throughput), median time-to-first-token (latency), context window size, and a composite intelligence score. The API is queried once per hour by a background thread that starts when the application launches.</w:t>
      </w:r>
    </w:p>
    <w:p>
      <w:pPr>
        <w:jc w:val="both"/>
        <w:spacing w:before="0" w:after="60" w:line="271" w:lineRule="auto"/>
        <w:ind w:firstLine="432"/>
      </w:pPr>
      <w:r>
        <w:rPr>
          <w:rFonts w:ascii="Times New Roman" w:hAnsi="Times New Roman" w:eastAsia="Times New Roman" w:cs="Times New Roman"/>
          <w:b w:val="0"/>
          <w:i w:val="0"/>
          <w:sz w:val="24"/>
        </w:rPr>
        <w:t>Each successful API response is written to a CSV cache and also saved as a timestamped snapshot in a history directory. Over 30 daily snapshots have accumulated since the project launched; these power the Trends tab, which shows how model pricing has shifted over time. A blended price per million tokens is computed from raw input/output prices using a 3:1 output-to-input ratio, approximating real-world usage patterns and collapsing two numbers into one for display.</w:t>
      </w:r>
    </w:p>
    <w:p>
      <w:pPr>
        <w:jc w:val="left"/>
        <w:spacing w:before="160" w:after="40"/>
      </w:pPr>
      <w:r>
        <w:rPr>
          <w:rFonts w:ascii="Times New Roman" w:hAnsi="Times New Roman" w:eastAsia="Times New Roman" w:cs="Times New Roman"/>
          <w:b/>
          <w:i/>
          <w:sz w:val="24"/>
        </w:rPr>
        <w:t>2.2  Local Model and Hardware Data</w:t>
      </w:r>
    </w:p>
    <w:p>
      <w:pPr>
        <w:jc w:val="both"/>
        <w:spacing w:before="0" w:after="60" w:line="271" w:lineRule="auto"/>
        <w:ind w:firstLine="432"/>
      </w:pPr>
      <w:r>
        <w:rPr>
          <w:rFonts w:ascii="Times New Roman" w:hAnsi="Times New Roman" w:eastAsia="Times New Roman" w:cs="Times New Roman"/>
          <w:b w:val="0"/>
          <w:i w:val="0"/>
          <w:sz w:val="24"/>
        </w:rPr>
        <w:t>The second data source is a manually curated catalog of open-weight models and GPU hardware specifications. GPU memory bandwidth and VRAM capacity were pulled from official product pages (NVIDIA, AMD, Apple, Intel). Model parameter counts and quantization support were taken from Hugging Face model cards. This catalog is static rather than live — it is updated when significant new hardware generations or model families are released. It backs the Run Local tab, which estimates whether a given model fits in a selected GPU's memory and how fast it would run.</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60" w:line="271" w:lineRule="auto"/>
        <w:ind w:firstLine="432"/>
      </w:pPr>
      <w:r>
        <w:rPr>
          <w:rFonts w:ascii="Times New Roman" w:hAnsi="Times New Roman" w:eastAsia="Times New Roman" w:cs="Times New Roman"/>
          <w:b w:val="0"/>
          <w:i w:val="0"/>
          <w:sz w:val="24"/>
        </w:rPr>
        <w:t>The intelligence score displayed throughout the dashboard is inherited from Artificial Analysis, which aggregates results from multiple public evaluations into a single 0–100 composite. The score covers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60" w:line="271" w:lineRule="auto"/>
        <w:ind w:firstLine="432"/>
      </w:pPr>
      <w:r>
        <w:rPr>
          <w:rFonts w:ascii="Times New Roman" w:hAnsi="Times New Roman" w:eastAsia="Times New Roman" w:cs="Times New Roman"/>
          <w:b w:val="0"/>
          <w:i w:val="0"/>
          <w:sz w:val="24"/>
        </w:rPr>
        <w:t>Using multiple benchmarks matters here. A model fine-tuned heavily on MMLU training data might rank first on that test alone but fall to the middle on LiveCodeBench. Averaging across categories rewards models that are broadly capable rather than narrowly optimized, and it allows API-hosted and local open-weight models to be compared on the same scale.</w:t>
      </w:r>
    </w:p>
    <w:p>
      <w:pPr>
        <w:jc w:val="both"/>
        <w:spacing w:before="0" w:after="60" w:line="271" w:lineRule="auto"/>
        <w:ind w:firstLine="432"/>
      </w:pPr>
      <w:r>
        <w:rPr>
          <w:rFonts w:ascii="Times New Roman" w:hAnsi="Times New Roman" w:eastAsia="Times New Roman" w:cs="Times New Roman"/>
          <w:b w:val="0"/>
          <w:i w:val="0"/>
          <w:sz w:val="24"/>
        </w:rPr>
        <w:t>The main limitation of composite scores is that they smooth over real differences. Two models with the same composite score can have completely different strength profiles — one excellent at coding and weak at math, the other the reverse. The Compare tab (radar chart) exists specifically to surface these within-score differences.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60" w:line="271" w:lineRule="auto"/>
        <w:ind w:firstLine="432"/>
      </w:pPr>
      <w:r>
        <w:rPr>
          <w:rFonts w:ascii="Times New Roman" w:hAnsi="Times New Roman" w:eastAsia="Times New Roman" w:cs="Times New Roman"/>
          <w:b w:val="0"/>
          <w:i w:val="0"/>
          <w:sz w:val="24"/>
        </w:rPr>
        <w:t>The dashboard is organized into eleven tabs, each targeting a distinct question type: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60" w:line="271" w:lineRule="auto"/>
        <w:ind w:firstLine="432"/>
      </w:pPr>
      <w:r>
        <w:rPr>
          <w:rFonts w:ascii="Times New Roman" w:hAnsi="Times New Roman" w:eastAsia="Times New Roman" w:cs="Times New Roman"/>
          <w:b w:val="0"/>
          <w:i w:val="0"/>
          <w:sz w:val="24"/>
        </w:rPr>
        <w:t>Overview — bubble scatter with Pareto frontier. The challenge with comparing 255 models simultaneously is that a ranked list hides tradeoffs. The bubble scatter encodes three variables at once: price on the x-axis, quality score on the y-axis, and throughput as bubble size. Log scale on price is necessary because model prices span roughly three orders of magnitude — from under $0.01 to over $15 per million tokens — and a linear axis would compress most models into one corner of the chart.</w:t>
      </w:r>
    </w:p>
    <w:p>
      <w:pPr>
        <w:jc w:val="both"/>
        <w:spacing w:before="0" w:after="60" w:line="271" w:lineRule="auto"/>
        <w:ind w:firstLine="432"/>
      </w:pPr>
      <w:r>
        <w:rPr>
          <w:rFonts w:ascii="Times New Roman" w:hAnsi="Times New Roman" w:eastAsia="Times New Roman" w:cs="Times New Roman"/>
          <w:b w:val="0"/>
          <w:i w:val="0"/>
          <w:sz w:val="24"/>
        </w:rPr>
        <w:t>A dotted Pareto frontier connects the models that are undominated in the price-quality tradeoff: points where any improvement in quality requires paying more, and any cost reduction means accepting lower quality. The frontier is computed in Pandas on each data load using a standard non-dominated sorting pass. Models on or near this curve represent the best practical options for most use cases. Each provider is assigned both a color and a distinct marker shape, making the chart readable for colorblind viewers without a separate mode or toggle.</w:t>
      </w:r>
    </w:p>
    <w:p>
      <w:pPr>
        <w:jc w:val="both"/>
        <w:spacing w:before="0" w:after="60" w:line="271" w:lineRule="auto"/>
        <w:ind w:firstLine="432"/>
      </w:pPr>
      <w:r>
        <w:rPr>
          <w:rFonts w:ascii="Times New Roman" w:hAnsi="Times New Roman" w:eastAsia="Times New Roman" w:cs="Times New Roman"/>
          <w:b w:val="0"/>
          <w:i w:val="0"/>
          <w:sz w:val="24"/>
        </w:rPr>
        <w:t>Rankings — horizontal bars with tier separators. For one-dimensional ranked comparisons, horizontal bar charts are clearer than scatter plots. Tier separator lines are drawn wherever the score gap between adjacent models exceeds a fixed threshold, marking meaningful performance breaks rather than implying uniform spacing across the range.</w:t>
      </w:r>
    </w:p>
    <w:p>
      <w:pPr>
        <w:jc w:val="both"/>
        <w:spacing w:before="0" w:after="60" w:line="271" w:lineRule="auto"/>
        <w:ind w:firstLine="432"/>
      </w:pPr>
      <w:r>
        <w:rPr>
          <w:rFonts w:ascii="Times New Roman" w:hAnsi="Times New Roman" w:eastAsia="Times New Roman" w:cs="Times New Roman"/>
          <w:b w:val="0"/>
          <w:i w:val="0"/>
          <w:sz w:val="24"/>
        </w:rPr>
        <w:t>Compare — radar chart. Head-to-head comparison across five dimensions is a natural use case for a radar chart. Each axis is normalized so all five dimensions are comparable on the same scale. The limitation is that interpretation depends on axis ordering, which is fixed — reordering axes would change the visible shape without changing any underlying values.</w:t>
      </w:r>
    </w:p>
    <w:p>
      <w:pPr>
        <w:jc w:val="both"/>
        <w:spacing w:before="0" w:after="60" w:line="271"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This communicates structural patterns that scatter plots miss — which providers dominate by volume, which are new entrants, which specialize in high-capability models. A ranked bar chart below it allows precise comparison of the same providers.</w:t>
      </w:r>
    </w:p>
    <w:p>
      <w:pPr>
        <w:jc w:val="both"/>
        <w:spacing w:before="0" w:after="60" w:line="271" w:lineRule="auto"/>
        <w:ind w:firstLine="432"/>
      </w:pPr>
      <w:r>
        <w:rPr>
          <w:rFonts w:ascii="Times New Roman" w:hAnsi="Times New Roman" w:eastAsia="Times New Roman" w:cs="Times New Roman"/>
          <w:b w:val="0"/>
          <w:i w:val="0"/>
          <w:sz w:val="24"/>
        </w:rPr>
        <w:t>Trends — line chart over time. The historical snapshot system makes this tab possible. Plotting API prices over time shows a market that moves fast: several major providers dropped prices significantly between February and April 2026. A static dataset would miss this entirely.</w:t>
      </w:r>
    </w:p>
    <w:p>
      <w:pPr>
        <w:jc w:val="left"/>
        <w:spacing w:before="160" w:after="40"/>
      </w:pPr>
      <w:r>
        <w:rPr>
          <w:rFonts w:ascii="Times New Roman" w:hAnsi="Times New Roman" w:eastAsia="Times New Roman" w:cs="Times New Roman"/>
          <w:b/>
          <w:i/>
          <w:sz w:val="24"/>
        </w:rPr>
        <w:t>4.3  Run Local: Hardware Compatibility and Inference Estimation</w:t>
      </w:r>
    </w:p>
    <w:p>
      <w:pPr>
        <w:jc w:val="both"/>
        <w:spacing w:before="0" w:after="60" w:line="271" w:lineRule="auto"/>
        <w:ind w:firstLine="432"/>
      </w:pPr>
      <w:r>
        <w:rPr>
          <w:rFonts w:ascii="Times New Roman" w:hAnsi="Times New Roman" w:eastAsia="Times New Roman" w:cs="Times New Roman"/>
          <w:b w:val="0"/>
          <w:i w:val="0"/>
          <w:sz w:val="24"/>
        </w:rPr>
        <w:t>The Run Local tab addresses a question that no major leaderboard answers: given specific hardware, which open-weight models can I actually run, and how fast will they be? Running models locally has real advantages — data never leaves the machine, there is no per-token cost after the hardware is purchased, latency has no network component, and inference works offline. The challenge is that the answer depends on the interaction between model size, quantization level, and the GPU's available VRAM and memory bandwidth. Figuring this out manually requires looking up specs across multiple sources and doing arithmetic — the tab automates all of it.</w:t>
      </w:r>
    </w:p>
    <w:p>
      <w:pPr>
        <w:jc w:val="both"/>
        <w:spacing w:before="0" w:after="60" w:line="271" w:lineRule="auto"/>
        <w:ind w:firstLine="432"/>
      </w:pPr>
      <w:r>
        <w:rPr>
          <w:rFonts w:ascii="Times New Roman" w:hAnsi="Times New Roman" w:eastAsia="Times New Roman" w:cs="Times New Roman"/>
          <w:b w:val="0"/>
          <w:i w:val="0"/>
          <w:sz w:val="24"/>
        </w:rPr>
        <w:t>The user selects a GPU from a dropdown covering NVIDIA RTX 3000, 4000, and 5000 series; AMD RX 7000 series; Apple Silicon M-series (M1 through M4, Pro/Max/Ultra variants); and Intel Arc. They also select a quantization level: FP16/BF16 (full precision), Q8, Q4, or Q2. The dashboard immediately updates two outputs: a compatibility table listing every model that fits in the selected GPU's VRAM, and a scatter plot of all models in the catalog with intelligence score on the x-axis and estimated tokens per second on the y-axis.</w:t>
      </w:r>
    </w:p>
    <w:p>
      <w:pPr>
        <w:jc w:val="both"/>
        <w:spacing w:before="0" w:after="60" w:line="271" w:lineRule="auto"/>
        <w:ind w:firstLine="432"/>
      </w:pPr>
      <w:r>
        <w:rPr>
          <w:rFonts w:ascii="Times New Roman" w:hAnsi="Times New Roman" w:eastAsia="Times New Roman" w:cs="Times New Roman"/>
          <w:b w:val="0"/>
          <w:i w:val="0"/>
          <w:sz w:val="24"/>
        </w:rPr>
        <w:t>VRAM requirement is estimated as: VRAM ≈ N × B × 1.2, where N is the parameter count in billions, B is bytes per parameter at the selected quantization level (2 for FP16/BF16, 1 for Q8, 0.5 for Q4, 0.25 for Q2), and the 1.2 overhead factor accounts for KV-cache, activations, and framework memory. A model is marked compatible if this estimate falls below the GPU's VRAM capacity. Inference speed is estimated as: tokens/sec ≈ bandwidth (GB/s) ÷ (N × B). This captures a key property of LLM inference: for single-user local use, the bottleneck is almost always memory bandwidth rather than compute. A GPU with twice the bandwidth produces roughly twice the throughput for the same model at the same quantization level.</w:t>
      </w:r>
    </w:p>
    <w:p>
      <w:pPr>
        <w:jc w:val="both"/>
        <w:spacing w:before="0" w:after="60" w:line="271" w:lineRule="auto"/>
        <w:ind w:firstLine="432"/>
      </w:pPr>
      <w:r>
        <w:rPr>
          <w:rFonts w:ascii="Times New Roman" w:hAnsi="Times New Roman" w:eastAsia="Times New Roman" w:cs="Times New Roman"/>
          <w:b w:val="0"/>
          <w:i w:val="0"/>
          <w:sz w:val="24"/>
        </w:rPr>
        <w:t>Apple Silicon deserves a specific note here. The M-series chips use a unified memory architecture where the CPU, GPU, and neural engine share the same physical memory pool. This gives them two advantages in the Run Local context: the VRAM capacity is the full system memory (up to 192 GB on an M2 Ultra), and memory bandwidth is competitive with discrete GPUs at a fraction of the power draw. An M3 Max with 128 GB of unified memory can run 70B parameter models at Q4 — something that would require a multi-GPU setup on discrete hardware. The dashboard reflects this accurately because the catalog uses official Apple-published bandwidth figures rather than extrapolations.</w:t>
      </w:r>
    </w:p>
    <w:p>
      <w:pPr>
        <w:jc w:val="both"/>
        <w:spacing w:before="0" w:after="60" w:line="271" w:lineRule="auto"/>
        <w:ind w:firstLine="432"/>
      </w:pPr>
      <w:r>
        <w:rPr>
          <w:rFonts w:ascii="Times New Roman" w:hAnsi="Times New Roman" w:eastAsia="Times New Roman" w:cs="Times New Roman"/>
          <w:b w:val="0"/>
          <w:i w:val="0"/>
          <w:sz w:val="24"/>
        </w:rPr>
        <w:t>The scatter plot uses two visual layers. Compatible models are plotted in full color with marker size proportional to parameter count; incompatible models are shown in a muted gray rather than hidden entirely. Showing incompatible models matters because a user can immediately see how close a model is to fitting — a model requiring 26 GB on a 24 GB GPU might become compatible at the next quantization level down. The intelligence score axis lets the user evaluate the quality tradeoff of quantizing further: dropping from Q8 to Q4 roughly halves VRAM and doubles speed, but may reduce benchmark performance by a few points depending on the model architecture.</w:t>
      </w:r>
    </w:p>
    <w:p>
      <w:pPr>
        <w:jc w:val="both"/>
        <w:spacing w:before="0" w:after="60" w:line="271" w:lineRule="auto"/>
        <w:ind w:firstLine="432"/>
      </w:pPr>
      <w:r>
        <w:rPr>
          <w:rFonts w:ascii="Times New Roman" w:hAnsi="Times New Roman" w:eastAsia="Times New Roman" w:cs="Times New Roman"/>
          <w:b w:val="0"/>
          <w:i w:val="0"/>
          <w:sz w:val="24"/>
        </w:rPr>
        <w:t>Critically, every open-weight model in the catalog carries the same composite intelligence score used throughout the rest of the dashboard. This means a user can directly compare a locally running Llama 3.3 70B at Q4 against GPT-4o or Claude 3.5 Sonnet on the same 0–100 scale. That cross-ecosystem comparison — local hardware versus hosted API, side by side — is the core contribution of this tab and something dedicated local inference tools like Ollama or LM Studio do not provide.</w:t>
      </w:r>
    </w:p>
    <w:p>
      <w:pPr>
        <w:jc w:val="left"/>
        <w:spacing w:before="160" w:after="40"/>
      </w:pPr>
      <w:r>
        <w:rPr>
          <w:rFonts w:ascii="Times New Roman" w:hAnsi="Times New Roman" w:eastAsia="Times New Roman" w:cs="Times New Roman"/>
          <w:b/>
          <w:i/>
          <w:sz w:val="24"/>
        </w:rPr>
        <w:t>4.4  Design Principles</w:t>
      </w:r>
    </w:p>
    <w:p>
      <w:pPr>
        <w:jc w:val="both"/>
        <w:spacing w:before="0" w:after="60" w:line="271" w:lineRule="auto"/>
        <w:ind w:firstLine="432"/>
      </w:pPr>
      <w:r>
        <w:rPr>
          <w:rFonts w:ascii="Times New Roman" w:hAnsi="Times New Roman" w:eastAsia="Times New Roman" w:cs="Times New Roman"/>
          <w:b w:val="0"/>
          <w:i w:val="0"/>
          <w:sz w:val="24"/>
        </w:rPr>
        <w:t>Three decisions carried through all eleven tabs. First, data-ink ratio: gridlines, outer frames, and chart borders were stripped back wherever they add visual weight without encoding information. The dark background (#0a0a0a) with high-contrast data elements reduces perceived clutter compared to a white background at equivalent data density.</w:t>
      </w:r>
    </w:p>
    <w:p>
      <w:pPr>
        <w:jc w:val="both"/>
        <w:spacing w:before="0" w:after="60" w:line="271" w:lineRule="auto"/>
        <w:ind w:firstLine="432"/>
      </w:pPr>
      <w:r>
        <w:rPr>
          <w:rFonts w:ascii="Times New Roman" w:hAnsi="Times New Roman" w:eastAsia="Times New Roman" w:cs="Times New Roman"/>
          <w:b w:val="0"/>
          <w:i w:val="0"/>
          <w:sz w:val="24"/>
        </w:rPr>
        <w:t>Second, colorblind accessibility: each provider gets both a color and a distinct marker shape, kept consistent across all tabs. A user who learns either the colors or the shapes can navigate between tabs without re-reading a legend.</w:t>
      </w:r>
    </w:p>
    <w:p>
      <w:pPr>
        <w:jc w:val="both"/>
        <w:spacing w:before="0" w:after="60" w:line="271" w:lineRule="auto"/>
        <w:ind w:firstLine="432"/>
      </w:pPr>
      <w:r>
        <w:rPr>
          <w:rFonts w:ascii="Times New Roman" w:hAnsi="Times New Roman" w:eastAsia="Times New Roman" w:cs="Times New Roman"/>
          <w:b w:val="0"/>
          <w:i w:val="0"/>
          <w:sz w:val="24"/>
        </w:rPr>
        <w:t>Third, appropriate scales: price axes use log scale throughout. Context window sizes, which range from 8K to over one million tokens, also use log scale. Linear scales for heavily right-skewed distributions hide the variation at the low end, where most models sit.</w:t>
      </w:r>
    </w:p>
    <w:p>
      <w:pPr>
        <w:jc w:val="left"/>
        <w:spacing w:before="160" w:after="40"/>
      </w:pPr>
      <w:r>
        <w:rPr>
          <w:rFonts w:ascii="Times New Roman" w:hAnsi="Times New Roman" w:eastAsia="Times New Roman" w:cs="Times New Roman"/>
          <w:b/>
          <w:i/>
          <w:sz w:val="24"/>
        </w:rPr>
        <w:t>4.5  Technical Stack</w:t>
      </w:r>
    </w:p>
    <w:p>
      <w:pPr>
        <w:jc w:val="both"/>
        <w:spacing w:before="0" w:after="60" w:line="271" w:lineRule="auto"/>
        <w:ind w:firstLine="432"/>
      </w:pPr>
      <w:r>
        <w:rPr>
          <w:rFonts w:ascii="Times New Roman" w:hAnsi="Times New Roman" w:eastAsia="Times New Roman" w:cs="Times New Roman"/>
          <w:b w:val="0"/>
          <w:i w:val="0"/>
          <w:sz w:val="24"/>
        </w:rPr>
        <w:t>The dashboard runs on Plotly Dash, which compiles Python component trees into a live web interface without a JavaScript build step. All visualization logic is in Python using Plotly's graph objects API; Dash handles HTTP routing, callback wiring, and component state. Using a single language for the full stack — data pipeline, computation, and UI — simplified deployment significantly. There is no Node.js dependency, no webpack config, and no separate API server.</w:t>
      </w:r>
    </w:p>
    <w:p>
      <w:pPr>
        <w:jc w:val="both"/>
        <w:spacing w:before="0" w:after="60" w:line="271" w:lineRule="auto"/>
        <w:ind w:firstLine="432"/>
      </w:pPr>
      <w:r>
        <w:rPr>
          <w:rFonts w:ascii="Times New Roman" w:hAnsi="Times New Roman" w:eastAsia="Times New Roman" w:cs="Times New Roman"/>
          <w:b w:val="0"/>
          <w:i w:val="0"/>
          <w:sz w:val="24"/>
        </w:rPr>
        <w:t>The application is hosted on Render, which starts it with python app.py and redeploys automatically on every push to the GitHub repository. The tradeoff is that some UI interactions that would be instant in a React application require a server round-trip in Dash. In practice this was acceptable because the dataset is under one megabyte and most callbacks return in under 200 milliseconds.</w:t>
      </w:r>
    </w:p>
    <w:p>
      <w:pPr>
        <w:jc w:val="left"/>
        <w:spacing w:before="280" w:after="80"/>
      </w:pPr>
      <w:r>
        <w:rPr>
          <w:rFonts w:ascii="Times New Roman" w:hAnsi="Times New Roman" w:eastAsia="Times New Roman" w:cs="Times New Roman"/>
          <w:b/>
          <w:i w:val="0"/>
          <w:sz w:val="26"/>
        </w:rPr>
        <w:t>5.  Contributions</w:t>
      </w:r>
    </w:p>
    <w:p>
      <w:pPr>
        <w:jc w:val="both"/>
        <w:spacing w:before="0" w:after="60" w:line="271" w:lineRule="auto"/>
        <w:ind w:firstLine="432"/>
      </w:pPr>
      <w:r>
        <w:rPr>
          <w:rFonts w:ascii="Times New Roman" w:hAnsi="Times New Roman" w:eastAsia="Times New Roman" w:cs="Times New Roman"/>
          <w:b w:val="0"/>
          <w:i w:val="0"/>
          <w:sz w:val="24"/>
        </w:rPr>
        <w:t>What AI Frontier adds relative to existing tools is the combination of live data with multi-modal coverage. Static leaderboards go stale within days of a new model release. Most pricing tools do not include benchmark scores. AI Frontier scrapes both automatically, covers text generation, image generation, and video generation in one place, and includes local open-weight models alongside API services — a side-by-side comparison that does not exist elsewhere in a unified interface.</w:t>
      </w:r>
    </w:p>
    <w:p>
      <w:pPr>
        <w:jc w:val="both"/>
        <w:spacing w:before="0" w:after="60" w:line="271" w:lineRule="auto"/>
        <w:ind w:firstLine="432"/>
      </w:pPr>
      <w:r>
        <w:rPr>
          <w:rFonts w:ascii="Times New Roman" w:hAnsi="Times New Roman" w:eastAsia="Times New Roman" w:cs="Times New Roman"/>
          <w:b w:val="0"/>
          <w:i w:val="0"/>
          <w:sz w:val="24"/>
        </w:rPr>
        <w:t>The Agent Stack tab translates the raw leaderboard data into a concrete configuration decision. Given a workflow type, it recommends a three-tier model setup — reasoning, balanced, and fast — and surfaces specific model options at each tier. For users building agentic pipelines, this answers the practical question of which model to use for which subtask.</w:t>
      </w:r>
    </w:p>
    <w:p>
      <w:pPr>
        <w:jc w:val="both"/>
        <w:spacing w:before="0" w:after="60" w:line="271" w:lineRule="auto"/>
        <w:ind w:firstLine="432"/>
      </w:pPr>
      <w:r>
        <w:rPr>
          <w:rFonts w:ascii="Times New Roman" w:hAnsi="Times New Roman" w:eastAsia="Times New Roman" w:cs="Times New Roman"/>
          <w:b w:val="0"/>
          <w:i w:val="0"/>
          <w:sz w:val="24"/>
        </w:rPr>
        <w:t>The full data pipeline and all eleven visualization modules are open-source. The dashboard has served live data continuously since March 2026, with over 30 hourly snapshots preserved for trend analysis.</w:t>
      </w:r>
    </w:p>
    <w:p>
      <w:pPr>
        <w:jc w:val="left"/>
        <w:spacing w:before="280" w:after="80"/>
      </w:pPr>
      <w:r>
        <w:rPr>
          <w:rFonts w:ascii="Times New Roman" w:hAnsi="Times New Roman" w:eastAsia="Times New Roman" w:cs="Times New Roman"/>
          <w:b/>
          <w:i w:val="0"/>
          <w:sz w:val="26"/>
        </w:rPr>
        <w:t>6.  Future Work</w:t>
      </w:r>
    </w:p>
    <w:p>
      <w:pPr>
        <w:jc w:val="both"/>
        <w:spacing w:before="0" w:after="60" w:line="271" w:lineRule="auto"/>
        <w:ind w:firstLine="432"/>
      </w:pPr>
      <w:r>
        <w:rPr>
          <w:rFonts w:ascii="Times New Roman" w:hAnsi="Times New Roman" w:eastAsia="Times New Roman" w:cs="Times New Roman"/>
          <w:b w:val="0"/>
          <w:i w:val="0"/>
          <w:sz w:val="24"/>
        </w:rPr>
        <w:t>Several extensions are worth building. Per-category breakdown scores — reasoning, coding, math, and knowledge separately — are collected by Artificial Analysis but not yet surfaced in the Compare tab. Adding them would allow more targeted model selection than a single composite number permits.</w:t>
      </w:r>
    </w:p>
    <w:p>
      <w:pPr>
        <w:jc w:val="both"/>
        <w:spacing w:before="0" w:after="60" w:line="271" w:lineRule="auto"/>
        <w:ind w:firstLine="432"/>
      </w:pPr>
      <w:r>
        <w:rPr>
          <w:rFonts w:ascii="Times New Roman" w:hAnsi="Times New Roman" w:eastAsia="Times New Roman" w:cs="Times New Roman"/>
          <w:b w:val="0"/>
          <w:i w:val="0"/>
          <w:sz w:val="24"/>
        </w:rPr>
        <w:t>The Budget tab currently estimates cost from a token count alone. Prompt caching and multi-turn context accumulation both affect real production API costs and are straightforward to model given the existing pricing data. Fine-tuning cost estimation — factoring in training compute alongside inference pricing — is a related addition that would be useful for teams evaluating whether to fine-tune a cheaper model versus using a better one off-the-shelf.</w:t>
      </w:r>
    </w:p>
    <w:p>
      <w:pPr>
        <w:jc w:val="both"/>
        <w:spacing w:before="0" w:after="60" w:line="271" w:lineRule="auto"/>
        <w:ind w:firstLine="432"/>
      </w:pPr>
      <w:r>
        <w:rPr>
          <w:rFonts w:ascii="Times New Roman" w:hAnsi="Times New Roman" w:eastAsia="Times New Roman" w:cs="Times New Roman"/>
          <w:b w:val="0"/>
          <w:i w:val="0"/>
          <w:sz w:val="24"/>
        </w:rPr>
        <w:t>Measured API latency by region is the other obvious addition. Published time-to-first-token medians from provider spec sheets are not always consistent with real-world performance under load. The hourly polling infrastructure is already in place; extending it to include synthetic request timing would give a more complete operational picture. A mobile-optimized layout is also on the list — several tabs assume a wide desktop viewport and would need reworking for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60" w:line="271" w:lineRule="auto"/>
        <w:ind w:firstLine="432"/>
      </w:pPr>
      <w:r>
        <w:rPr>
          <w:rFonts w:ascii="Times New Roman" w:hAnsi="Times New Roman" w:eastAsia="Times New Roman" w:cs="Times New Roman"/>
          <w:b w:val="0"/>
          <w:i w:val="0"/>
          <w:sz w:val="24"/>
        </w:rPr>
        <w:t>AI Frontier demonstrates that a practical, continuously updated data visualization tool can be built and deployed entirely in Python without sacrificing interactivity or visual quality. The dashboard aggregates live data from multiple sources, applies a composite benchmark scoring methodology, and presents the results through eleven distinct visualization types — each chosen to answer a specific class of user question. The project is publicly accessible, open-source, and has remained operational since March 2026.</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