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r9wosujv2kj" w:id="0"/>
      <w:bookmarkEnd w:id="0"/>
      <w:r w:rsidDel="00000000" w:rsidR="00000000" w:rsidRPr="00000000">
        <w:rPr>
          <w:sz w:val="240"/>
          <w:szCs w:val="240"/>
          <w:rtl w:val="0"/>
        </w:rPr>
        <w:t xml:space="preserve">🛟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ijm7uz2ha2oa" w:id="1"/>
      <w:bookmarkEnd w:id="1"/>
      <w:r w:rsidDel="00000000" w:rsidR="00000000" w:rsidRPr="00000000">
        <w:rPr>
          <w:rtl w:val="0"/>
        </w:rPr>
        <w:t xml:space="preserve">INCIDENT RESPONSE PLAN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Incident Response Plan (IRP)</w:t>
      </w:r>
      <w:r w:rsidDel="00000000" w:rsidR="00000000" w:rsidRPr="00000000">
        <w:rPr>
          <w:rtl w:val="0"/>
        </w:rPr>
        <w:t xml:space="preserve"> provides a structured approach for detecting, responding to, and recovering from cybersecurity incidents. Below is a detailed IRP tailored for a cybersecurity team associated with Capybara Unlimited, a medium-sized organization.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this detailed IRP, cybersecurity teams can ensure they are prepared to handle incidents efficiently and minimize their impact on the organization.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