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74"/>
          <w:szCs w:val="74"/>
        </w:rPr>
      </w:pPr>
      <w:bookmarkStart w:colFirst="0" w:colLast="0" w:name="_ip0vwvbbks3i" w:id="0"/>
      <w:bookmarkEnd w:id="0"/>
      <w:r w:rsidDel="00000000" w:rsidR="00000000" w:rsidRPr="00000000">
        <w:rPr>
          <w:sz w:val="74"/>
          <w:szCs w:val="74"/>
          <w:rtl w:val="0"/>
        </w:rPr>
        <w:t xml:space="preserve">MEGAQUAGGA </w:t>
      </w:r>
    </w:p>
    <w:p w:rsidR="00000000" w:rsidDel="00000000" w:rsidP="00000000" w:rsidRDefault="00000000" w:rsidRPr="00000000" w14:paraId="00000002">
      <w:pPr>
        <w:pStyle w:val="Title"/>
        <w:rPr>
          <w:sz w:val="74"/>
          <w:szCs w:val="74"/>
        </w:rPr>
      </w:pPr>
      <w:bookmarkStart w:colFirst="0" w:colLast="0" w:name="_x86683mcia7" w:id="1"/>
      <w:bookmarkEnd w:id="1"/>
      <w:r w:rsidDel="00000000" w:rsidR="00000000" w:rsidRPr="00000000">
        <w:rPr>
          <w:sz w:val="74"/>
          <w:szCs w:val="74"/>
          <w:rtl w:val="0"/>
        </w:rPr>
        <w:t xml:space="preserve">VULNERABILITY ASSESSMENT</w:t>
      </w:r>
    </w:p>
    <w:p w:rsidR="00000000" w:rsidDel="00000000" w:rsidP="00000000" w:rsidRDefault="00000000" w:rsidRPr="00000000" w14:paraId="00000003">
      <w:pPr>
        <w:pStyle w:val="Subtitle"/>
        <w:jc w:val="center"/>
        <w:rPr/>
      </w:pPr>
      <w:bookmarkStart w:colFirst="0" w:colLast="0" w:name="_iu6b7z7nd2au" w:id="2"/>
      <w:bookmarkEnd w:id="2"/>
      <w:r w:rsidDel="00000000" w:rsidR="00000000" w:rsidRPr="00000000">
        <w:rPr>
          <w:rtl w:val="0"/>
        </w:rPr>
        <w:t xml:space="preserve">Performed by Avon Cole between 2025/12/21 and 2025/12/23 on behalf of 0x2A Security.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rPr/>
      </w:pPr>
      <w:bookmarkStart w:colFirst="0" w:colLast="0" w:name="_ml0s2umyv7ox" w:id="3"/>
      <w:bookmarkEnd w:id="3"/>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The MegaQuagga assessment found that critical security weaknesses are concentrated on hosts 10.20.30.10 and 10.20.30.12, with a smaller but still important set on 10.20.30.11. These issues could let attackers disrupt services, steal data, or gain unauthorized control of systems, creating serious business, legal, and reputational risk. Most remediation advice follows clear patterns: promptly apply missing security patches to the operating system and applications, correct weak or outdated configurations, and remove or restrict unnecessary services to reduce the attack surface. Urgent actions should focus first on fixing the highest‑risk items on 10.20.30.10 and 10.20.30.12, then addressing remaining issues on 10.20.30.11 and confirming fixes with follow‑up scans. Taking these steps will strengthen overall security, reduce exposure to cyber threats, and improve system stability and stakeholder confidence. In addition, resolving these weaknesses will help align MegaQuagga with industry best practices for vulnerability management, demonstrating a proactive approach to protecting customer and internal data. Regular patching and configuration hardening will reduce the number of exploitable entry points available to attackers, lowering the likelihood of ransomware, account compromise, or service outages. Implementing a recurring vulnerability assessment program,supported by clear ownership, deadlines, and progress tracking—will allow leadership to monitor risk trends over time and ensure that new systems are deployed securely from the start. Finally, documenting remediation decisions and outcomes will support audit readiness and make it easier to communicate risk status to executives, regulators, and partners, reinforcing trust in MegaQuagga’s commitment to safeguarding its technology assets and information.</w:t>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4310063" cy="2659253"/>
            <wp:effectExtent b="0" l="0" r="0" t="0"/>
            <wp:docPr descr="Chart" id="2"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4310063" cy="265925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3670300"/>
            <wp:effectExtent b="0" l="0" r="0" t="0"/>
            <wp:docPr descr="Chart" id="1" name="image2.png"/>
            <a:graphic>
              <a:graphicData uri="http://schemas.openxmlformats.org/drawingml/2006/picture">
                <pic:pic>
                  <pic:nvPicPr>
                    <pic:cNvPr descr="Chart" id="0" name="image2.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