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35C73" w14:textId="77777777" w:rsidR="00D275ED" w:rsidRPr="007E0A05" w:rsidRDefault="00D275ED" w:rsidP="00D275ED">
      <w:pPr>
        <w:spacing w:after="240"/>
        <w:jc w:val="both"/>
        <w:rPr>
          <w:b/>
          <w:sz w:val="28"/>
          <w:szCs w:val="28"/>
        </w:rPr>
      </w:pPr>
      <w:r w:rsidRPr="007E0A05">
        <w:rPr>
          <w:b/>
          <w:sz w:val="28"/>
          <w:szCs w:val="28"/>
        </w:rPr>
        <w:t>Extract from Section 12.2.2 Summary data acquisition on Costs and Potentials</w:t>
      </w:r>
    </w:p>
    <w:p w14:paraId="548E98C5" w14:textId="77777777" w:rsidR="00D275ED" w:rsidRDefault="00D275ED" w:rsidP="00D275ED">
      <w:pPr>
        <w:spacing w:after="240"/>
        <w:jc w:val="both"/>
      </w:pPr>
      <w:r w:rsidRPr="7AA9A5A2">
        <w:t xml:space="preserve">Firstly, a brief overview of the process of data collection is presented, with a more detailed overview being found in Supplementary Material SM 12.A.2. For the energy sector, the starting point for the determination of the emission reduction potentials was </w:t>
      </w:r>
      <w:r w:rsidRPr="70E8E214">
        <w:t>the Emissions Gap Report</w:t>
      </w:r>
      <w:r w:rsidRPr="7AA9A5A2">
        <w:t xml:space="preserve"> </w:t>
      </w:r>
      <w:r w:rsidRPr="7AA9A5A2">
        <w:fldChar w:fldCharType="begin" w:fldLock="1"/>
      </w:r>
      <w:r w:rsidRPr="7AA9A5A2">
        <w:instrText>ADDIN CSL_CITATION {"citationItems":[{"id":"ITEM-1","itemData":{"DOI":"10.18356/1cf881fb-en","ISBN":"9789210479691","author":[{"dropping-particle":"","family":"UNEP","given":"","non-dropping-particle":"","parse-names":false,"suffix":""}],"id":"ITEM-1","issued":{"date-parts":[["2017"]]},"number-of-pages":"112","publisher":"United Nations Environment Programme (UNEP)","publisher-place":"Nairobi, Kenya","title":"The Emissions Gap Report 2017","type":"book"},"uris":["http://www.mendeley.com/documents/?uuid=83062ce1-ef24-4cfe-9862-8f6298c4efa2"]}],"mendeley":{"formattedCitation":"(UNEP 2017)","plainTextFormattedCitation":"(UNEP 2017)","previouslyFormattedCitation":"(UNEP 2017)"},"properties":{"noteIndex":0},"schema":"https://github.com/citation-style-language/schema/raw/master/csl-citation.json"}</w:instrText>
      </w:r>
      <w:r w:rsidRPr="7AA9A5A2">
        <w:fldChar w:fldCharType="separate"/>
      </w:r>
      <w:r w:rsidRPr="7AA9A5A2">
        <w:rPr>
          <w:noProof/>
        </w:rPr>
        <w:t>(UNEP 2017)</w:t>
      </w:r>
      <w:r w:rsidRPr="7AA9A5A2">
        <w:fldChar w:fldCharType="end"/>
      </w:r>
      <w:r w:rsidRPr="7AA9A5A2">
        <w:t xml:space="preserve">, but new literature was also assessed, and a few studies that provide updated estimates of the mitigation potentials were </w:t>
      </w:r>
      <w:r w:rsidRPr="14AE85A6">
        <w:t>included.</w:t>
      </w:r>
      <w:r w:rsidRPr="7AA9A5A2">
        <w:t xml:space="preserve"> It was found that higher mitigation potentials than in the UNEP report are now reported for solar and wind energy, but at the same time electricity production by solar and wind energy in the reference scenario has increased, compared to earlier versions of the World Energy Outlook. The net effect is a modest increase of the average value of the potential, and a wider uncertainty range. </w:t>
      </w:r>
      <w:r w:rsidRPr="14AE85A6">
        <w:t>Costs</w:t>
      </w:r>
      <w:r w:rsidRPr="7AA9A5A2">
        <w:t xml:space="preserve"> of electricity generating technologies are discussed in Chapter 6, (</w:t>
      </w:r>
      <w:r>
        <w:t>S</w:t>
      </w:r>
      <w:r w:rsidRPr="7AA9A5A2">
        <w:t>ection 6.4</w:t>
      </w:r>
      <w:r>
        <w:t>.7</w:t>
      </w:r>
      <w:r w:rsidRPr="7AA9A5A2">
        <w:t xml:space="preserve">) with a summary of LCOEs from the literature being presented in </w:t>
      </w:r>
      <w:r>
        <w:t xml:space="preserve">Section </w:t>
      </w:r>
      <w:r w:rsidRPr="7AA9A5A2">
        <w:t xml:space="preserve">6.4.7. Mitigation costs of electricity production technology depend on local conditions and on the baseline technology being displaced, and it is difficult to determine the distribution over the cost ranges used in this assessment. However, it is possible to indicate a broad cost range for these technologies. These cost ranges are </w:t>
      </w:r>
      <w:r>
        <w:t>presented</w:t>
      </w:r>
      <w:r w:rsidRPr="7AA9A5A2">
        <w:t xml:space="preserve"> in Table 12.3. For</w:t>
      </w:r>
      <w:r>
        <w:t xml:space="preserve"> onshore</w:t>
      </w:r>
      <w:r w:rsidRPr="7AA9A5A2">
        <w:t xml:space="preserve"> wind and utility scale solar energy, there </w:t>
      </w:r>
      <w:r>
        <w:t xml:space="preserve">is </w:t>
      </w:r>
      <w:r w:rsidRPr="7AA9A5A2">
        <w:t>strong evidence that despite regional difference in</w:t>
      </w:r>
      <w:r>
        <w:t xml:space="preserve"> resource potential and cost, </w:t>
      </w:r>
      <w:r w:rsidRPr="7AA9A5A2">
        <w:t xml:space="preserve">a large part of the </w:t>
      </w:r>
      <w:r>
        <w:t xml:space="preserve">mitigation </w:t>
      </w:r>
      <w:r w:rsidRPr="7AA9A5A2">
        <w:t>potential can be found in the negative cost category or at cost parity</w:t>
      </w:r>
      <w:r>
        <w:t xml:space="preserve"> </w:t>
      </w:r>
      <w:r w:rsidRPr="7AA9A5A2">
        <w:t>with fossil fuel based options.</w:t>
      </w:r>
      <w:r>
        <w:t xml:space="preserve"> This is also the case for nuclear energy in some regions. Other technologies show mostly positive mitigation potentials, the highest mitigation costs are for CCS, bioelectricity with CCS, for details see Supplementary Material SM 12.A.2.</w:t>
      </w:r>
      <w:r w:rsidRPr="7AA9A5A2">
        <w:t xml:space="preserve"> </w:t>
      </w:r>
    </w:p>
    <w:p w14:paraId="7D87941B" w14:textId="77777777" w:rsidR="00D275ED" w:rsidRDefault="00D275ED" w:rsidP="00D275ED">
      <w:pPr>
        <w:spacing w:after="240"/>
        <w:jc w:val="both"/>
      </w:pPr>
      <w:r w:rsidRPr="32EFFB49">
        <w:t>For the AFOLU sector, assessments of global net emission reduction studies were provided by Chapter 7 (Table 7.3). The number of studies depends on the type of mitigation action, but ranges from 5 to 9. Each of these studies relies on a much larger number of underlying data sources. From these studies, emission reduction ranges and best estimates were derived. The studies presented refer to different years in the period 2020 to 2050, and the mitigation potential presented for AFOLU primarily refers to the average over the period 2020 to 2050. However, because most of the activities involve storage of carbon in stocks that accumulate carbon, or conversely decay over time (e.g., forests, mangroves, peatland soils, agricultural soils, wood products), the 2020 to 2050 average provides a good approximation of the amount of permanent atmospheric CO</w:t>
      </w:r>
      <w:r w:rsidRPr="32EFFB49">
        <w:rPr>
          <w:vertAlign w:val="subscript"/>
        </w:rPr>
        <w:t>2</w:t>
      </w:r>
      <w:r w:rsidRPr="32EFFB49">
        <w:t xml:space="preserve"> mitigation that could be available at a given price in 2030. The exception is BECCS which is in an early upscaling phase, so the potential estimated by Chapter 7 as an average for the 2020 to 2050 period is not included in Table 12.3. Note that for the energy sector a small potential for BECCS has already been provided. </w:t>
      </w:r>
    </w:p>
    <w:p w14:paraId="5549C824" w14:textId="77777777" w:rsidR="00D275ED" w:rsidRDefault="00D275ED" w:rsidP="00D275ED">
      <w:pPr>
        <w:spacing w:after="240"/>
        <w:jc w:val="both"/>
      </w:pPr>
      <w:r w:rsidRPr="32EFFB49">
        <w:t xml:space="preserve">The emission reduction potentials for the buildings sector were based on the analysis by Chapter 9 authors of a large number of sectoral  studies for individual countries or regions. In total, the chapter analysed the results of 67 studies </w:t>
      </w:r>
      <w:r w:rsidRPr="2EA86349">
        <w:t xml:space="preserve">that </w:t>
      </w:r>
      <w:r w:rsidRPr="32EFFB49">
        <w:t xml:space="preserve">assess the potential of technological energy efficiency and onsite renewable energy production and use, and the results of 11 studies </w:t>
      </w:r>
      <w:r w:rsidRPr="2EA86349">
        <w:t xml:space="preserve">that </w:t>
      </w:r>
      <w:r w:rsidRPr="32EFFB49">
        <w:t xml:space="preserve">assess the potential of sufficiency measures helping  avoid demand for energy and materials. The sufficiency measures were included in models by reorganization of human activities, </w:t>
      </w:r>
      <w:r w:rsidRPr="32EFFB49">
        <w:rPr>
          <w:lang w:val="de"/>
        </w:rPr>
        <w:t xml:space="preserve">efficient </w:t>
      </w:r>
      <w:r w:rsidRPr="32EFFB49">
        <w:t xml:space="preserve">design, planning, and use of building space, higher density of building and settlement inhabitancy, redefining and downsizing goods and equipment, limiting their use to health, living, and working standards, and their sharing. Most of these studies targeted 2050 for the decarbonisation of buildings; the potentials in 2030 reported here rely on the estimates for 2030 provided by these studies or on the interpolated estimates targeting these </w:t>
      </w:r>
      <w:r w:rsidRPr="32EFFB49">
        <w:lastRenderedPageBreak/>
        <w:t xml:space="preserve">2050 figures. Based on these individual country studies, regional aggregate emission reduction percentages were found. The potential estimates were assembled in the order sufficiency, efficiency, renewable options, correcting the amount of the potential at each step for the interaction </w:t>
      </w:r>
      <w:r w:rsidRPr="0A18DC8E">
        <w:t>with</w:t>
      </w:r>
      <w:r w:rsidRPr="32EFFB49">
        <w:t xml:space="preserve"> </w:t>
      </w:r>
      <w:r w:rsidRPr="2EA86349">
        <w:t>preceding</w:t>
      </w:r>
      <w:r w:rsidRPr="32EFFB49">
        <w:t xml:space="preserve"> measures. Note that the option ‘Enhanced use of wood products’ was analysed by Chapter 7, but is listed under the buildings sector in Table 12.3, as such enhanced use of wood takes place predominantly in the construction sector.  </w:t>
      </w:r>
    </w:p>
    <w:p w14:paraId="0A90027F" w14:textId="77777777" w:rsidR="00D275ED" w:rsidRDefault="00D275ED" w:rsidP="00D275ED">
      <w:pPr>
        <w:spacing w:after="240"/>
        <w:jc w:val="both"/>
      </w:pPr>
      <w:r w:rsidRPr="00471DA5">
        <w:t xml:space="preserve">For the transport sector, Chapter 10 </w:t>
      </w:r>
      <w:r w:rsidRPr="0C050EAE">
        <w:t xml:space="preserve">provided data </w:t>
      </w:r>
      <w:r>
        <w:t>on the emission reduction potential for shipping</w:t>
      </w:r>
      <w:r w:rsidRPr="0C050EAE">
        <w:t>.</w:t>
      </w:r>
      <w:r>
        <w:t xml:space="preserve"> For the other transportation modes, </w:t>
      </w:r>
      <w:r w:rsidRPr="00471DA5">
        <w:t xml:space="preserve">additional sources </w:t>
      </w:r>
      <w:r>
        <w:t xml:space="preserve">were used </w:t>
      </w:r>
      <w:r w:rsidRPr="00471DA5">
        <w:t>to achieve a complete overview of emission reduction potentials</w:t>
      </w:r>
      <w:r>
        <w:t xml:space="preserve"> (for further details, see Supplementary Material 12.A.2)</w:t>
      </w:r>
      <w:r w:rsidRPr="00471DA5">
        <w:t>.</w:t>
      </w:r>
      <w:r>
        <w:t xml:space="preserve"> A limited number of estimates for global emission reduction potential is available</w:t>
      </w:r>
      <w:r w:rsidRPr="0C050EAE">
        <w:t>:</w:t>
      </w:r>
      <w:r>
        <w:t xml:space="preserve"> the total number of sources is about 10, </w:t>
      </w:r>
      <w:r w:rsidRPr="0C050EAE">
        <w:t xml:space="preserve">and </w:t>
      </w:r>
      <w:r>
        <w:t>some estimates rely on just one source. The data have been coordinated with Chapter 10 authors.</w:t>
      </w:r>
      <w:r w:rsidRPr="00471DA5">
        <w:t xml:space="preserve"> </w:t>
      </w:r>
    </w:p>
    <w:p w14:paraId="51BC6773" w14:textId="77777777" w:rsidR="00D275ED" w:rsidRDefault="00D275ED" w:rsidP="00D275ED">
      <w:pPr>
        <w:spacing w:after="240"/>
        <w:jc w:val="both"/>
      </w:pPr>
      <w:r w:rsidRPr="00471DA5">
        <w:t xml:space="preserve">For the industrial sector, global emission reduction potentials per technology class </w:t>
      </w:r>
      <w:r>
        <w:t xml:space="preserve">per sector </w:t>
      </w:r>
      <w:r w:rsidRPr="00471DA5">
        <w:t xml:space="preserve">were derived by Chapter 11 authors, </w:t>
      </w:r>
      <w:r>
        <w:t>using primarily sectoral or technology-oriented literature</w:t>
      </w:r>
      <w:r w:rsidRPr="00471DA5">
        <w:t>.</w:t>
      </w:r>
      <w:r>
        <w:t xml:space="preserve"> The analysis is based on about 75 studies, including sectoral assessments.</w:t>
      </w:r>
    </w:p>
    <w:p w14:paraId="43D99226" w14:textId="77777777" w:rsidR="00D275ED" w:rsidRDefault="00D275ED" w:rsidP="00D275ED">
      <w:pPr>
        <w:spacing w:after="240"/>
        <w:jc w:val="both"/>
      </w:pPr>
      <w:r>
        <w:t xml:space="preserve">For methane emission reduction from oil and gas operations, coal mining, waste treatment and wastewater, an analysis was done, based on three major data sources in this area </w:t>
      </w:r>
      <w:r>
        <w:fldChar w:fldCharType="begin" w:fldLock="1"/>
      </w:r>
      <w:r>
        <w:instrText>ADDIN CSL_CITATION {"citationItems":[{"id":"ITEM-1","itemData":{"author":[{"dropping-particle":"","family":"US EPA","given":"","non-dropping-particle":"","parse-names":false,"suffix":""}],"id":"ITEM-1","issued":{"date-parts":[["2019"]]},"number-of-pages":"78","publisher":"United States Environmental Protection Agency","publisher-place":"Washingto, D.C.","title":"Global Non-CO2 Greenhouse Gas Emission Projections &amp; Mitigation 2015-2050","type":"report"},"uris":["http://www.mendeley.com/documents/?uuid=1da2de30-7085-4dd4-86a2-81223848d606"]},{"id":"ITEM-2","itemData":{"DOI":"10.1016/j.envsci.2019.05.013","ISSN":"1462-9011","abstract":"This study presents a new comprehensive set of long-term Marginal Abatement Cost (MAC) curves of all major non-CO2 greenhouse gas emission sources. The work builds on existing short-term MAC curve datasets and recent literature on individual mitigation measures. The new MAC curves include current technology and costs information as well as estimates of technology development and removal of implementation barriers to capture long-term dynamics. Compared to earlier work, we find a higher projected maximum reduction potential (MRP) of nitrous oxide (N2O) and a lower MRP of methane (CH4). The combined MRP for all non-CO2 gases is similar but has been extended to also capture mitigation measures that can be realized at higher implementation costs. When applying the new MAC curves in a cost-optimal, integrated assessment model-based 2.6 W/m2 scenario, the total non-CO2 mitigation is projected to be 10.9 Mt CO2 equivalents in 2050 (i.e. 58% reduction compared to baseline emissions) and 15.6 Mt CO2equivalents in 2100 (i.e. a 71% reduction). In applying the new MAC curves, we account for inertia in thline implementation speed of mitigation measures. Although this does not strongly impact results in an optimal strategy, it means that the contribution of non-CO2 mitigation could be more limited if ambitious climate policy is delayed.","author":[{"dropping-particle":"","family":"Harmsen","given":"J H M","non-dropping-particle":"","parse-names":false,"suffix":""},{"dropping-particle":"","family":"Vuuren","given":"Detlef P","non-dropping-particle":"van","parse-names":false,"suffix":""},{"dropping-particle":"","family":"Nayak","given":"Dali R","non-dropping-particle":"","parse-names":false,"suffix":""},{"dropping-particle":"","family":"Hof","given":"Andries F","non-dropping-particle":"","parse-names":false,"suffix":""},{"dropping-particle":"","family":"Höglund-Isaksson","given":"Lena","non-dropping-particle":"","parse-names":false,"suffix":""},{"dropping-particle":"","family":"Lucas","given":"Paul L","non-dropping-particle":"","parse-names":false,"suffix":""},{"dropping-particle":"","family":"Nielsen","given":"Jens B","non-dropping-particle":"","parse-names":false,"suffix":""},{"dropping-particle":"","family":"Smith","given":"Pete","non-dropping-particle":"","parse-names":false,"suffix":""},{"dropping-particle":"","family":"Stehfest","given":"Elke","non-dropping-particle":"","parse-names":false,"suffix":""}],"container-title":"Environmental Science &amp; Policy","id":"ITEM-2","issued":{"date-parts":[["2019"]]},"page":"136-149","title":"Long-term marginal abatement cost curves of non-CO2 greenhouse gases","type":"article-journal","volume":"99"},"uris":["http://www.mendeley.com/documents/?uuid=c2b11225-0552-4bcf-b09c-8ae79fbc23fb"]},{"id":"ITEM-3","itemData":{"DOI":"10.1088/2515-7620/ab7457","abstract":"Methane is the second most important greenhouse gas after carbon dioxide contributing to human-made global warming. Keeping to the Paris Agreement of staying well below two degrees warming will require a concerted effort to curb methane emissions in addition to necessary decarbonization of the energy systems. The fastest way to achieve emission reductions in the 2050 timeframe is likely through implementation of various technical options. The focus of this study is to explore the technical abatement and cost pathways for reducing global methane emissions, breaking reductions down to regional and sector levels using the most recent version of IIASA's Greenhouse gas and Air pollution Interactions and Synergies (GAINS) model. The diverse human activities that contribute to methane emissions make detailed information on potential global impacts of actions at the regional and sectoral levels particularly valuable for policy-makers. With a global annual inventory for 1990-2015 as starting point for projections, we produce a baseline emission scenario to 2050 against which future technical abatement potentials and costs are assessed at a country and sector/technology level. We find it technically feasible in year 2050 to remove 54 percent of global methane emissions below baseline, however, due to locked in capital in the short run, the cumulative removal potential over the period 2020-2050 is estimated at 38 percent below baseline. This leaves 7.7 Pg methane released globally between today and 2050 that will likely be difficult to remove through technical solutions. There are extensive technical opportunities at low costs to control emissions from waste and wastewater handling and from fossil fuel production and use. A considerably more limited technical abatement potential is found for agricultural emissions, in particular from extensive livestock rearing in developing countries. This calls for widespread implementation in the 2050 timeframe of institutional and behavioural options in addition to technical solutions.","author":[{"dropping-particle":"","family":"Höglund-Isaksson","given":"Lena","non-dropping-particle":"","parse-names":false,"suffix":""},{"dropping-particle":"","family":"Gómez-Sanabria","given":"Adriana","non-dropping-particle":"","parse-names":false,"suffix":""},{"dropping-particle":"","family":"Klimont","given":"Zbigniew","non-dropping-particle":"","parse-names":false,"suffix":""},{"dropping-particle":"","family":"Rafaj","given":"Peter","non-dropping-particle":"","parse-names":false,"suffix":""},{"dropping-particle":"","family":"Schöpp","given":"Wolfgang","non-dropping-particle":"","parse-names":false,"suffix":""},{"dropping-particle":"","family":"Hoglund-Isaksson","given":"Lena","non-dropping-particle":"","parse-names":false,"suffix":""},{"dropping-particle":"","family":"Gomez-Sanabria","given":"A","non-dropping-particle":"","parse-names":false,"suffix":""},{"dropping-particle":"","family":"Klimont","given":"Zbigniew","non-dropping-particle":"","parse-names":false,"suffix":""},{"dropping-particle":"","family":"Rafaj","given":"Peter","non-dropping-particle":"","parse-names":false,"suffix":""},{"dropping-particle":"","family":"Schopp","given":"W","non-dropping-particle":"","parse-names":false,"suffix":""},{"dropping-particle":"","family":"Höglund-Isaksson","given":"Lena","non-dropping-particle":"","parse-names":false,"suffix":""},{"dropping-particle":"","family":"Gómez-Sanabria","given":"Adriana","non-dropping-particle":"","parse-names":false,"suffix":""},{"dropping-particle":"","family":"Klimont","given":"Zbigniew","non-dropping-particle":"","parse-names":false,"suffix":""},{"dropping-particle":"","family":"Rafaj","given":"Peter","non-dropping-particle":"","parse-names":false,"suffix":""},{"dropping-particle":"","family":"Schöpp","given":"Wolfgang","non-dropping-particle":"","parse-names":false,"suffix":""}],"container-title":"Environmental Research Communications","id":"ITEM-3","issue":"2","issued":{"date-parts":[["2020","2"]]},"page":"25004","publisher":"IOP Publishing","title":"Technical potentials and costs for reducing global anthropogenic methane emissions in the 2050 timeframe –results from the GAINS model","type":"article-journal","volume":"2"},"uris":["http://www.mendeley.com/documents/?uuid=34aec166-58bd-4da2-a3f3-66fcd41cec34"]}],"mendeley":{"formattedCitation":"(US EPA 2019; Harmsen et al. 2019; Höglund-Isaksson et al. 2020)","plainTextFormattedCitation":"(US EPA 2019; Harmsen et al. 2019; Höglund-Isaksson et al. 2020)","previouslyFormattedCitation":"(US EPA 2019; Harmsen et al. 2019; Höglund-Isaksson et al. 2020)"},"properties":{"noteIndex":0},"schema":"https://github.com/citation-style-language/schema/raw/master/csl-citation.json"}</w:instrText>
      </w:r>
      <w:r>
        <w:fldChar w:fldCharType="separate"/>
      </w:r>
      <w:r w:rsidRPr="00AE1249">
        <w:rPr>
          <w:noProof/>
        </w:rPr>
        <w:t>(US EPA 2019; Harmsen et al. 2019; Höglund-Isaksson et al. 2020)</w:t>
      </w:r>
      <w:r>
        <w:fldChar w:fldCharType="end"/>
      </w:r>
      <w:r>
        <w:t xml:space="preserve">, and for oil and gas operations complemented by </w:t>
      </w:r>
      <w:r>
        <w:fldChar w:fldCharType="begin" w:fldLock="1"/>
      </w:r>
      <w:r>
        <w:instrText>ADDIN CSL_CITATION {"citationItems":[{"id":"ITEM-1","itemData":{"URL":"https://www.iea.org/articles/methane-tracker-database","accessed":{"date-parts":[["2021","9","20"]]},"author":[{"dropping-particle":"","family":"IEA","given":"","non-dropping-particle":"","parse-names":false,"suffix":""}],"id":"ITEM-1","issued":{"date-parts":[["2021"]]},"publisher":"International Energy Agency (IEA)","publisher-place":"Paris, France","title":"Methane Tracker Database","type":"webpage"},"uris":["http://www.mendeley.com/documents/?uuid=bf452186-c9f0-46f6-8efb-4a3fadc8d39f"]}],"mendeley":{"formattedCitation":"(IEA 2021a)","plainTextFormattedCitation":"(IEA 2021a)","previouslyFormattedCitation":"(IEA 2021a)"},"properties":{"noteIndex":0},"schema":"https://github.com/citation-style-language/schema/raw/master/csl-citation.json"}</w:instrText>
      </w:r>
      <w:r>
        <w:fldChar w:fldCharType="separate"/>
      </w:r>
      <w:r w:rsidRPr="00630965">
        <w:rPr>
          <w:noProof/>
        </w:rPr>
        <w:t>(IEA 2021a)</w:t>
      </w:r>
      <w:r>
        <w:fldChar w:fldCharType="end"/>
      </w:r>
      <w:r>
        <w:t>. A similar analysis for reductions of emissions of fluorinated gases was carried out based on analysis by the same institutes</w:t>
      </w:r>
      <w:r w:rsidRPr="00471DA5">
        <w:t xml:space="preserve"> </w:t>
      </w:r>
      <w:r>
        <w:fldChar w:fldCharType="begin" w:fldLock="1"/>
      </w:r>
      <w:r>
        <w:instrText>ADDIN CSL_CITATION {"citationItems":[{"id":"ITEM-1","itemData":{"DOI":"10.5194/acp-17-2795-2017","ISSN":"1680-7324","abstract":"Abstract. This study uses the GAINS model framework to estimate current and future emissions of fluorinated greenhouse gases (F-gases), their abatement potentials, and costs for twenty source sectors and 162 countries and regions, which are aggregated to produce global estimates. Global F-gas (HFCs, PFCs, and SF6) emissions are estimated at 0.7 Pg CO2 eq. in 2005 with an expected increase to 3.7 Pg CO2 eq. in 2050 if application of control technology remains at the current level. There are extensive opportunities to reduce emissions using existing technology and alternative substances with low global warming potential. Estimates show that it would be technically feasible to reduce cumulative F-gas emissions from 81 to 11 Pg CO2 eq. between 2018 and 2050. A reduction in cumulative emissions to 23 Pg CO2 eq. is estimated to be possible at a marginal abatement cost below 10 EUR t−1 CO2 eq. We also find that future F-gas abatement is expected to become relatively more costly for developing than developed countries due to differences in the sector contribution to emissions and abatement potentials.","author":[{"dropping-particle":"","family":"Purohit","given":"Pallav","non-dropping-particle":"","parse-names":false,"suffix":""},{"dropping-particle":"","family":"Höglund-Isaksson","given":"Lena","non-dropping-particle":"","parse-names":false,"suffix":""}],"container-title":"Atmospheric Chemistry and Physics","id":"ITEM-1","issue":"4","issued":{"date-parts":[["2017","2"]]},"page":"2795-2816","publisher":"Copernicus GmbH","title":"Global emissions of fluorinated greenhouse gases 2005–2050 with abatement potentials and costs","type":"article-journal","volume":"17"},"uris":["http://www.mendeley.com/documents/?uuid=85b151d0-bc91-4e01-8a62-1a78b321acd5"]},{"id":"ITEM-2","itemData":{"author":[{"dropping-particle":"","family":"US EPA","given":"","non-dropping-particle":"","parse-names":false,"suffix":""}],"id":"ITEM-2","issued":{"date-parts":[["2019"]]},"number-of-pages":"78","publisher":"United States Environmental Protection Agency","publisher-place":"Washingto, D.C.","title":"Global Non-CO2 Greenhouse Gas Emission Projections &amp; Mitigation 2015-2050","type":"report"},"uris":["http://www.mendeley.com/documents/?uuid=1da2de30-7085-4dd4-86a2-81223848d606"]},{"id":"ITEM-3","itemData":{"DOI":"10.1016/j.envsci.2019.05.013","ISSN":"1462-9011","abstract":"This study presents a new comprehensive set of long-term Marginal Abatement Cost (MAC) curves of all major non-CO2 greenhouse gas emission sources. The work builds on existing short-term MAC curve datasets and recent literature on individual mitigation measures. The new MAC curves include current technology and costs information as well as estimates of technology development and removal of implementation barriers to capture long-term dynamics. Compared to earlier work, we find a higher projected maximum reduction potential (MRP) of nitrous oxide (N2O) and a lower MRP of methane (CH4). The combined MRP for all non-CO2 gases is similar but has been extended to also capture mitigation measures that can be realized at higher implementation costs. When applying the new MAC curves in a cost-optimal, integrated assessment model-based 2.6 W/m2 scenario, the total non-CO2 mitigation is projected to be 10.9 Mt CO2 equivalents in 2050 (i.e. 58% reduction compared to baseline emissions) and 15.6 Mt CO2equivalents in 2100 (i.e. a 71% reduction). In applying the new MAC curves, we account for inertia in thline implementation speed of mitigation measures. Although this does not strongly impact results in an optimal strategy, it means that the contribution of non-CO2 mitigation could be more limited if ambitious climate policy is delayed.","author":[{"dropping-particle":"","family":"Harmsen","given":"J H M","non-dropping-particle":"","parse-names":false,"suffix":""},{"dropping-particle":"","family":"Vuuren","given":"Detlef P","non-dropping-particle":"van","parse-names":false,"suffix":""},{"dropping-particle":"","family":"Nayak","given":"Dali R","non-dropping-particle":"","parse-names":false,"suffix":""},{"dropping-particle":"","family":"Hof","given":"Andries F","non-dropping-particle":"","parse-names":false,"suffix":""},{"dropping-particle":"","family":"Höglund-Isaksson","given":"Lena","non-dropping-particle":"","parse-names":false,"suffix":""},{"dropping-particle":"","family":"Lucas","given":"Paul L","non-dropping-particle":"","parse-names":false,"suffix":""},{"dropping-particle":"","family":"Nielsen","given":"Jens B","non-dropping-particle":"","parse-names":false,"suffix":""},{"dropping-particle":"","family":"Smith","given":"Pete","non-dropping-particle":"","parse-names":false,"suffix":""},{"dropping-particle":"","family":"Stehfest","given":"Elke","non-dropping-particle":"","parse-names":false,"suffix":""}],"container-title":"Environmental Science &amp; Policy","id":"ITEM-3","issued":{"date-parts":[["2019"]]},"page":"136-149","title":"Long-term marginal abatement cost curves of non-CO2 greenhouse gases","type":"article-journal","volume":"99"},"uris":["http://www.mendeley.com/documents/?uuid=c2b11225-0552-4bcf-b09c-8ae79fbc23fb"]}],"mendeley":{"formattedCitation":"(Purohit and Höglund-Isaksson 2017; US EPA 2019; Harmsen et al. 2019)","plainTextFormattedCitation":"(Purohit and Höglund-Isaksson 2017; US EPA 2019; Harmsen et al. 2019)","previouslyFormattedCitation":"(Purohit and Höglund-Isaksson 2017; US EPA 2019; Harmsen et al. 2019)"},"properties":{"noteIndex":0},"schema":"https://github.com/citation-style-language/schema/raw/master/csl-citation.json"}</w:instrText>
      </w:r>
      <w:r>
        <w:fldChar w:fldCharType="separate"/>
      </w:r>
      <w:r w:rsidRPr="00E672F8">
        <w:rPr>
          <w:noProof/>
        </w:rPr>
        <w:t>(Purohit and Höglund-Isaksson 2017; US EPA 2019; Harmsen et al. 2019)</w:t>
      </w:r>
      <w:r>
        <w:fldChar w:fldCharType="end"/>
      </w:r>
      <w:r>
        <w:rPr>
          <w:noProof/>
        </w:rPr>
        <w:t>.</w:t>
      </w:r>
      <w:r w:rsidRPr="00471DA5">
        <w:rPr>
          <w:noProof/>
        </w:rPr>
        <w:t xml:space="preserve"> </w:t>
      </w:r>
      <w:r w:rsidRPr="00471DA5">
        <w:t xml:space="preserve"> Data for CDR options</w:t>
      </w:r>
      <w:r>
        <w:t xml:space="preserve"> not discussed previously</w:t>
      </w:r>
      <w:r w:rsidRPr="00471DA5">
        <w:t xml:space="preserve"> </w:t>
      </w:r>
      <w:r>
        <w:t xml:space="preserve">(such as DACCS and enhanced weathering) </w:t>
      </w:r>
      <w:r w:rsidRPr="00471DA5">
        <w:t>were taken from Section 12.3. For more details about data sources and data processing, see Supplementary Material 12.A</w:t>
      </w:r>
      <w:r>
        <w:t>,</w:t>
      </w:r>
      <w:r w:rsidRPr="00471DA5">
        <w:t xml:space="preserve"> Section SM 12.A.2</w:t>
      </w:r>
      <w:r>
        <w:t>.</w:t>
      </w:r>
    </w:p>
    <w:p w14:paraId="0CC8A0D0" w14:textId="77777777" w:rsidR="00D275ED" w:rsidRDefault="00D275ED" w:rsidP="00D275ED">
      <w:pPr>
        <w:pStyle w:val="Heading2"/>
        <w:numPr>
          <w:ilvl w:val="0"/>
          <w:numId w:val="0"/>
        </w:numPr>
      </w:pPr>
    </w:p>
    <w:p w14:paraId="07CDF959" w14:textId="77777777" w:rsidR="00D275ED" w:rsidRPr="00471DA5" w:rsidRDefault="00D275ED" w:rsidP="00D275ED">
      <w:pPr>
        <w:pStyle w:val="Heading2"/>
        <w:numPr>
          <w:ilvl w:val="0"/>
          <w:numId w:val="0"/>
        </w:numPr>
      </w:pPr>
      <w:r w:rsidRPr="00471DA5">
        <w:t xml:space="preserve">Supplementary Material 12.A: Detailed explanation of the data on costs and potentials in Section 12.2 </w:t>
      </w:r>
    </w:p>
    <w:p w14:paraId="03E37E23" w14:textId="77777777" w:rsidR="00D275ED" w:rsidRPr="00853EA0" w:rsidRDefault="00D275ED" w:rsidP="00D275ED">
      <w:pPr>
        <w:pStyle w:val="Caption"/>
        <w:jc w:val="both"/>
        <w:rPr>
          <w:rFonts w:cs="Times New Roman"/>
          <w:b w:val="0"/>
          <w:sz w:val="24"/>
          <w:szCs w:val="24"/>
        </w:rPr>
      </w:pPr>
      <w:r w:rsidRPr="00853EA0">
        <w:rPr>
          <w:rFonts w:cs="Times New Roman"/>
          <w:sz w:val="24"/>
          <w:szCs w:val="24"/>
        </w:rPr>
        <w:t>SM 12.A.</w:t>
      </w:r>
      <w:r w:rsidRPr="00853EA0">
        <w:rPr>
          <w:rFonts w:cs="Times New Roman"/>
          <w:sz w:val="24"/>
          <w:szCs w:val="24"/>
        </w:rPr>
        <w:fldChar w:fldCharType="begin"/>
      </w:r>
      <w:r w:rsidRPr="00853EA0">
        <w:rPr>
          <w:rFonts w:cs="Times New Roman"/>
          <w:sz w:val="24"/>
          <w:szCs w:val="24"/>
        </w:rPr>
        <w:instrText xml:space="preserve"> SEQ SM_12.A \* ARABIC </w:instrText>
      </w:r>
      <w:r w:rsidRPr="00853EA0">
        <w:rPr>
          <w:rFonts w:cs="Times New Roman"/>
          <w:sz w:val="24"/>
          <w:szCs w:val="24"/>
        </w:rPr>
        <w:fldChar w:fldCharType="separate"/>
      </w:r>
      <w:r w:rsidRPr="00853EA0">
        <w:rPr>
          <w:rFonts w:cs="Times New Roman"/>
          <w:noProof/>
          <w:sz w:val="24"/>
          <w:szCs w:val="24"/>
        </w:rPr>
        <w:t>1</w:t>
      </w:r>
      <w:r w:rsidRPr="00853EA0">
        <w:rPr>
          <w:rFonts w:cs="Times New Roman"/>
          <w:sz w:val="24"/>
          <w:szCs w:val="24"/>
        </w:rPr>
        <w:fldChar w:fldCharType="end"/>
      </w:r>
      <w:r w:rsidRPr="00853EA0">
        <w:rPr>
          <w:rFonts w:cs="Times New Roman"/>
          <w:sz w:val="24"/>
          <w:szCs w:val="24"/>
        </w:rPr>
        <w:t>. Introduction</w:t>
      </w:r>
    </w:p>
    <w:p w14:paraId="496ABE09" w14:textId="77777777" w:rsidR="00D275ED" w:rsidRPr="00650E89" w:rsidRDefault="00D275ED" w:rsidP="00D275ED">
      <w:pPr>
        <w:shd w:val="clear" w:color="auto" w:fill="FFFFFF" w:themeFill="background1"/>
        <w:rPr>
          <w:rFonts w:cs="Times New Roman"/>
          <w:szCs w:val="20"/>
        </w:rPr>
      </w:pPr>
      <w:r w:rsidRPr="00471DA5">
        <w:rPr>
          <w:rFonts w:cs="Times New Roman"/>
        </w:rPr>
        <w:t>In this Supplementary Material</w:t>
      </w:r>
      <w:r>
        <w:rPr>
          <w:rFonts w:cs="Times New Roman"/>
        </w:rPr>
        <w:t>,</w:t>
      </w:r>
      <w:r w:rsidRPr="00471DA5">
        <w:rPr>
          <w:rFonts w:cs="Times New Roman"/>
        </w:rPr>
        <w:t xml:space="preserve"> background inform</w:t>
      </w:r>
      <w:r>
        <w:rPr>
          <w:rFonts w:cs="Times New Roman"/>
        </w:rPr>
        <w:t>ation is provided on the way</w:t>
      </w:r>
      <w:r w:rsidRPr="00471DA5">
        <w:rPr>
          <w:rFonts w:cs="Times New Roman"/>
        </w:rPr>
        <w:t xml:space="preserve"> </w:t>
      </w:r>
      <w:r>
        <w:rPr>
          <w:rFonts w:cs="Times New Roman"/>
        </w:rPr>
        <w:t xml:space="preserve">the data on costs and potentials </w:t>
      </w:r>
      <w:r w:rsidRPr="00471DA5">
        <w:rPr>
          <w:rFonts w:cs="Times New Roman"/>
        </w:rPr>
        <w:t>ha</w:t>
      </w:r>
      <w:r>
        <w:rPr>
          <w:rFonts w:cs="Times New Roman"/>
        </w:rPr>
        <w:t>s</w:t>
      </w:r>
      <w:r w:rsidRPr="00471DA5">
        <w:rPr>
          <w:rFonts w:cs="Times New Roman"/>
        </w:rPr>
        <w:t xml:space="preserve"> been synthes</w:t>
      </w:r>
      <w:r>
        <w:rPr>
          <w:rFonts w:cs="Times New Roman"/>
        </w:rPr>
        <w:t>is</w:t>
      </w:r>
      <w:r w:rsidRPr="00471DA5">
        <w:rPr>
          <w:rFonts w:cs="Times New Roman"/>
        </w:rPr>
        <w:t>ed. Se</w:t>
      </w:r>
      <w:r w:rsidRPr="00C57D0A">
        <w:rPr>
          <w:rFonts w:cs="Times New Roman"/>
        </w:rPr>
        <w:t xml:space="preserve">ction </w:t>
      </w:r>
      <w:r w:rsidRPr="00C57D0A">
        <w:rPr>
          <w:rFonts w:cs="Times New Roman"/>
        </w:rPr>
        <w:fldChar w:fldCharType="begin"/>
      </w:r>
      <w:r w:rsidRPr="00C57D0A">
        <w:rPr>
          <w:rFonts w:cs="Times New Roman"/>
        </w:rPr>
        <w:instrText xml:space="preserve"> REF _Ref59573510 \h  \* MERGEFORMAT </w:instrText>
      </w:r>
      <w:r w:rsidRPr="00C57D0A">
        <w:rPr>
          <w:rFonts w:cs="Times New Roman"/>
        </w:rPr>
      </w:r>
      <w:r w:rsidRPr="00C57D0A">
        <w:rPr>
          <w:rFonts w:cs="Times New Roman"/>
        </w:rPr>
        <w:fldChar w:fldCharType="separate"/>
      </w:r>
      <w:r w:rsidRPr="002941C2">
        <w:rPr>
          <w:rFonts w:cs="Times New Roman"/>
          <w:szCs w:val="20"/>
        </w:rPr>
        <w:t>SM 12.A</w:t>
      </w:r>
      <w:r w:rsidRPr="00471DA5">
        <w:rPr>
          <w:rFonts w:cs="Times New Roman"/>
          <w:szCs w:val="20"/>
        </w:rPr>
        <w:t>.</w:t>
      </w:r>
      <w:r w:rsidRPr="002941C2">
        <w:rPr>
          <w:rFonts w:cs="Times New Roman"/>
          <w:szCs w:val="20"/>
        </w:rPr>
        <w:t>2</w:t>
      </w:r>
      <w:r w:rsidRPr="00C57D0A">
        <w:rPr>
          <w:rFonts w:cs="Times New Roman"/>
        </w:rPr>
        <w:fldChar w:fldCharType="end"/>
      </w:r>
      <w:r w:rsidRPr="00C57D0A">
        <w:rPr>
          <w:rFonts w:cs="Times New Roman"/>
        </w:rPr>
        <w:t xml:space="preserve"> provides information on how the extended </w:t>
      </w:r>
      <w:r w:rsidRPr="00E21ECA">
        <w:rPr>
          <w:rFonts w:cs="Times New Roman"/>
        </w:rPr>
        <w:t>Table 12.3</w:t>
      </w:r>
      <w:r w:rsidRPr="00C57D0A">
        <w:rPr>
          <w:rFonts w:cs="Times New Roman"/>
        </w:rPr>
        <w:t xml:space="preserve"> </w:t>
      </w:r>
      <w:r w:rsidRPr="0009079E">
        <w:rPr>
          <w:rFonts w:cs="Times New Roman"/>
        </w:rPr>
        <w:t xml:space="preserve">on costs and potentials of mitigation options was constructed using the input of the sectoral chapters and other information. Section </w:t>
      </w:r>
      <w:r w:rsidRPr="00C57D0A">
        <w:rPr>
          <w:rFonts w:cs="Times New Roman"/>
        </w:rPr>
        <w:fldChar w:fldCharType="begin"/>
      </w:r>
      <w:r w:rsidRPr="0009079E">
        <w:rPr>
          <w:rFonts w:cs="Times New Roman"/>
        </w:rPr>
        <w:instrText xml:space="preserve"> REF _Ref59573525 \h  \* MERGEFORMAT </w:instrText>
      </w:r>
      <w:r w:rsidRPr="00C57D0A">
        <w:rPr>
          <w:rFonts w:cs="Times New Roman"/>
        </w:rPr>
      </w:r>
      <w:r w:rsidRPr="00C57D0A">
        <w:rPr>
          <w:rFonts w:cs="Times New Roman"/>
        </w:rPr>
        <w:fldChar w:fldCharType="separate"/>
      </w:r>
      <w:r w:rsidRPr="002941C2">
        <w:rPr>
          <w:rFonts w:cs="Times New Roman"/>
          <w:szCs w:val="20"/>
        </w:rPr>
        <w:t>SM 12.A</w:t>
      </w:r>
      <w:r w:rsidRPr="00471DA5">
        <w:rPr>
          <w:rFonts w:cs="Times New Roman"/>
          <w:szCs w:val="20"/>
        </w:rPr>
        <w:t>.</w:t>
      </w:r>
      <w:r w:rsidRPr="002941C2">
        <w:rPr>
          <w:rFonts w:cs="Times New Roman"/>
          <w:szCs w:val="20"/>
        </w:rPr>
        <w:t>3</w:t>
      </w:r>
      <w:r w:rsidRPr="00C57D0A">
        <w:rPr>
          <w:rFonts w:cs="Times New Roman"/>
        </w:rPr>
        <w:fldChar w:fldCharType="end"/>
      </w:r>
      <w:r w:rsidRPr="00D82B45">
        <w:rPr>
          <w:rFonts w:cs="Times New Roman"/>
        </w:rPr>
        <w:t xml:space="preserve"> provides information on the </w:t>
      </w:r>
      <w:r>
        <w:rPr>
          <w:rFonts w:cs="Times New Roman"/>
        </w:rPr>
        <w:t>construction of Figure SPM.9 in the Summary for Policy Makers.</w:t>
      </w:r>
      <w:r w:rsidRPr="00D82B45" w:rsidDel="00B2360E">
        <w:rPr>
          <w:rFonts w:cs="Times New Roman"/>
        </w:rPr>
        <w:t xml:space="preserve"> </w:t>
      </w:r>
    </w:p>
    <w:p w14:paraId="1F093763" w14:textId="77777777" w:rsidR="00D275ED" w:rsidRPr="00471DA5" w:rsidRDefault="00D275ED" w:rsidP="00D275ED">
      <w:pPr>
        <w:shd w:val="clear" w:color="auto" w:fill="FFFFFF" w:themeFill="background1"/>
        <w:rPr>
          <w:rFonts w:cs="Times New Roman"/>
        </w:rPr>
      </w:pPr>
    </w:p>
    <w:p w14:paraId="3F9E9BD2" w14:textId="77777777" w:rsidR="00D275ED" w:rsidRDefault="00D275ED" w:rsidP="00D275ED">
      <w:pPr>
        <w:shd w:val="clear" w:color="auto" w:fill="FFFFFF" w:themeFill="background1"/>
        <w:rPr>
          <w:rFonts w:cs="Times New Roman"/>
          <w:b/>
        </w:rPr>
      </w:pPr>
      <w:bookmarkStart w:id="0" w:name="_Ref59573510"/>
      <w:r w:rsidRPr="00471DA5">
        <w:rPr>
          <w:rFonts w:cs="Times New Roman"/>
          <w:b/>
          <w:szCs w:val="20"/>
        </w:rPr>
        <w:t>SM 12.A</w:t>
      </w:r>
      <w:r w:rsidRPr="00471DA5">
        <w:rPr>
          <w:rFonts w:cs="Times New Roman"/>
          <w:szCs w:val="20"/>
        </w:rPr>
        <w:t>.</w:t>
      </w:r>
      <w:r w:rsidRPr="00471DA5">
        <w:rPr>
          <w:rFonts w:cs="Times New Roman"/>
          <w:b/>
          <w:szCs w:val="20"/>
        </w:rPr>
        <w:fldChar w:fldCharType="begin"/>
      </w:r>
      <w:r w:rsidRPr="00A610E7">
        <w:rPr>
          <w:rFonts w:cs="Times New Roman"/>
          <w:b/>
          <w:szCs w:val="20"/>
        </w:rPr>
        <w:instrText xml:space="preserve"> SEQ SM_12.A \* ARABIC </w:instrText>
      </w:r>
      <w:r w:rsidRPr="00471DA5">
        <w:rPr>
          <w:rFonts w:cs="Times New Roman"/>
          <w:b/>
          <w:szCs w:val="20"/>
        </w:rPr>
        <w:fldChar w:fldCharType="separate"/>
      </w:r>
      <w:r>
        <w:rPr>
          <w:rFonts w:cs="Times New Roman"/>
          <w:b/>
          <w:noProof/>
          <w:szCs w:val="20"/>
        </w:rPr>
        <w:t>2</w:t>
      </w:r>
      <w:r w:rsidRPr="00471DA5">
        <w:rPr>
          <w:rFonts w:cs="Times New Roman"/>
          <w:b/>
          <w:szCs w:val="20"/>
        </w:rPr>
        <w:fldChar w:fldCharType="end"/>
      </w:r>
      <w:bookmarkEnd w:id="0"/>
      <w:r w:rsidRPr="00471DA5">
        <w:rPr>
          <w:rFonts w:cs="Times New Roman"/>
          <w:b/>
          <w:szCs w:val="20"/>
        </w:rPr>
        <w:t>.</w:t>
      </w:r>
      <w:r w:rsidRPr="00471DA5">
        <w:rPr>
          <w:rFonts w:cs="Times New Roman"/>
          <w:b/>
        </w:rPr>
        <w:t xml:space="preserve"> Data on emission scenarios and mitigation potentials (Table 12.</w:t>
      </w:r>
      <w:r>
        <w:rPr>
          <w:rFonts w:cs="Times New Roman"/>
          <w:b/>
        </w:rPr>
        <w:t>3</w:t>
      </w:r>
      <w:r w:rsidRPr="00471DA5">
        <w:rPr>
          <w:rFonts w:cs="Times New Roman"/>
          <w:b/>
        </w:rPr>
        <w:t>)</w:t>
      </w:r>
    </w:p>
    <w:p w14:paraId="42CC8C60" w14:textId="77777777" w:rsidR="00D275ED" w:rsidRDefault="00D275ED" w:rsidP="00D275ED">
      <w:pPr>
        <w:shd w:val="clear" w:color="auto" w:fill="FFFFFF" w:themeFill="background1"/>
        <w:rPr>
          <w:rFonts w:cs="Times New Roman"/>
          <w:b/>
        </w:rPr>
      </w:pPr>
    </w:p>
    <w:p w14:paraId="3C32047C" w14:textId="77777777" w:rsidR="00D275ED" w:rsidRPr="006B21B0" w:rsidRDefault="00D275ED" w:rsidP="00D275ED">
      <w:pPr>
        <w:shd w:val="clear" w:color="auto" w:fill="FFFFFF" w:themeFill="background1"/>
        <w:rPr>
          <w:rFonts w:cs="Times New Roman"/>
          <w:b/>
          <w:i/>
        </w:rPr>
      </w:pPr>
      <w:r w:rsidRPr="006B21B0">
        <w:rPr>
          <w:rFonts w:cs="Times New Roman"/>
          <w:b/>
          <w:i/>
        </w:rPr>
        <w:t>Energy sector</w:t>
      </w:r>
    </w:p>
    <w:p w14:paraId="65E2D911" w14:textId="77777777" w:rsidR="00D275ED" w:rsidRPr="006B21B0" w:rsidRDefault="00D275ED" w:rsidP="00D275ED">
      <w:r w:rsidRPr="006B21B0">
        <w:rPr>
          <w:rFonts w:cs="Times New Roman"/>
        </w:rPr>
        <w:t xml:space="preserve">For the energy sector, </w:t>
      </w:r>
      <w:r>
        <w:rPr>
          <w:rFonts w:cs="Times New Roman"/>
        </w:rPr>
        <w:t>t</w:t>
      </w:r>
      <w:r w:rsidRPr="006B21B0">
        <w:t xml:space="preserve">he starting point for </w:t>
      </w:r>
      <w:r>
        <w:t xml:space="preserve">determining </w:t>
      </w:r>
      <w:r w:rsidRPr="006B21B0">
        <w:t xml:space="preserve">the mitigation potential </w:t>
      </w:r>
      <w:r>
        <w:t>wa</w:t>
      </w:r>
      <w:r w:rsidRPr="006B21B0">
        <w:t xml:space="preserve">s </w:t>
      </w:r>
      <w:r w:rsidRPr="006B21B0">
        <w:rPr>
          <w:rFonts w:cs="Times New Roman"/>
        </w:rPr>
        <w:t xml:space="preserve">UNEP </w:t>
      </w:r>
      <w:r w:rsidRPr="006B21B0">
        <w:rPr>
          <w:rFonts w:cs="Times New Roman"/>
        </w:rPr>
        <w:fldChar w:fldCharType="begin" w:fldLock="1"/>
      </w:r>
      <w:r w:rsidRPr="006B21B0">
        <w:rPr>
          <w:rFonts w:cs="Times New Roman"/>
        </w:rPr>
        <w:instrText>ADDIN CSL_CITATION {"citationItems":[{"id":"ITEM-1","itemData":{"DOI":"10.18356/1cf881fb-en","ISBN":"9789210479691","author":[{"dropping-particle":"","family":"UNEP","given":"","non-dropping-particle":"","parse-names":false,"suffix":""}],"id":"ITEM-1","issued":{"date-parts":[["2017"]]},"number-of-pages":"112","publisher":"United Nations Environment Programme (UNEP)","publisher-place":"Nairobi, Kenya","title":"The Emissions Gap Report 2017","type":"book"},"suppress-author":1,"uris":["http://www.mendeley.com/documents/?uuid=83062ce1-ef24-4cfe-9862-8f6298c4efa2"]}],"mendeley":{"formattedCitation":"(2017)","plainTextFormattedCitation":"(2017)","previouslyFormattedCitation":"(2017)"},"properties":{"noteIndex":0},"schema":"https://github.com/citation-style-language/schema/raw/master/csl-citation.json"}</w:instrText>
      </w:r>
      <w:r w:rsidRPr="006B21B0">
        <w:rPr>
          <w:rFonts w:cs="Times New Roman"/>
        </w:rPr>
        <w:fldChar w:fldCharType="separate"/>
      </w:r>
      <w:r w:rsidRPr="006B21B0">
        <w:rPr>
          <w:rFonts w:cs="Times New Roman"/>
          <w:noProof/>
        </w:rPr>
        <w:t>(2017)</w:t>
      </w:r>
      <w:r w:rsidRPr="006B21B0">
        <w:rPr>
          <w:rFonts w:cs="Times New Roman"/>
        </w:rPr>
        <w:fldChar w:fldCharType="end"/>
      </w:r>
      <w:r w:rsidRPr="006B21B0">
        <w:t xml:space="preserve">, </w:t>
      </w:r>
      <w:r>
        <w:t xml:space="preserve">which was </w:t>
      </w:r>
      <w:r w:rsidRPr="006B21B0">
        <w:t xml:space="preserve">also published as </w:t>
      </w:r>
      <w:r w:rsidRPr="006B21B0">
        <w:fldChar w:fldCharType="begin" w:fldLock="1"/>
      </w:r>
      <w:r w:rsidRPr="006B21B0">
        <w:instrText>ADDIN CSL_CITATION {"citationItems":[{"id":"ITEM-1","itemData":{"DOI":"10.3390/en13040943","ISSN":"1996-1073","abstract":"The aim of this article is to provide an overview of greenhouse gas emission reduction potentials for 2030 based on the assessment of detailed sectoral studies. The overview updates a previous assessment that dates back more than ten years. We find a total emission reduction potential of 30–36 GtCO2e compared to a current-policies baseline of 61 GtCO2e. The energy production and conversion sector is responsible for about one third of this potential and the agriculture, buildings, forestry, industry, and transport sectors all contribute substantially to the total potential. The potential for 2030 is enough to bridge the gap towards emissions pathways that are compatible with a maximum global temperature rise of 1.5–2 °C compared to preindustrial levels.","author":[{"dropping-particle":"","family":"Blok","given":"Kornelis","non-dropping-particle":"","parse-names":false,"suffix":""},{"dropping-particle":"","family":"Afanador","given":"Angélica","non-dropping-particle":"","parse-names":false,"suffix":""},{"dropping-particle":"","family":"Hoorn","given":"Irina","non-dropping-particle":"van der","parse-names":false,"suffix":""},{"dropping-particle":"","family":"Berg","given":"Tom","non-dropping-particle":"","parse-names":false,"suffix":""},{"dropping-particle":"","family":"Edelenbosch","given":"Oreane Y","non-dropping-particle":"","parse-names":false,"suffix":""},{"dropping-particle":"","family":"Vuuren","given":"Detlef P","non-dropping-particle":"van","parse-names":false,"suffix":""}],"container-title":"Energies","id":"ITEM-1","issue":"4","issued":{"date-parts":[["2020","2"]]},"page":"943","publisher":"MDPI AG","title":"Assessment of Sectoral Greenhouse Gas Emission Reduction Potentials for 2030","type":"article-journal","volume":"13"},"uris":["http://www.mendeley.com/documents/?uuid=115903b0-4215-4d08-ba04-c83dd3b4da24"]}],"mendeley":{"formattedCitation":"(Blok et al. 2020)","manualFormatting":"Blok et al. (2020)","plainTextFormattedCitation":"(Blok et al. 2020)","previouslyFormattedCitation":"(Blok et al. 2020)"},"properties":{"noteIndex":0},"schema":"https://github.com/citation-style-language/schema/raw/master/csl-citation.json"}</w:instrText>
      </w:r>
      <w:r w:rsidRPr="006B21B0">
        <w:fldChar w:fldCharType="separate"/>
      </w:r>
      <w:r w:rsidRPr="006B21B0">
        <w:rPr>
          <w:noProof/>
        </w:rPr>
        <w:t>Blok et al. (2020)</w:t>
      </w:r>
      <w:r w:rsidRPr="006B21B0">
        <w:fldChar w:fldCharType="end"/>
      </w:r>
      <w:r w:rsidRPr="006B21B0">
        <w:t xml:space="preserve">. This assessment was checked for key updates that substantially influence the ranges </w:t>
      </w:r>
      <w:r>
        <w:t>as reported in these literature sources</w:t>
      </w:r>
      <w:r w:rsidRPr="006B21B0">
        <w:t xml:space="preserve">. </w:t>
      </w:r>
    </w:p>
    <w:p w14:paraId="4AAE6114" w14:textId="77777777" w:rsidR="00D275ED" w:rsidRPr="006B21B0" w:rsidRDefault="00D275ED" w:rsidP="00D275ED">
      <w:r w:rsidRPr="006B21B0">
        <w:t>The reference emissions</w:t>
      </w:r>
      <w:r>
        <w:t xml:space="preserve"> scenario</w:t>
      </w:r>
      <w:r w:rsidRPr="006B21B0">
        <w:t xml:space="preserve"> </w:t>
      </w:r>
      <w:r>
        <w:t xml:space="preserve">in </w:t>
      </w:r>
      <w:r w:rsidRPr="006B21B0">
        <w:t xml:space="preserve">the World Energy Outlook 2016 </w:t>
      </w:r>
      <w:r>
        <w:t xml:space="preserve">report </w:t>
      </w:r>
      <w:r w:rsidRPr="006B21B0">
        <w:fldChar w:fldCharType="begin" w:fldLock="1"/>
      </w:r>
      <w:r w:rsidRPr="006B21B0">
        <w:instrText>ADDIN CSL_CITATION {"citationItems":[{"id":"ITEM-1","itemData":{"ISBN":"978-92-64-26495-3","author":[{"dropping-particle":"","family":"IEA","given":"","non-dropping-particle":"","parse-names":false,"suffix":""}],"id":"ITEM-1","issued":{"date-parts":[["2016"]]},"number-of-pages":"684","publisher":"International Energy Agency (IEA)","publisher-place":"Paris, France","title":"World Energy Outlook 2016","type":"report"},"uris":["http://www.mendeley.com/documents/?uuid=544314d8-a2d9-4e20-81e5-278055291cba"]}],"mendeley":{"formattedCitation":"(IEA 2016)","plainTextFormattedCitation":"(IEA 2016)","previouslyFormattedCitation":"(IEA 2016)"},"properties":{"noteIndex":0},"schema":"https://github.com/citation-style-language/schema/raw/master/csl-citation.json"}</w:instrText>
      </w:r>
      <w:r w:rsidRPr="006B21B0">
        <w:fldChar w:fldCharType="separate"/>
      </w:r>
      <w:r w:rsidRPr="006B21B0">
        <w:rPr>
          <w:noProof/>
        </w:rPr>
        <w:t>(IEA 2016)</w:t>
      </w:r>
      <w:r w:rsidRPr="006B21B0">
        <w:fldChar w:fldCharType="end"/>
      </w:r>
      <w:r w:rsidRPr="006B21B0">
        <w:t xml:space="preserve"> was compared to the preferred reference</w:t>
      </w:r>
      <w:r>
        <w:t xml:space="preserve"> scenario for</w:t>
      </w:r>
      <w:r w:rsidRPr="006B21B0">
        <w:t xml:space="preserve"> this assessment</w:t>
      </w:r>
      <w:r>
        <w:t>,</w:t>
      </w:r>
      <w:r w:rsidRPr="006B21B0">
        <w:t xml:space="preserve"> </w:t>
      </w:r>
      <w:r w:rsidRPr="006B21B0">
        <w:rPr>
          <w:rFonts w:cs="Times New Roman"/>
        </w:rPr>
        <w:t xml:space="preserve">World Energy Outlook </w:t>
      </w:r>
      <w:r w:rsidRPr="006B21B0">
        <w:rPr>
          <w:rFonts w:cs="Times New Roman"/>
        </w:rPr>
        <w:lastRenderedPageBreak/>
        <w:t xml:space="preserve">2019 </w:t>
      </w:r>
      <w:r w:rsidRPr="006B21B0">
        <w:rPr>
          <w:rFonts w:cs="Times New Roman"/>
        </w:rPr>
        <w:fldChar w:fldCharType="begin" w:fldLock="1"/>
      </w:r>
      <w:r w:rsidRPr="006B21B0">
        <w:rPr>
          <w:rFonts w:cs="Times New Roman"/>
        </w:rPr>
        <w:instrText>ADDIN CSL_CITATION {"citationItems":[{"id":"ITEM-1","itemData":{"abstract":"The International Energy Agency’s annual energy projections. Based on scenarios, these projections compare what will happen if policies remain the same and what might happen if policies were improved.","author":[{"dropping-particle":"","family":"IEA","given":"","non-dropping-particle":"","parse-names":false,"suffix":""}],"id":"ITEM-1","issued":{"date-parts":[["2018"]]},"number-of-pages":"661","publisher":"International Energy Agency (IEA)","publisher-place":"Paris, France","title":"World Energy Outlook 2018","type":"report"},"uris":["http://www.mendeley.com/documents/?uuid=ff12047b-35f1-4143-b625-f2216c33fb12"]}],"mendeley":{"formattedCitation":"(IEA 2018)","manualFormatting":"(IEA 2019)","plainTextFormattedCitation":"(IEA 2018)","previouslyFormattedCitation":"(IEA 2018)"},"properties":{"noteIndex":0},"schema":"https://github.com/citation-style-language/schema/raw/master/csl-citation.json"}</w:instrText>
      </w:r>
      <w:r w:rsidRPr="006B21B0">
        <w:rPr>
          <w:rFonts w:cs="Times New Roman"/>
        </w:rPr>
        <w:fldChar w:fldCharType="separate"/>
      </w:r>
      <w:r w:rsidRPr="006B21B0">
        <w:rPr>
          <w:rFonts w:cs="Times New Roman"/>
          <w:noProof/>
        </w:rPr>
        <w:t>(IEA 2019)</w:t>
      </w:r>
      <w:r w:rsidRPr="006B21B0">
        <w:rPr>
          <w:rFonts w:cs="Times New Roman"/>
        </w:rPr>
        <w:fldChar w:fldCharType="end"/>
      </w:r>
      <w:r w:rsidRPr="006B21B0">
        <w:rPr>
          <w:rFonts w:cs="Times New Roman"/>
        </w:rPr>
        <w:t>.</w:t>
      </w:r>
      <w:r w:rsidRPr="006B21B0">
        <w:t xml:space="preserve"> </w:t>
      </w:r>
      <w:r>
        <w:t>T</w:t>
      </w:r>
      <w:r w:rsidRPr="006B21B0">
        <w:t>here is limited change</w:t>
      </w:r>
      <w:r>
        <w:t xml:space="preserve"> in the overall parameters</w:t>
      </w:r>
      <w:r w:rsidRPr="006B21B0">
        <w:t xml:space="preserve"> between the World Energy Outlooks of 2019 and 2016. Total electricity production in 2030 was marginally higher (0.6%) and the average fossil fuel emission factor 2.4%</w:t>
      </w:r>
      <w:r>
        <w:t xml:space="preserve"> </w:t>
      </w:r>
      <w:r w:rsidRPr="006B21B0">
        <w:t xml:space="preserve">lower in WEO2019 </w:t>
      </w:r>
      <w:r>
        <w:t xml:space="preserve">as compared to </w:t>
      </w:r>
      <w:r w:rsidRPr="006B21B0">
        <w:t xml:space="preserve">WEO2016. </w:t>
      </w:r>
      <w:r>
        <w:t xml:space="preserve">A </w:t>
      </w:r>
      <w:r w:rsidRPr="006B21B0">
        <w:t xml:space="preserve">substantially </w:t>
      </w:r>
      <w:r>
        <w:t xml:space="preserve">higher contribution of </w:t>
      </w:r>
      <w:r w:rsidRPr="006B21B0">
        <w:t xml:space="preserve">wind and solar energy </w:t>
      </w:r>
      <w:r>
        <w:t xml:space="preserve">was seen </w:t>
      </w:r>
      <w:r w:rsidRPr="006B21B0">
        <w:t>in the reference scenario (Current Policies), leading to a reduction of the remaining potential by 0.50 and 0.95 GtCO</w:t>
      </w:r>
      <w:r w:rsidRPr="006B21B0">
        <w:rPr>
          <w:vertAlign w:val="subscript"/>
        </w:rPr>
        <w:t>2</w:t>
      </w:r>
      <w:r>
        <w:t xml:space="preserve"> for wind and solar</w:t>
      </w:r>
      <w:r w:rsidRPr="006B21B0">
        <w:t xml:space="preserve"> respectively. In contrast, the </w:t>
      </w:r>
      <w:r>
        <w:t xml:space="preserve">contribution </w:t>
      </w:r>
      <w:r w:rsidRPr="006B21B0">
        <w:t>of nuclear energy in the reference scenario has become smaller</w:t>
      </w:r>
      <w:r>
        <w:t>.</w:t>
      </w:r>
      <w:r w:rsidRPr="006B21B0">
        <w:t xml:space="preserve"> </w:t>
      </w:r>
      <w:r>
        <w:t>F</w:t>
      </w:r>
      <w:r w:rsidRPr="006B21B0">
        <w:t>or all other low-carbon sources the differences are small.</w:t>
      </w:r>
    </w:p>
    <w:p w14:paraId="1ECF186E" w14:textId="77777777" w:rsidR="00D275ED" w:rsidRPr="00E41EA6" w:rsidRDefault="00D275ED" w:rsidP="00D275ED">
      <w:r w:rsidRPr="006B21B0">
        <w:t xml:space="preserve">Estimating the potential deployment of low-carbon electricity sources by 2030 is difficult. The technical potentials are </w:t>
      </w:r>
      <w:r>
        <w:t xml:space="preserve">significant, </w:t>
      </w:r>
      <w:r w:rsidRPr="006B21B0">
        <w:t xml:space="preserve">and for all technologies </w:t>
      </w:r>
      <w:r>
        <w:t xml:space="preserve">are higher </w:t>
      </w:r>
      <w:r w:rsidRPr="006B21B0">
        <w:t xml:space="preserve">or much </w:t>
      </w:r>
      <w:r>
        <w:t xml:space="preserve">higher </w:t>
      </w:r>
      <w:r w:rsidRPr="006B21B0">
        <w:t xml:space="preserve">than the potentials identified by </w:t>
      </w:r>
      <w:r w:rsidRPr="006B21B0">
        <w:rPr>
          <w:rFonts w:cs="Times New Roman"/>
        </w:rPr>
        <w:t xml:space="preserve">UNEP </w:t>
      </w:r>
      <w:r w:rsidRPr="006B21B0">
        <w:rPr>
          <w:rFonts w:cs="Times New Roman"/>
        </w:rPr>
        <w:fldChar w:fldCharType="begin" w:fldLock="1"/>
      </w:r>
      <w:r w:rsidRPr="006B21B0">
        <w:rPr>
          <w:rFonts w:cs="Times New Roman"/>
        </w:rPr>
        <w:instrText>ADDIN CSL_CITATION {"citationItems":[{"id":"ITEM-1","itemData":{"DOI":"10.18356/1cf881fb-en","ISBN":"9789210479691","author":[{"dropping-particle":"","family":"UNEP","given":"","non-dropping-particle":"","parse-names":false,"suffix":""}],"id":"ITEM-1","issued":{"date-parts":[["2017"]]},"number-of-pages":"112","publisher":"United Nations Environment Programme (UNEP)","publisher-place":"Nairobi, Kenya","title":"The Emissions Gap Report 2017","type":"book"},"suppress-author":1,"uris":["http://www.mendeley.com/documents/?uuid=83062ce1-ef24-4cfe-9862-8f6298c4efa2"]}],"mendeley":{"formattedCitation":"(2017)","plainTextFormattedCitation":"(2017)","previouslyFormattedCitation":"(2017)"},"properties":{"noteIndex":0},"schema":"https://github.com/citation-style-language/schema/raw/master/csl-citation.json"}</w:instrText>
      </w:r>
      <w:r w:rsidRPr="006B21B0">
        <w:rPr>
          <w:rFonts w:cs="Times New Roman"/>
        </w:rPr>
        <w:fldChar w:fldCharType="separate"/>
      </w:r>
      <w:r w:rsidRPr="006B21B0">
        <w:rPr>
          <w:rFonts w:cs="Times New Roman"/>
          <w:noProof/>
        </w:rPr>
        <w:t>(2017)</w:t>
      </w:r>
      <w:r w:rsidRPr="006B21B0">
        <w:rPr>
          <w:rFonts w:cs="Times New Roman"/>
        </w:rPr>
        <w:fldChar w:fldCharType="end"/>
      </w:r>
      <w:r w:rsidRPr="006B21B0">
        <w:t xml:space="preserve">. In many cases, the technical potential of electricity generating technologies is even much </w:t>
      </w:r>
      <w:r>
        <w:t>higher</w:t>
      </w:r>
      <w:r w:rsidRPr="006B21B0">
        <w:t xml:space="preserve"> than the anticipated electricity demand projected for 2030, see for example recent assessments for solar energy </w:t>
      </w:r>
      <w:r w:rsidRPr="006B21B0">
        <w:fldChar w:fldCharType="begin" w:fldLock="1"/>
      </w:r>
      <w:r w:rsidRPr="006B21B0">
        <w:instrText>ADDIN CSL_CITATION {"citationItems":[{"id":"ITEM-1","itemData":{"DOI":"10.1038/nenergy.2017.140","ISSN":"2058-7546","author":[{"dropping-particle":"","family":"Creutzig","given":"Felix","non-dropping-particle":"","parse-names":false,"suffix":""},{"dropping-particle":"","family":"Agoston","given":"Peter","non-dropping-particle":"","parse-names":false,"suffix":""},{"dropping-particle":"","family":"Goldschmidt","given":"Jan Christoph","non-dropping-particle":"","parse-names":false,"suffix":""},{"dropping-particle":"","family":"Luderer","given":"Gunnar","non-dropping-particle":"","parse-names":false,"suffix":""},{"dropping-particle":"","family":"Nemet","given":"Gregory","non-dropping-particle":"","parse-names":false,"suffix":""},{"dropping-particle":"","family":"Pietzcker","given":"Robert C.","non-dropping-particle":"","parse-names":false,"suffix":""}],"container-title":"Nature Energy","id":"ITEM-1","issue":"9","issued":{"date-parts":[["2017","9"]]},"page":"17140","title":"The underestimated potential of solar energy to mitigate climate change","type":"article-journal","volume":"2"},"uris":["http://www.mendeley.com/documents/?uuid=63f7db6f-b263-4014-bfa7-dad47a0cd326"]},{"id":"ITEM-2","itemData":{"DOI":"https://doi.org/10.1016/j.apenergy.2019.113968","ISSN":"0306-2619","abstract":"The amount of energy striking the earth’s surface in one hour is higher than global annual societies energy use, yet the fraction of incoming solar radiation that can be harvested is significantly constrained. A global grid-cell methodology was adopted to assess the available global solar energy potential taking into account four constraints: land-use, solar irradiation, solar-to-electric technology, and net energy. Net energy is the amount of energy that is delivered to end-users, after subtraction of the energy inputs needed for capital infrastructure and operation. Both photovoltaic and concentrated solar power technologies are considered. The resulting constrained solar potential worldwide was estimated at 1098 exajoules per year, of which 98%, 75%, and only 15% can be extracted if the system needs to deliver an energy return on energy invested set at 5, 7.</w:instrText>
      </w:r>
      <w:r w:rsidRPr="006B21B0">
        <w:rPr>
          <w:lang w:val="nl-NL"/>
        </w:rPr>
        <w:instrText>5, and 9, respectively. The resulting global solar potential is substantially lower than most previous estimates. Depending on how high the energy return needs to be relative to the energy investment needed to maintain a sustainable society, the achievable potential will be significantly constrained. The effect is especially significant in lower solar radiation regions. The European Union holds only 2% of the global solar net energy potential.","author":[{"dropping-particle":"","family":"Dupont","given":"Elise","non-dropping-particle":"","parse-names":false,"suffix":""},{"dropping-particle":"","family":"Koppelaar","given":"Rembrandt","non-dropping-particle":"","parse-names":false,"suffix":""},{"dropping-particle":"","family":"Jeanmart","given":"Hervé","non-dropping-particle":"","parse-names":false,"suffix":""}],"container-title":"Applied Energy","id":"ITEM-2","issued":{"date-parts":[["2020"]]},"page":"113968","title":"Global available solar energy under physical and energy return on investment constraints","type":"article-journal","volume":"257"},"uris":["http://www.mendeley.com/documents/?uuid=e5956327-a21f-40c5-81d0-2252b621cf29"]}],"mendeley":{"formattedCitation":"(Creutzig et al. 2017; Dupont et al. 2020)","plainTextFormattedCitation":"(Creutzig et al. 2017; Dupont et al. 2020)","previouslyFormattedCitation":"(Creutzig et al. 2017; Dupont et al. 2020)"},"properties":{"noteIndex":0},"schema":"https://github.com/citation-style-language/schema/raw/master/csl-citation.json"}</w:instrText>
      </w:r>
      <w:r w:rsidRPr="006B21B0">
        <w:fldChar w:fldCharType="separate"/>
      </w:r>
      <w:r w:rsidRPr="006B21B0">
        <w:rPr>
          <w:noProof/>
          <w:lang w:val="nl-NL"/>
        </w:rPr>
        <w:t>(Creutzig et al. 2017; Dupont et al. 2020)</w:t>
      </w:r>
      <w:r w:rsidRPr="006B21B0">
        <w:fldChar w:fldCharType="end"/>
      </w:r>
      <w:r w:rsidRPr="00E41EA6">
        <w:rPr>
          <w:lang w:val="nl-NL"/>
        </w:rPr>
        <w:t>,</w:t>
      </w:r>
      <w:r w:rsidRPr="006B21B0">
        <w:rPr>
          <w:lang w:val="nl-NL"/>
        </w:rPr>
        <w:t xml:space="preserve"> onshore wind energy </w:t>
      </w:r>
      <w:r w:rsidRPr="006B21B0">
        <w:fldChar w:fldCharType="begin" w:fldLock="1"/>
      </w:r>
      <w:r w:rsidRPr="006B21B0">
        <w:rPr>
          <w:lang w:val="nl-NL"/>
        </w:rPr>
        <w:instrText>ADDIN CSL_CITATION {"citationItems":[{"id":"ITEM-1","itemData":{"DOI":"10.1016/j.energy.2017.05.052","ISSN":"0360-5442","abstract":"Several influential energy systems models indicate that renewable energy must provide a significant share of the world's electricity to limit global temperature rises to below 2 °C this century. To better represent the costs and other implications of this shift, it is important that these models realistically characterise the technical and economic potential of renewable energy technologies. Towards this goal, this paper presents the first temporally-explicit Geospatial Information System (GIS) methodology to characterise the global onshore wind energy potential with respect to topographical features, land use and environmental constraints. The approach combines the hourly NASA MERRA-2 global wind speed data set with the sp</w:instrText>
      </w:r>
      <w:r w:rsidRPr="00E41EA6">
        <w:rPr>
          <w:lang w:val="nl-NL"/>
        </w:rPr>
        <w:instrText>atially-resolved DTU Global Wind Atlas. This yields high resolution global capacity factors for onshore wind, binned into seasonal and diurnal time-slices to capture the important temporal variability. For each country, the wind power generation capacity available for various capacity factor ranges is produced, and made freely available to the community. This data set can be used to assess the economically viable wind energy potential on a global or per-country basis, and as an input to various energy systems models.","author":[{"dropping-particle":"","family":"Bosch","given":"Jonathan","non-dropping-particle":"","parse-names":false,"suffix":""},{"dropping-particle":"","family":"Staffell","given":"Iain","non-dropping-particle":"","parse-names":false,"suffix":""},{"dropping-particle":"","family":"Hawkes","given":"Adam D","non-dropping-particle":"","parse-names":false,"suffix":""}],"container-title":"Energy","id":"ITEM-1","issued":{"date-parts":[["2017"]]},"page":"207-217","title":"Temporally-explicit and spatially-resolved global onshore wind energy potentials","type":"article-journal","volume":"131"},"uris":["http://www.mendeley.com/documents/?uuid=3d527e65-9111-4298-b775-8c7f80c4e95c"]}],"mendeley":{"formattedCitation":"(Bosch et al. 2017)","plainTextFormattedCitation":"(Bosch et al. 2017)","previouslyFormattedCitation":"(Bosch et al. 2017)"},"properties":{"noteIndex":0},"schema":"https://github.com/citation-style-language/schema/raw/master/csl-citation.json"}</w:instrText>
      </w:r>
      <w:r w:rsidRPr="006B21B0">
        <w:fldChar w:fldCharType="separate"/>
      </w:r>
      <w:r w:rsidRPr="00E41EA6">
        <w:rPr>
          <w:noProof/>
          <w:lang w:val="nl-NL"/>
        </w:rPr>
        <w:t>(Bosch et al. 2017)</w:t>
      </w:r>
      <w:r w:rsidRPr="006B21B0">
        <w:fldChar w:fldCharType="end"/>
      </w:r>
      <w:r w:rsidRPr="00E41EA6">
        <w:rPr>
          <w:lang w:val="nl-NL"/>
        </w:rPr>
        <w:t xml:space="preserve">, offshore wind energy </w:t>
      </w:r>
      <w:r w:rsidRPr="006B21B0">
        <w:fldChar w:fldCharType="begin" w:fldLock="1"/>
      </w:r>
      <w:r w:rsidRPr="00E41EA6">
        <w:rPr>
          <w:lang w:val="nl-NL"/>
        </w:rPr>
        <w:instrText>ADDIN CSL_CITATION {"citationItems":[{"id":"ITEM-1","itemData":{"DOI":"10.1016/j.energy.2018.08.153","ISSN":"0360-5442","abstract":"Several influential energy systems models (ESMs) indicate that renewable energy must supply a large share of the world's electricity to limit global temperature increases to 1.5 °C. To better represent the costs and other implications of such a transition, it is important that ESMs can realistically characterise the technical and economic potential of renewable energy resources. This paper presents a Geospatial Information System methodology for estimating the global offshore wind energy potential, i.e. the terawatt hour per year (TWh/yr) production potential of wind farms, assuming capacity could be built across the viable offshore area of each country. A bottom-up approach characterises the capacity factors of offshore wind farms by estimating the available wind power from high re</w:instrText>
      </w:r>
      <w:r w:rsidRPr="00CD4F27">
        <w:instrText>solution global wind speed data sets. Temporal phenomena are retained by binning hourly wind speeds into 32 time slices per year considering the wind resource across several decades. For 157 countries with a viable offshore wind potential, electricity generation potential is produced in tranches according to the distance to grid connection, water depth and average annual capacity factor. These data can be used as inputs to ESMs and to assess the economically viable offshore wind energy potential, on a global or per-country ba</w:instrText>
      </w:r>
      <w:r w:rsidRPr="002941C2">
        <w:instrText>sis.","author":[{"dr</w:instrText>
      </w:r>
      <w:r w:rsidRPr="00042FC4">
        <w:instrText>opping-particle":"","family":"Bosch","given":"Jonathan","non-dropping-particle":"","parse-names":false,"suffix":""},{"dropping-particle":"","family":"Staffell","given":"Iain","non-dropping-particle":"","parse-names":false,"suffix":""},{"dropping-particle":"","family":"Hawkes","given":"Adam D","non-dropping-particle":"","parse-names":false,"suffix":""}],"container-title":"Energy","id":"ITEM-1","issued":{"date-parts":[["2018"]]},"page":"766-781","title":"Temporally explicit and spatially resolved global offshore wind energy potentials","type":"article-journal","volume":"163"},"uris":["http://www.mendeley.com/documents/?uuid=7f3b9b22-0f00-4284-b493-1452aae3da7f"]}],"mendeley":{"formattedCitation":"(Bosch et al. 2018)","plainTextFormattedCitation":"(Bosch et al. 2018)","previouslyFormattedCitation":"(Bosch et al. 2018)"},"properties":{"noteIndex":0},"schema":"https://github.com/citation-style-language/schema/raw/master/csl-citation.json"}</w:instrText>
      </w:r>
      <w:r w:rsidRPr="006B21B0">
        <w:fldChar w:fldCharType="separate"/>
      </w:r>
      <w:r w:rsidRPr="009F3674">
        <w:rPr>
          <w:noProof/>
        </w:rPr>
        <w:t>(Bosch et al. 2018)</w:t>
      </w:r>
      <w:r w:rsidRPr="006B21B0">
        <w:fldChar w:fldCharType="end"/>
      </w:r>
      <w:r w:rsidRPr="009F3674">
        <w:t xml:space="preserve"> and </w:t>
      </w:r>
      <w:r w:rsidRPr="00042FC4">
        <w:t xml:space="preserve">hydropower </w:t>
      </w:r>
      <w:r w:rsidRPr="006B21B0">
        <w:fldChar w:fldCharType="begin" w:fldLock="1"/>
      </w:r>
      <w:r w:rsidRPr="00042FC4">
        <w:instrText>ADDIN CSL_CITATION {"citationItems":[{"id":"ITEM-1","itemData":{"DOI":"10.1371/journal.pone.0171844","abstract":"Population growth, increasing energy demand and the depletion of fossil fuel reserves necessitate a search for sustainable alternatives for electricity generation. Hydropower could replace a large part of the contribution of gas and oil to the present energy mix. However, previous high-resolution estimates of hydropower potential have been local, and have yet to be applied on a global scale. This study is the first to formally present a detailed evaluation of the hydropower potential of each location, based on slope and discharge of each river in the world. The gross theoretical hydropower potential is approximately 52 PWh/year divided over 11.8 million locations. This 52 PWh/year is equal to 33% of the annually required energy, while the present energy production by hydropower plants is just 3% of the annually required energy. The results of this study: all potentially interesting locations for hydroelectric power plants, are available online.","author":[{"dropping-particle":"","family":"Hoes","given":"Olivier A C","non-dropping-particle":"","parse-names":false,"suffix":""},{"dropping-particle":"","family":"Meijer","given":"Lourens J J","non-dropping-particle":"","parse-names":false,"suffix":""},{"dropping-particle":"","family":"Ent","given":"Ruud J","non-dropping-particle":"van der","parse-names":false,"suffix":""},{"dropp</w:instrText>
      </w:r>
      <w:r w:rsidRPr="00E41EA6">
        <w:instrText>ing-particle":"","family":"Giesen","given":"Nick C","non-dropping-particle":"van de","parse-names":false,"suffix":""}],"container-title":"PLOS ONE","id":"ITEM-1","issue":"2","issued":{"date-parts":[["2017","2","8"]]},"page":"e0171844","publisher":"Public Library of Science","title":"Systematic high-resolution assessment of global hydropower potential","type":"article-journal","volume":"12"},"uris":["http://www.mendeley.com/documents/?uuid=c58354a3-9932-4f66-a350-551d7e47aa03"]}],"mendeley":{"formattedCitation":"(Hoes et al. 2017)","plainTextFormattedCitation":"(Hoes et al. 2017)","previouslyFormattedCitation":"(Hoes et al. 2017)"},"properties":{"noteIndex":0},"schema":"https://github.com/citation-style-language/schema/raw/master/csl-citation.json"}</w:instrText>
      </w:r>
      <w:r w:rsidRPr="006B21B0">
        <w:fldChar w:fldCharType="separate"/>
      </w:r>
      <w:r w:rsidRPr="00E41EA6">
        <w:rPr>
          <w:noProof/>
        </w:rPr>
        <w:t>(Hoes et al. 2017)</w:t>
      </w:r>
      <w:r w:rsidRPr="006B21B0">
        <w:fldChar w:fldCharType="end"/>
      </w:r>
      <w:r w:rsidRPr="00E41EA6">
        <w:t xml:space="preserve">. </w:t>
      </w:r>
    </w:p>
    <w:p w14:paraId="09E8F77A" w14:textId="77777777" w:rsidR="00D275ED" w:rsidRPr="006B21B0" w:rsidRDefault="00D275ED" w:rsidP="00D275ED">
      <w:r w:rsidRPr="009F3674">
        <w:t xml:space="preserve">There are </w:t>
      </w:r>
      <w:r w:rsidRPr="00E41EA6">
        <w:t xml:space="preserve">few </w:t>
      </w:r>
      <w:r w:rsidRPr="009F3674">
        <w:t xml:space="preserve">studies that explicitly explore the limits of deployment of technologies by 2030. </w:t>
      </w:r>
      <w:r w:rsidRPr="006B21B0">
        <w:t xml:space="preserve">For solar energy a group of solar energy experts </w:t>
      </w:r>
      <w:r w:rsidRPr="006B21B0">
        <w:fldChar w:fldCharType="begin" w:fldLock="1"/>
      </w:r>
      <w:r w:rsidRPr="006B21B0">
        <w:instrText>ADDIN CSL_CITATION {"citationItems":[{"id":"ITEM-1","itemData":{"DOI":"10.1126/science.aaw1845","author":[{"dropping-particle":"","family":"Haegel","given":"Nancy M.","non-dropping-particle":"","parse-names":false,"suffix":""},{"dropping-particle":"","family":"Harry","given":"Atwater","non-dropping-particle":"","parse-names":false,"suffix":""},{"dropping-particle":"","family":"Teresa","given":"Barnes","non-dropping-particle":"","parse-names":false,"suffix":""},{"dropping-particle":"","family":"Christian","given":"Breyer","non-dropping-particle":"","parse-names":false,"suffix":""},{"dropping-particle":"","family":"Anthony","given":"Burrell","non-dropping-particle":"","parse-names":false,"suffix":""},{"dropping-particle":"","family":"Yet-Ming","given":"Chiang","non-dropping-particle":"","parse-names":false,"suffix":""},{"dropping-particle":"","family":"Stefaan","given":"De Wolf","non-dropping-particle":"","parse-names":false,"suffix":""},{"dropping-particle":"","family":"Bernhard","given":"Dimmler","non-dropping-particle":"","parse-names":false,"suffix":""},{"dropping-particle":"","family":"David","given":"Feldman","non-dropping-particle":"","parse-names":false,"suffix":""},{"dropping-particle":"","family":"Stefan","given":"Glunz","non-dropping-particle":"","parse-names":false,"suffix":""},{"dropping-particle":"","family":"Christoph","given":"Goldschmidt Jan","non-dropping-particle":"","parse-names":false,"suffix":""},{"dropping-particle":"","family":"David","given":"Hochschild","non-dropping-particle":"","parse-names":false,"suffix":""},{"dropping-particle":"","family":"Ruben","given":"Inzunza","non-dropping-particle":"","parse-names":false,"suffix":""},{"dropping-particle":"","family":"Izumi","given":"Kaizuka","non-dropping-particle":"","parse-names":false,"suffix":""},{"dropping-particle":"","family":"Ben","given":"Kroposki","non-dropping-particle":"","parse-names":false,"suffix":""},{"dropping-particle":"","family":"Sarah","given":"Kurtz","non-dropping-particle":"","parse-names":false,"suffix":""},{"dropping-particle":"","family":"Sylvere","given":"Leu","non-dropping-particle":"","parse-names":false,"suffix":""},{"dropping-particle":"","family":"Robert","given":"Margolis","non-dropping-particle":"","parse-names":false,"suffix":""},{"dropping-particle":"","family":"Koji","given":"Matsubara","non-dropping-particle":"","parse-names":false,"suffix":""},{"dropping-particle":"","family":"Axel","given":"Metz","non-dropping-particle":"","parse-names":false,"suffix":""},{"dropping-particle":"","family":"K.","given":"Metzger Wyatt","non-dropping-particle":"","parse-names":false,"suffix":""},{"dropping-particle":"","family":"Mahesh","given":"Morjaria","non-dropping-particle":"","parse-names":false,"suffix":""},{"dropping-particle":"","family":"Shigeru","given":"Niki","non-dropping-particle":"","parse-names":false,"suffix":""},{"dropping-particle":"","family":"Stefan","given":"Nowak","non-dropping-particle":"","parse-names":false,"suffix":""},{"dropping-particle":"","family":"Marius","given":"Peters Ian","non-dropping-particle":"","parse-names":false,"suffix":""},{"dropping-particle":"","family":"Simon","given":"Philipps","non-dropping-particle":"","parse-names":false,"suffix":""},{"dropping-particle":"","family":"Thomas","given":"Reindl","non-dropping-particle":"","parse-names":false,"suffix":""},{"dropping-particle":"","family":"Andre","given":"Richter","non-dropping-particle":"","parse-names":false,"suffix":""},{"dropping-particle":"","family":"Doug","given":"Rose","non-dropping-particle":"","parse-names":false,"suffix":""},{"dropping-particle":"","family":"Keiichiro","given":"Sakurai","non-dropping-particle":"","parse-names":false,"suffix":""},{"dropping-particle":"","family":"Rutger","given":"Schlatmann","non-dropping-particle":"","parse-names":false,"suffix":""},{"dropping-particle":"","family":"Masahiro","given":"Shikano","non-dropping-particle":"","parse-names":false,"suffix":""},{"dropping-particle":"","family":"Wim","given":"Sinke","non-dropping-particle":"","parse-names":false,"suffix":""},{"dropping-particle":"","family":"Ron","given":"Sinton","non-dropping-particle":"","parse-names":false,"suffix":""},{"dropping-particle":"","family":"B.J.","given":"Stanbery","non-dropping-particle":"","parse-names":false,"suffix":""},{"dropping-particle":"","family":"Marko","given":"Topic","non-dropping-particle":"","parse-names":false,"suffix":""},{"dropping-particle":"","family":"William","given":"Tumas","non-dropping-particle":"","parse-names":false,"suffix":""},{"dropping-particle":"","family":"Yuzuru","given":"Ueda","non-dropping-particle":"","parse-names":false,"suffix":""},{"dropping-particle":"","family":"Jao","given":"van de Lagemaat","non-dropping-particle":"","parse-names":false,"suffix":""},{"dropping-particle":"","family":"Pierre","given":"Verlinden","non-dropping-particle":"","parse-names":false,"suffix":""},{"dropping-particle":"","family":"Matthias","given":"Vetter","non-dropping-particle":"","parse-names":false,"suffix":""},{"dropping-particle":"","family":"Emily","given":"Warren","non-dropping-particle":"","parse-names":false,"suffix":""},{"dropping-particle":"","family":"Mary","given":"Werner","non-dropping-particle":"","parse-names":false,"suffix":""},{"dropping-particle":"","family":"Masafumi","given":"Yamaguchi","non-dropping-particle":"","parse-names":false,"suffix":""},{"dropping-particle":"","family":"W.","given":"Bett Andreas","non-dropping-particle":"","parse-names":false,"suffix":""}],"container-title":"Science","id":"ITEM-1","issue":"6443","issued":{"date-parts":[["2019","5","31"]]},"note":"doi: 10.1126/science.aaw1845","page":"836-838","publisher":"American Association for the Advancement of Science","title":"Terawatt-scale photovoltaics: Transform global energy","type":"article-journal","volume":"364"},"uris":["http://www.mendeley.com/documents/?uuid=cad0c898-d17f-438c-bd2a-27ffc269830c"]}],"mendeley":{"formattedCitation":"(Haegel et al. 2019)","plainTextFormattedCitation":"(Haegel et al. 2019)","previouslyFormattedCitation":"(Haegel et al. 2019)"},"properties":{"noteIndex":0},"schema":"https://github.com/citation-style-language/schema/raw/master/csl-citation.json"}</w:instrText>
      </w:r>
      <w:r w:rsidRPr="006B21B0">
        <w:fldChar w:fldCharType="separate"/>
      </w:r>
      <w:r w:rsidRPr="006B21B0">
        <w:rPr>
          <w:noProof/>
        </w:rPr>
        <w:t>(Haegel et al. 2019)</w:t>
      </w:r>
      <w:r w:rsidRPr="006B21B0">
        <w:fldChar w:fldCharType="end"/>
      </w:r>
      <w:r w:rsidRPr="006B21B0">
        <w:t xml:space="preserve"> showed the feasibility of achieving 10 TW of installed photovoltaic energy capacity in 2030, which is higher than the highest end of the 8.2 TW estimate in the </w:t>
      </w:r>
      <w:r w:rsidRPr="006B21B0">
        <w:rPr>
          <w:rFonts w:cs="Times New Roman"/>
        </w:rPr>
        <w:t xml:space="preserve">UNEP </w:t>
      </w:r>
      <w:r w:rsidRPr="006B21B0">
        <w:rPr>
          <w:rFonts w:cs="Times New Roman"/>
        </w:rPr>
        <w:fldChar w:fldCharType="begin" w:fldLock="1"/>
      </w:r>
      <w:r w:rsidRPr="006B21B0">
        <w:rPr>
          <w:rFonts w:cs="Times New Roman"/>
        </w:rPr>
        <w:instrText>ADDIN CSL_CITATION {"citationItems":[{"id":"ITEM-1","itemData":{"DOI":"10.18356/1cf881fb-en","ISBN":"9789210479691","author":[{"dropping-particle":"","family":"UNEP","given":"","non-dropping-particle":"","parse-names":false,"suffix":""}],"id":"ITEM-1","issued":{"date-parts":[["2017"]]},"number-of-pages":"112","publisher":"United Nations Environment Programme (UNEP)","publisher-place":"Nairobi, Kenya","title":"The Emissions Gap Report 2017","type":"book"},"suppress-author":1,"uris":["http://www.mendeley.com/documents/?uuid=83062ce1-ef24-4cfe-9862-8f6298c4efa2"]}],"mendeley":{"formattedCitation":"(2017)","plainTextFormattedCitation":"(2017)","previouslyFormattedCitation":"(2017)"},"properties":{"noteIndex":0},"schema":"https://github.com/citation-style-language/schema/raw/master/csl-citation.json"}</w:instrText>
      </w:r>
      <w:r w:rsidRPr="006B21B0">
        <w:rPr>
          <w:rFonts w:cs="Times New Roman"/>
        </w:rPr>
        <w:fldChar w:fldCharType="separate"/>
      </w:r>
      <w:r w:rsidRPr="006B21B0">
        <w:rPr>
          <w:rFonts w:cs="Times New Roman"/>
          <w:noProof/>
        </w:rPr>
        <w:t>(2017)</w:t>
      </w:r>
      <w:r w:rsidRPr="006B21B0">
        <w:rPr>
          <w:rFonts w:cs="Times New Roman"/>
        </w:rPr>
        <w:fldChar w:fldCharType="end"/>
      </w:r>
      <w:r w:rsidRPr="006B21B0">
        <w:rPr>
          <w:rFonts w:cs="Times New Roman"/>
        </w:rPr>
        <w:t xml:space="preserve"> </w:t>
      </w:r>
      <w:r w:rsidRPr="006B21B0">
        <w:t xml:space="preserve">report. </w:t>
      </w:r>
      <w:r w:rsidRPr="006B21B0">
        <w:fldChar w:fldCharType="begin" w:fldLock="1"/>
      </w:r>
      <w:r w:rsidRPr="006B21B0">
        <w:instrText>ADDIN CSL_CITATION {"citationItems":[{"id":"ITEM-1","itemData":{"DOI":"10.1038/s41467-019-08855-1","ISSN":"2041-1723","abstract":"A transition towards long-term sustainability in global energy systems based on renewable energy resources can mitigate several growing threats to human society simultaneously: greenhouse gas emissions, human-induced climate deviations, and the exceeding of critical planetary boundaries. However, the optimal structure of future systems and potential transition pathways are still open questions. This research describes a global, 100% renewable electricity system, which can be achieved by 2050, and the steps required to enable a realistic transition that prevents societal disruption. Modelling results show that a carbon neutral electricity system can be built in all regions of the world in an economically feasible manner. This radical transformation will require steady but evolutionary changes for the next 35 years, and will lead to sustainable and affordable power supply globally.","author":[{"dropping-particle":"","family":"Bogdanov","given":"Dmitrii","non-dropping-particle":"","parse-names":false,"suffix":""},{"dropping-particle":"","family":"Farfan","given":"Javier","non-dropping-particle":"","parse-names":false,"suffix":""},{"dropping-particle":"","family":"Sadovskaia","given":"Kristina","non-dropping-particle":"","parse-names":false,"suffix":""},{"dropping-particle":"","family":"Aghahosseini","given":"Arman","non-dropping-particle":"","parse-names":false,"suffix":""},{"dropping-particle":"","family":"Child","given":"Michael","non-dropping-particle":"","parse-names":false,"suffix":""},{"dropping-particle":"","family":"Gulagi","given":"Ashish","non-dropping-particle":"","parse-names":false,"suffix":""},{"dropping-particle":"","family":"Oyewo","given":"Ayobami Solomon","non-dropping-particle":"","parse-names":false,"suffix":""},{"dropping-particle":"","family":"Souza Noel Simas Barbosa","given":"Larissa","non-dropping-particle":"de","parse-names":false,"suffix":""},{"dropping-particle":"","family":"Breyer","given":"Christian","non-dropping-particle":"","parse-names":false,"suffix":""}],"container-title":"Nature Communications","id":"ITEM-1","issue":"1","issued":{"date-parts":[["2019"]]},"page":"1077","title":"Radical transformation pathway towards sustainable electricity via evolutionary steps","type":"article-journal","volume":"10"},"uris":["http://www.mendeley.com/documents/?uuid=26e45cb2-4d32-41c2-8891-55963aa071e7"]}],"mendeley":{"formattedCitation":"(Bogdanov et al. 2019)","manualFormatting":"Bogdanov et al. (2019)","plainTextFormattedCitation":"(Bogdanov et al. 2019)","previouslyFormattedCitation":"(Bogdanov et al. 2019)"},"properties":{"noteIndex":0},"schema":"https://github.com/citation-style-language/schema/raw/master/csl-citation.json"}</w:instrText>
      </w:r>
      <w:r w:rsidRPr="006B21B0">
        <w:fldChar w:fldCharType="separate"/>
      </w:r>
      <w:r w:rsidRPr="006B21B0">
        <w:rPr>
          <w:noProof/>
        </w:rPr>
        <w:t>Bogdanov et al. (2019)</w:t>
      </w:r>
      <w:r w:rsidRPr="006B21B0">
        <w:fldChar w:fldCharType="end"/>
      </w:r>
      <w:r w:rsidRPr="006B21B0">
        <w:t xml:space="preserve"> provide a somewhat </w:t>
      </w:r>
      <w:r>
        <w:t xml:space="preserve">lower </w:t>
      </w:r>
      <w:r w:rsidRPr="006B21B0">
        <w:t>contribution of solar energy in 2030 (installed power 7 TW), but a somewhat higher contribution from wind energy than assumed before, i.e., 3.3 TW. Combined with a substantially higher full-load equivalent hours of wind turbines (3</w:t>
      </w:r>
      <w:r>
        <w:t>2</w:t>
      </w:r>
      <w:r w:rsidRPr="006B21B0">
        <w:t>00 h/y versus 2600 h/y)</w:t>
      </w:r>
      <w:r>
        <w:t>,</w:t>
      </w:r>
      <w:r w:rsidRPr="006B21B0">
        <w:t xml:space="preserve"> this leads to a higher production and associated avoided emissions  compared to </w:t>
      </w:r>
      <w:r w:rsidRPr="006B21B0">
        <w:rPr>
          <w:rFonts w:cs="Times New Roman"/>
        </w:rPr>
        <w:t xml:space="preserve">UNEP </w:t>
      </w:r>
      <w:r w:rsidRPr="006B21B0">
        <w:rPr>
          <w:rFonts w:cs="Times New Roman"/>
        </w:rPr>
        <w:fldChar w:fldCharType="begin" w:fldLock="1"/>
      </w:r>
      <w:r w:rsidRPr="006B21B0">
        <w:rPr>
          <w:rFonts w:cs="Times New Roman"/>
        </w:rPr>
        <w:instrText>ADDIN CSL_CITATION {"citationItems":[{"id":"ITEM-1","itemData":{"DOI":"10.18356/1cf881fb-en","ISBN":"9789210479691","author":[{"dropping-particle":"","family":"UNEP","given":"","non-dropping-particle":"","parse-names":false,"suffix":""}],"id":"ITEM-1","issued":{"date-parts":[["2017"]]},"number-of-pages":"112","publisher":"United Nations Environment Programme (UNEP)","publisher-place":"Nairobi, Kenya","title":"The Emissions Gap Report 2017","type":"book"},"suppress-author":1,"uris":["http://www.mendeley.com/documents/?uuid=83062ce1-ef24-4cfe-9862-8f6298c4efa2"]}],"mendeley":{"formattedCitation":"(2017)","plainTextFormattedCitation":"(2017)","previouslyFormattedCitation":"(2017)"},"properties":{"noteIndex":0},"schema":"https://github.com/citation-style-language/schema/raw/master/csl-citation.json"}</w:instrText>
      </w:r>
      <w:r w:rsidRPr="006B21B0">
        <w:rPr>
          <w:rFonts w:cs="Times New Roman"/>
        </w:rPr>
        <w:fldChar w:fldCharType="separate"/>
      </w:r>
      <w:r w:rsidRPr="006B21B0">
        <w:rPr>
          <w:rFonts w:cs="Times New Roman"/>
          <w:noProof/>
        </w:rPr>
        <w:t>(2017)</w:t>
      </w:r>
      <w:r w:rsidRPr="006B21B0">
        <w:rPr>
          <w:rFonts w:cs="Times New Roman"/>
        </w:rPr>
        <w:fldChar w:fldCharType="end"/>
      </w:r>
      <w:r w:rsidRPr="006B21B0">
        <w:rPr>
          <w:rFonts w:cs="Times New Roman"/>
        </w:rPr>
        <w:t>.</w:t>
      </w:r>
      <w:r>
        <w:rPr>
          <w:rFonts w:cs="Times New Roman"/>
        </w:rPr>
        <w:t xml:space="preserve"> </w:t>
      </w:r>
      <w:r w:rsidRPr="006B21B0">
        <w:t xml:space="preserve">Combined with the higher reference levels for solar and wind energy, this brings the </w:t>
      </w:r>
      <w:r>
        <w:t xml:space="preserve">achievable </w:t>
      </w:r>
      <w:r w:rsidRPr="006B21B0">
        <w:t xml:space="preserve">mitigation potential range </w:t>
      </w:r>
      <w:r>
        <w:t xml:space="preserve">for 2030 </w:t>
      </w:r>
      <w:r w:rsidRPr="006B21B0">
        <w:t xml:space="preserve">for solar energy </w:t>
      </w:r>
      <w:r>
        <w:t>to</w:t>
      </w:r>
      <w:r w:rsidRPr="006B21B0">
        <w:t xml:space="preserve"> 2</w:t>
      </w:r>
      <w:r>
        <w:t xml:space="preserve"> to </w:t>
      </w:r>
      <w:r w:rsidRPr="006B21B0">
        <w:t>7 GtCO</w:t>
      </w:r>
      <w:r w:rsidRPr="006B21B0">
        <w:rPr>
          <w:vertAlign w:val="subscript"/>
        </w:rPr>
        <w:t>2</w:t>
      </w:r>
      <w:r w:rsidRPr="006B21B0">
        <w:t xml:space="preserve"> (from 3</w:t>
      </w:r>
      <w:r>
        <w:t xml:space="preserve"> to </w:t>
      </w:r>
      <w:r w:rsidRPr="006B21B0">
        <w:t>6 GtCO</w:t>
      </w:r>
      <w:r w:rsidRPr="006B21B0">
        <w:rPr>
          <w:vertAlign w:val="subscript"/>
        </w:rPr>
        <w:t>2</w:t>
      </w:r>
      <w:r w:rsidRPr="006B21B0">
        <w:t xml:space="preserve">) and for wind energy </w:t>
      </w:r>
      <w:r>
        <w:t>to</w:t>
      </w:r>
      <w:r w:rsidRPr="006B21B0">
        <w:t xml:space="preserve"> 2.1</w:t>
      </w:r>
      <w:r>
        <w:t xml:space="preserve"> to </w:t>
      </w:r>
      <w:r w:rsidRPr="006B21B0">
        <w:t>5.</w:t>
      </w:r>
      <w:r>
        <w:t>6</w:t>
      </w:r>
      <w:r w:rsidRPr="006B21B0">
        <w:t xml:space="preserve"> GtCO</w:t>
      </w:r>
      <w:r w:rsidRPr="006B21B0">
        <w:rPr>
          <w:vertAlign w:val="subscript"/>
        </w:rPr>
        <w:t>2</w:t>
      </w:r>
      <w:r w:rsidRPr="006B21B0">
        <w:t>-eq (from 2.6</w:t>
      </w:r>
      <w:r>
        <w:t xml:space="preserve"> to </w:t>
      </w:r>
      <w:r w:rsidRPr="006B21B0">
        <w:t>4.1 GtCO</w:t>
      </w:r>
      <w:r w:rsidRPr="006B21B0">
        <w:rPr>
          <w:vertAlign w:val="subscript"/>
        </w:rPr>
        <w:t>2</w:t>
      </w:r>
      <w:r w:rsidRPr="006B21B0">
        <w:t xml:space="preserve">). </w:t>
      </w:r>
    </w:p>
    <w:p w14:paraId="496AA9AF" w14:textId="77777777" w:rsidR="00D275ED" w:rsidRPr="006B21B0" w:rsidRDefault="00D275ED" w:rsidP="00D275ED">
      <w:r w:rsidRPr="006B21B0">
        <w:t xml:space="preserve">Regarding nuclear energy, </w:t>
      </w:r>
      <w:r w:rsidRPr="006B21B0">
        <w:fldChar w:fldCharType="begin" w:fldLock="1"/>
      </w:r>
      <w:r w:rsidRPr="006B21B0">
        <w:instrText>ADDIN CSL_CITATION {"citationItems":[{"id":"ITEM-1","itemData":{"author":[{"dropping-particle":"","family":"IEA","given":"","non-dropping-particle":"","parse-names":false,"suffix":""}],"id":"ITEM-1","issued":{"date-parts":[["2019"]]},"number-of-pages":"99","publisher":"International Energy Agency (IEA)","publisher-place":"Paris, France","title":"Nuclear Power in a Clean Energy System","type":"report"},"uris":["http://www.mendeley.com/documents/?uuid=e13934b8-d2d3-43fa-a803-4066247eac84"]}],"mendeley":{"formattedCitation":"(IEA 2019a)","plainTextFormattedCitation":"(IEA 2019a)","previouslyFormattedCitation":"(IEA 2019a)"},"properties":{"noteIndex":0},"schema":"https://github.com/citation-style-language/schema/raw/master/csl-citation.json"}</w:instrText>
      </w:r>
      <w:r w:rsidRPr="006B21B0">
        <w:fldChar w:fldCharType="separate"/>
      </w:r>
      <w:r w:rsidRPr="006B21B0">
        <w:rPr>
          <w:noProof/>
        </w:rPr>
        <w:t>(IEA 2019a)</w:t>
      </w:r>
      <w:r w:rsidRPr="006B21B0">
        <w:fldChar w:fldCharType="end"/>
      </w:r>
      <w:r w:rsidRPr="006B21B0">
        <w:t xml:space="preserve"> explores the role of lifetime extensions of nuclear power plants. The report shows that an extra 80 GW can stay online by 2030, which would be equivalent to about 0.4 GtCO</w:t>
      </w:r>
      <w:r w:rsidRPr="006B21B0">
        <w:rPr>
          <w:vertAlign w:val="subscript"/>
        </w:rPr>
        <w:t>2</w:t>
      </w:r>
      <w:r w:rsidRPr="006B21B0">
        <w:t xml:space="preserve"> of avoided emissions. This is well below the potential estimate in </w:t>
      </w:r>
      <w:r w:rsidRPr="006B21B0">
        <w:rPr>
          <w:rFonts w:cs="Times New Roman"/>
        </w:rPr>
        <w:t xml:space="preserve">UNEP </w:t>
      </w:r>
      <w:r w:rsidRPr="006B21B0">
        <w:rPr>
          <w:rFonts w:cs="Times New Roman"/>
        </w:rPr>
        <w:fldChar w:fldCharType="begin" w:fldLock="1"/>
      </w:r>
      <w:r w:rsidRPr="006B21B0">
        <w:rPr>
          <w:rFonts w:cs="Times New Roman"/>
        </w:rPr>
        <w:instrText>ADDIN CSL_CITATION {"citationItems":[{"id":"ITEM-1","itemData":{"DOI":"10.18356/1cf881fb-en","ISBN":"9789210479691","author":[{"dropping-particle":"","family":"UNEP","given":"","non-dropping-particle":"","parse-names":false,"suffix":""}],"id":"ITEM-1","issued":{"date-parts":[["2017"]]},"number-of-pages":"112","publisher":"United Nations Environment Programme (UNEP)","publisher-place":"Nairobi, Kenya","title":"The Emissions Gap Report 2017","type":"book"},"suppress-author":1,"uris":["http://www.mendeley.com/documents/?uuid=83062ce1-ef24-4cfe-9862-8f6298c4efa2"]}],"mendeley":{"formattedCitation":"(2017)","plainTextFormattedCitation":"(2017)","previouslyFormattedCitation":"(2017)"},"properties":{"noteIndex":0},"schema":"https://github.com/citation-style-language/schema/raw/master/csl-citation.json"}</w:instrText>
      </w:r>
      <w:r w:rsidRPr="006B21B0">
        <w:rPr>
          <w:rFonts w:cs="Times New Roman"/>
        </w:rPr>
        <w:fldChar w:fldCharType="separate"/>
      </w:r>
      <w:r w:rsidRPr="006B21B0">
        <w:rPr>
          <w:rFonts w:cs="Times New Roman"/>
          <w:noProof/>
        </w:rPr>
        <w:t>(2017)</w:t>
      </w:r>
      <w:r w:rsidRPr="006B21B0">
        <w:rPr>
          <w:rFonts w:cs="Times New Roman"/>
        </w:rPr>
        <w:fldChar w:fldCharType="end"/>
      </w:r>
      <w:r w:rsidRPr="006B21B0">
        <w:rPr>
          <w:rFonts w:cs="Times New Roman"/>
        </w:rPr>
        <w:t xml:space="preserve"> </w:t>
      </w:r>
      <w:r w:rsidRPr="006B21B0">
        <w:t xml:space="preserve">and could be part of the realisation of that potential, compensating for the fact that the potential for new-built power plants in the timeframe until 2030 will gradually decrease given the long lead times </w:t>
      </w:r>
      <w:r>
        <w:t xml:space="preserve">required </w:t>
      </w:r>
      <w:r w:rsidRPr="006B21B0">
        <w:t xml:space="preserve">to get nuclear power plants online </w:t>
      </w:r>
      <w:r w:rsidRPr="006B21B0">
        <w:fldChar w:fldCharType="begin" w:fldLock="1"/>
      </w:r>
      <w:r w:rsidRPr="006B21B0">
        <w:instrText>ADDIN CSL_CITATION {"citationItems":[{"id":"ITEM-1","itemData":{"ISBN":"978-92-64-97300-8","author":[{"dropping-particle":"","family":"IEA","given":"","non-dropping-particle":"","parse-names":false,"suffix":""}],"id":"ITEM-1","issued":{"date-parts":[["2019"]]},"number-of-pages":"810","publisher":"International Energy Agency (IEA)","publisher-place":"Paris, France","title":"World Energy Outlook 2019","type":"report"},"uris":["http://www.mendeley.com/documents/?uuid=92b03938-9a89-4f14-9b82-53e78b794766"]}],"mendeley":{"formattedCitation":"(IEA 2019b)","plainTextFormattedCitation":"(IEA 2019b)","previouslyFormattedCitation":"(IEA 2019b)"},"properties":{"noteIndex":0},"schema":"https://github.com/citation-style-language/schema/raw/master/csl-citation.json"}</w:instrText>
      </w:r>
      <w:r w:rsidRPr="006B21B0">
        <w:fldChar w:fldCharType="separate"/>
      </w:r>
      <w:r w:rsidRPr="006B21B0">
        <w:rPr>
          <w:noProof/>
        </w:rPr>
        <w:t>(IEA 2019b)</w:t>
      </w:r>
      <w:r w:rsidRPr="006B21B0">
        <w:fldChar w:fldCharType="end"/>
      </w:r>
      <w:r w:rsidRPr="006B21B0">
        <w:t xml:space="preserve">. Based on these considerations, the potential for nuclear energy is not </w:t>
      </w:r>
      <w:r>
        <w:t>updated from the figures presented in</w:t>
      </w:r>
      <w:r w:rsidRPr="000F7A87">
        <w:rPr>
          <w:rFonts w:cs="Times New Roman"/>
        </w:rPr>
        <w:t xml:space="preserve"> </w:t>
      </w:r>
      <w:r w:rsidRPr="006B21B0">
        <w:rPr>
          <w:rFonts w:cs="Times New Roman"/>
        </w:rPr>
        <w:t xml:space="preserve">UNEP </w:t>
      </w:r>
      <w:r w:rsidRPr="006B21B0">
        <w:rPr>
          <w:rFonts w:cs="Times New Roman"/>
        </w:rPr>
        <w:fldChar w:fldCharType="begin" w:fldLock="1"/>
      </w:r>
      <w:r w:rsidRPr="006B21B0">
        <w:rPr>
          <w:rFonts w:cs="Times New Roman"/>
        </w:rPr>
        <w:instrText>ADDIN CSL_CITATION {"citationItems":[{"id":"ITEM-1","itemData":{"DOI":"10.18356/1cf881fb-en","ISBN":"9789210479691","author":[{"dropping-particle":"","family":"UNEP","given":"","non-dropping-particle":"","parse-names":false,"suffix":""}],"id":"ITEM-1","issued":{"date-parts":[["2017"]]},"number-of-pages":"112","publisher":"United Nations Environment Programme (UNEP)","publisher-place":"Nairobi, Kenya","title":"The Emissions Gap Report 2017","type":"book"},"suppress-author":1,"uris":["http://www.mendeley.com/documents/?uuid=83062ce1-ef24-4cfe-9862-8f6298c4efa2"]}],"mendeley":{"formattedCitation":"(2017)","plainTextFormattedCitation":"(2017)","previouslyFormattedCitation":"(2017)"},"properties":{"noteIndex":0},"schema":"https://github.com/citation-style-language/schema/raw/master/csl-citation.json"}</w:instrText>
      </w:r>
      <w:r w:rsidRPr="006B21B0">
        <w:rPr>
          <w:rFonts w:cs="Times New Roman"/>
        </w:rPr>
        <w:fldChar w:fldCharType="separate"/>
      </w:r>
      <w:r w:rsidRPr="006B21B0">
        <w:rPr>
          <w:rFonts w:cs="Times New Roman"/>
          <w:noProof/>
        </w:rPr>
        <w:t>(2017)</w:t>
      </w:r>
      <w:r w:rsidRPr="006B21B0">
        <w:rPr>
          <w:rFonts w:cs="Times New Roman"/>
        </w:rPr>
        <w:fldChar w:fldCharType="end"/>
      </w:r>
      <w:r w:rsidRPr="006B21B0">
        <w:t>.</w:t>
      </w:r>
    </w:p>
    <w:p w14:paraId="1BFC786A" w14:textId="77777777" w:rsidR="00D275ED" w:rsidRPr="006B21B0" w:rsidRDefault="00D275ED" w:rsidP="00D275ED">
      <w:r w:rsidRPr="006B21B0">
        <w:t>For other low-carbon electricity sources, no studies were found that led to a downward or upward revision of the potentials identified in</w:t>
      </w:r>
      <w:r w:rsidRPr="006B21B0">
        <w:rPr>
          <w:rFonts w:cs="Times New Roman"/>
        </w:rPr>
        <w:t xml:space="preserve"> UNEP </w:t>
      </w:r>
      <w:r w:rsidRPr="006B21B0">
        <w:rPr>
          <w:rFonts w:cs="Times New Roman"/>
        </w:rPr>
        <w:fldChar w:fldCharType="begin" w:fldLock="1"/>
      </w:r>
      <w:r w:rsidRPr="006B21B0">
        <w:rPr>
          <w:rFonts w:cs="Times New Roman"/>
        </w:rPr>
        <w:instrText>ADDIN CSL_CITATION {"citationItems":[{"id":"ITEM-1","itemData":{"DOI":"10.18356/1cf881fb-en","ISBN":"9789210479691","author":[{"dropping-particle":"","family":"UNEP","given":"","non-dropping-particle":"","parse-names":false,"suffix":""}],"id":"ITEM-1","issued":{"date-parts":[["2017"]]},"number-of-pages":"112","publisher":"United Nations Environment Programme (UNEP)","publisher-place":"Nairobi, Kenya","title":"The Emissions Gap Report 2017","type":"book"},"suppress-author":1,"uris":["http://www.mendeley.com/documents/?uuid=83062ce1-ef24-4cfe-9862-8f6298c4efa2"]}],"mendeley":{"formattedCitation":"(2017)","plainTextFormattedCitation":"(2017)","previouslyFormattedCitation":"(2017)"},"properties":{"noteIndex":0},"schema":"https://github.com/citation-style-language/schema/raw/master/csl-citation.json"}</w:instrText>
      </w:r>
      <w:r w:rsidRPr="006B21B0">
        <w:rPr>
          <w:rFonts w:cs="Times New Roman"/>
        </w:rPr>
        <w:fldChar w:fldCharType="separate"/>
      </w:r>
      <w:r w:rsidRPr="006B21B0">
        <w:rPr>
          <w:rFonts w:cs="Times New Roman"/>
          <w:noProof/>
        </w:rPr>
        <w:t>(2017)</w:t>
      </w:r>
      <w:r w:rsidRPr="006B21B0">
        <w:rPr>
          <w:rFonts w:cs="Times New Roman"/>
        </w:rPr>
        <w:fldChar w:fldCharType="end"/>
      </w:r>
      <w:r w:rsidRPr="006B21B0">
        <w:t>.</w:t>
      </w:r>
    </w:p>
    <w:p w14:paraId="3FA44C2E" w14:textId="77777777" w:rsidR="00D275ED" w:rsidRPr="006B21B0" w:rsidRDefault="00D275ED" w:rsidP="00D275ED">
      <w:pPr>
        <w:rPr>
          <w:rFonts w:cs="Times New Roman"/>
        </w:rPr>
      </w:pPr>
      <w:r w:rsidRPr="006B21B0">
        <w:rPr>
          <w:rFonts w:cs="Times New Roman"/>
        </w:rPr>
        <w:t xml:space="preserve">The mitigation cost data per electricity generation technology were provided by Chapter 6. </w:t>
      </w:r>
      <w:r>
        <w:rPr>
          <w:rFonts w:cs="Times New Roman"/>
        </w:rPr>
        <w:t>The s</w:t>
      </w:r>
      <w:r w:rsidRPr="006B21B0">
        <w:rPr>
          <w:rFonts w:cs="Times New Roman"/>
        </w:rPr>
        <w:t xml:space="preserve">tarting point </w:t>
      </w:r>
      <w:r>
        <w:rPr>
          <w:rFonts w:cs="Times New Roman"/>
        </w:rPr>
        <w:t xml:space="preserve">was </w:t>
      </w:r>
      <w:r w:rsidRPr="006B21B0">
        <w:rPr>
          <w:rFonts w:cs="Times New Roman"/>
        </w:rPr>
        <w:t>electricity production cost data for 20</w:t>
      </w:r>
      <w:r>
        <w:rPr>
          <w:rFonts w:cs="Times New Roman"/>
        </w:rPr>
        <w:t>19</w:t>
      </w:r>
      <w:r w:rsidRPr="006B21B0">
        <w:rPr>
          <w:rFonts w:cs="Times New Roman"/>
        </w:rPr>
        <w:t xml:space="preserve"> and 20</w:t>
      </w:r>
      <w:r>
        <w:rPr>
          <w:rFonts w:cs="Times New Roman"/>
        </w:rPr>
        <w:t>3</w:t>
      </w:r>
      <w:r w:rsidRPr="006B21B0">
        <w:rPr>
          <w:rFonts w:cs="Times New Roman"/>
        </w:rPr>
        <w:t>0 provided by IEA for four marker regions: Asia (China), Asia (India), Europe, and North America. For these regions</w:t>
      </w:r>
      <w:r>
        <w:rPr>
          <w:rFonts w:cs="Times New Roman"/>
        </w:rPr>
        <w:t>,</w:t>
      </w:r>
      <w:r w:rsidRPr="006B21B0">
        <w:rPr>
          <w:rFonts w:cs="Times New Roman"/>
        </w:rPr>
        <w:t xml:space="preserve"> mitigation costs were calculated for two </w:t>
      </w:r>
      <w:r>
        <w:rPr>
          <w:rFonts w:cs="Times New Roman"/>
        </w:rPr>
        <w:t xml:space="preserve">scenarios, the first </w:t>
      </w:r>
      <w:r w:rsidRPr="006B21B0">
        <w:rPr>
          <w:rFonts w:cs="Times New Roman"/>
        </w:rPr>
        <w:t xml:space="preserve">in which coal-fired power plants are replaced, and </w:t>
      </w:r>
      <w:r>
        <w:rPr>
          <w:rFonts w:cs="Times New Roman"/>
        </w:rPr>
        <w:t xml:space="preserve">the second </w:t>
      </w:r>
      <w:r w:rsidRPr="006B21B0">
        <w:rPr>
          <w:rFonts w:cs="Times New Roman"/>
        </w:rPr>
        <w:t xml:space="preserve">in which natural-gas fired power plants are replaced, leading to a total of eight cases. Although these cases cannot be used to determine an accurate global distribution of mitigation costs, they are considered sufficiently representative for the </w:t>
      </w:r>
      <w:r w:rsidRPr="006B21B0">
        <w:rPr>
          <w:rFonts w:cs="Times New Roman"/>
          <w:i/>
        </w:rPr>
        <w:t>range</w:t>
      </w:r>
      <w:r w:rsidRPr="006B21B0">
        <w:rPr>
          <w:rFonts w:cs="Times New Roman"/>
        </w:rPr>
        <w:t xml:space="preserve"> of mitigation costs for each technology. </w:t>
      </w:r>
    </w:p>
    <w:p w14:paraId="1D0B5A1A" w14:textId="77777777" w:rsidR="00D275ED" w:rsidRPr="008548A0" w:rsidRDefault="00D275ED" w:rsidP="00D275ED">
      <w:pPr>
        <w:rPr>
          <w:rFonts w:cs="Times New Roman"/>
        </w:rPr>
      </w:pPr>
      <w:r w:rsidRPr="006B21B0">
        <w:rPr>
          <w:rFonts w:cs="Times New Roman"/>
        </w:rPr>
        <w:t xml:space="preserve">For </w:t>
      </w:r>
      <w:r>
        <w:rPr>
          <w:rFonts w:cs="Times New Roman"/>
        </w:rPr>
        <w:t xml:space="preserve"> onshore </w:t>
      </w:r>
      <w:r w:rsidRPr="006B21B0">
        <w:rPr>
          <w:rFonts w:cs="Times New Roman"/>
        </w:rPr>
        <w:t xml:space="preserve">wind and </w:t>
      </w:r>
      <w:r>
        <w:rPr>
          <w:rFonts w:cs="Times New Roman"/>
        </w:rPr>
        <w:t xml:space="preserve">utility </w:t>
      </w:r>
      <w:r w:rsidRPr="006B21B0">
        <w:rPr>
          <w:rFonts w:cs="Times New Roman"/>
        </w:rPr>
        <w:t>solar energy</w:t>
      </w:r>
      <w:r>
        <w:rPr>
          <w:rFonts w:cs="Times New Roman"/>
        </w:rPr>
        <w:t xml:space="preserve"> </w:t>
      </w:r>
      <w:r w:rsidRPr="006B21B0">
        <w:rPr>
          <w:rFonts w:cs="Times New Roman"/>
        </w:rPr>
        <w:t xml:space="preserve">the mitigation costs </w:t>
      </w:r>
      <w:r>
        <w:rPr>
          <w:rFonts w:cs="Times New Roman"/>
        </w:rPr>
        <w:t>end up in the</w:t>
      </w:r>
      <w:r w:rsidRPr="006B21B0">
        <w:rPr>
          <w:rFonts w:cs="Times New Roman"/>
        </w:rPr>
        <w:t xml:space="preserve"> negative cost bins</w:t>
      </w:r>
      <w:r>
        <w:rPr>
          <w:rFonts w:cs="Times New Roman"/>
        </w:rPr>
        <w:t xml:space="preserve">, if we compare full LCOE of these technologies with the full LCOE of conventional </w:t>
      </w:r>
      <w:r>
        <w:rPr>
          <w:rFonts w:cs="Times New Roman"/>
        </w:rPr>
        <w:lastRenderedPageBreak/>
        <w:t xml:space="preserve">power production. However, if solar and wind energy develop rapidly, they will not necessarily replace existing capacity, but rather just avoid the fuel and other operational costs of existing power plants. Taking that into account, the mitigation costs will become higher. In </w:t>
      </w:r>
      <w:r w:rsidRPr="00BE1072">
        <w:rPr>
          <w:rFonts w:cs="Times New Roman"/>
        </w:rPr>
        <w:t xml:space="preserve">many cases still negative costs occur, but also costs in </w:t>
      </w:r>
      <w:r w:rsidRPr="006B21B0">
        <w:rPr>
          <w:rFonts w:cs="Times New Roman"/>
        </w:rPr>
        <w:t xml:space="preserve">the ranges of 0 </w:t>
      </w:r>
      <w:r>
        <w:rPr>
          <w:rFonts w:cs="Times New Roman"/>
        </w:rPr>
        <w:t>to</w:t>
      </w:r>
      <w:r w:rsidRPr="006B21B0">
        <w:rPr>
          <w:rFonts w:cs="Times New Roman"/>
        </w:rPr>
        <w:t xml:space="preserve"> 50 USD tCO</w:t>
      </w:r>
      <w:r w:rsidRPr="006B21B0">
        <w:rPr>
          <w:rFonts w:cs="Times New Roman"/>
          <w:vertAlign w:val="subscript"/>
        </w:rPr>
        <w:t>2</w:t>
      </w:r>
      <w:r>
        <w:rPr>
          <w:rFonts w:cs="Times New Roman"/>
        </w:rPr>
        <w:t>-e</w:t>
      </w:r>
      <w:r w:rsidRPr="006B21B0">
        <w:rPr>
          <w:rFonts w:cs="Times New Roman"/>
        </w:rPr>
        <w:t>q</w:t>
      </w:r>
      <w:r w:rsidRPr="006B21B0">
        <w:rPr>
          <w:rFonts w:cs="Times New Roman"/>
          <w:vertAlign w:val="superscript"/>
        </w:rPr>
        <w:t>-1</w:t>
      </w:r>
      <w:r w:rsidRPr="006B21B0">
        <w:rPr>
          <w:rFonts w:cs="Times New Roman"/>
        </w:rPr>
        <w:t xml:space="preserve"> (for wind) </w:t>
      </w:r>
      <w:r>
        <w:rPr>
          <w:rFonts w:cs="Times New Roman"/>
        </w:rPr>
        <w:t xml:space="preserve">and </w:t>
      </w:r>
      <w:r w:rsidRPr="006B21B0">
        <w:rPr>
          <w:rFonts w:cs="Times New Roman"/>
        </w:rPr>
        <w:t xml:space="preserve">0 </w:t>
      </w:r>
      <w:r>
        <w:rPr>
          <w:rFonts w:cs="Times New Roman"/>
        </w:rPr>
        <w:t>to</w:t>
      </w:r>
      <w:r w:rsidRPr="006B21B0">
        <w:rPr>
          <w:rFonts w:cs="Times New Roman"/>
        </w:rPr>
        <w:t xml:space="preserve"> 100 USD tCO</w:t>
      </w:r>
      <w:r w:rsidRPr="006B21B0">
        <w:rPr>
          <w:rFonts w:cs="Times New Roman"/>
          <w:vertAlign w:val="subscript"/>
        </w:rPr>
        <w:t>2</w:t>
      </w:r>
      <w:r>
        <w:rPr>
          <w:rFonts w:cs="Times New Roman"/>
        </w:rPr>
        <w:t>-e</w:t>
      </w:r>
      <w:r w:rsidRPr="006B21B0">
        <w:rPr>
          <w:rFonts w:cs="Times New Roman"/>
        </w:rPr>
        <w:t>q</w:t>
      </w:r>
      <w:r w:rsidRPr="006B21B0">
        <w:rPr>
          <w:rFonts w:cs="Times New Roman"/>
          <w:vertAlign w:val="superscript"/>
        </w:rPr>
        <w:t>-1</w:t>
      </w:r>
      <w:r w:rsidRPr="006B21B0">
        <w:rPr>
          <w:rFonts w:cs="Times New Roman"/>
        </w:rPr>
        <w:t xml:space="preserve"> (for solar)</w:t>
      </w:r>
      <w:r>
        <w:rPr>
          <w:rFonts w:cs="Times New Roman"/>
        </w:rPr>
        <w:t xml:space="preserve"> occur</w:t>
      </w:r>
      <w:r w:rsidRPr="006B21B0">
        <w:rPr>
          <w:rFonts w:cs="Times New Roman"/>
        </w:rPr>
        <w:t xml:space="preserve">. </w:t>
      </w:r>
      <w:r>
        <w:rPr>
          <w:rFonts w:cs="Times New Roman"/>
        </w:rPr>
        <w:t>T</w:t>
      </w:r>
      <w:r w:rsidRPr="006B21B0">
        <w:rPr>
          <w:rFonts w:cs="Times New Roman"/>
        </w:rPr>
        <w:t xml:space="preserve">his </w:t>
      </w:r>
      <w:r>
        <w:rPr>
          <w:rFonts w:cs="Times New Roman"/>
        </w:rPr>
        <w:t xml:space="preserve">full </w:t>
      </w:r>
      <w:r w:rsidRPr="006B21B0">
        <w:rPr>
          <w:rFonts w:cs="Times New Roman"/>
        </w:rPr>
        <w:t>range of cost bins</w:t>
      </w:r>
      <w:r>
        <w:rPr>
          <w:rFonts w:cs="Times New Roman"/>
        </w:rPr>
        <w:t xml:space="preserve"> is used</w:t>
      </w:r>
      <w:r w:rsidRPr="006B21B0">
        <w:rPr>
          <w:rFonts w:cs="Times New Roman"/>
        </w:rPr>
        <w:t xml:space="preserve">, </w:t>
      </w:r>
      <w:r>
        <w:rPr>
          <w:rFonts w:cs="Times New Roman"/>
        </w:rPr>
        <w:t xml:space="preserve">noting </w:t>
      </w:r>
      <w:r w:rsidRPr="006B21B0">
        <w:rPr>
          <w:rFonts w:cs="Times New Roman"/>
        </w:rPr>
        <w:t xml:space="preserve">that the majority of the potential will be in the negative cost bin. The latter is also confirmed by the analysis of the </w:t>
      </w:r>
      <w:r>
        <w:rPr>
          <w:rFonts w:cs="Times New Roman"/>
        </w:rPr>
        <w:t xml:space="preserve">historic </w:t>
      </w:r>
      <w:r w:rsidRPr="006B21B0">
        <w:rPr>
          <w:rFonts w:cs="Times New Roman"/>
        </w:rPr>
        <w:t xml:space="preserve">development of electricity production costs in Chapter 6 (Figure </w:t>
      </w:r>
      <w:r>
        <w:rPr>
          <w:rFonts w:cs="Times New Roman"/>
        </w:rPr>
        <w:t>SPM.5)</w:t>
      </w:r>
      <w:r w:rsidRPr="006B21B0">
        <w:rPr>
          <w:rFonts w:cs="Times New Roman"/>
        </w:rPr>
        <w:t>.</w:t>
      </w:r>
      <w:r>
        <w:rPr>
          <w:rFonts w:cs="Times New Roman"/>
        </w:rPr>
        <w:t xml:space="preserve"> Offshore wind currently is more expensive, but also here negative costs are expected by 2030. For nuclear energy, costs can vary widely, largely region-dependent, the cases end up in the cost bins ranging from negative to over 100 USD tCO</w:t>
      </w:r>
      <w:r w:rsidRPr="008548A0">
        <w:rPr>
          <w:rFonts w:cs="Times New Roman"/>
          <w:vertAlign w:val="subscript"/>
        </w:rPr>
        <w:t>2</w:t>
      </w:r>
      <w:r w:rsidRPr="008548A0">
        <w:rPr>
          <w:rFonts w:cs="Times New Roman"/>
        </w:rPr>
        <w:t>eq</w:t>
      </w:r>
      <w:r w:rsidRPr="008548A0">
        <w:rPr>
          <w:rFonts w:cs="Times New Roman"/>
          <w:vertAlign w:val="superscript"/>
        </w:rPr>
        <w:t>-1</w:t>
      </w:r>
      <w:r>
        <w:rPr>
          <w:rFonts w:cs="Times New Roman"/>
        </w:rPr>
        <w:t>. For bio-energy, carbon capture and storage and bio-energy combined with carbon capture and storage (BECCS), mitigation costs virtually all end up in the range of 50 to 200 USD tCO</w:t>
      </w:r>
      <w:r w:rsidRPr="008548A0">
        <w:rPr>
          <w:rFonts w:cs="Times New Roman"/>
          <w:vertAlign w:val="subscript"/>
        </w:rPr>
        <w:t>2</w:t>
      </w:r>
      <w:r w:rsidRPr="008548A0">
        <w:rPr>
          <w:rFonts w:cs="Times New Roman"/>
        </w:rPr>
        <w:t>eq</w:t>
      </w:r>
      <w:r w:rsidRPr="008548A0">
        <w:rPr>
          <w:rFonts w:cs="Times New Roman"/>
          <w:vertAlign w:val="superscript"/>
        </w:rPr>
        <w:t>-1</w:t>
      </w:r>
      <w:r>
        <w:rPr>
          <w:rFonts w:cs="Times New Roman"/>
        </w:rPr>
        <w:t>. For hydropower and geothermal energy costs in the range of 0 to 100 USD tCO</w:t>
      </w:r>
      <w:r w:rsidRPr="008548A0">
        <w:rPr>
          <w:rFonts w:cs="Times New Roman"/>
          <w:vertAlign w:val="subscript"/>
        </w:rPr>
        <w:t>2</w:t>
      </w:r>
      <w:r w:rsidRPr="008548A0">
        <w:rPr>
          <w:rFonts w:cs="Times New Roman"/>
        </w:rPr>
        <w:t>eq</w:t>
      </w:r>
      <w:r w:rsidRPr="008548A0">
        <w:rPr>
          <w:rFonts w:cs="Times New Roman"/>
          <w:vertAlign w:val="superscript"/>
        </w:rPr>
        <w:t>-1</w:t>
      </w:r>
      <w:r>
        <w:rPr>
          <w:rFonts w:cs="Times New Roman"/>
        </w:rPr>
        <w:t xml:space="preserve"> are assumed. It should be stressed that costs vary widely depending on local and regional conditions (see also Section 6.4.7), but the cost ranges presented here are considered to represent how the various technologies compare in mitigation costs, along with the variability per technology.</w:t>
      </w:r>
    </w:p>
    <w:p w14:paraId="578C65AB" w14:textId="77777777" w:rsidR="00D275ED" w:rsidRPr="009710B2" w:rsidRDefault="00D275ED" w:rsidP="00D275ED">
      <w:pPr>
        <w:rPr>
          <w:rFonts w:cs="Times New Roman"/>
        </w:rPr>
      </w:pPr>
    </w:p>
    <w:p w14:paraId="4025433D" w14:textId="77777777" w:rsidR="00D275ED" w:rsidRPr="00471B01" w:rsidRDefault="00D275ED" w:rsidP="00D275ED">
      <w:pPr>
        <w:rPr>
          <w:rFonts w:cs="Times New Roman"/>
          <w:b/>
          <w:i/>
        </w:rPr>
      </w:pPr>
      <w:r w:rsidRPr="00471B01">
        <w:rPr>
          <w:rFonts w:cs="Times New Roman"/>
          <w:b/>
          <w:i/>
        </w:rPr>
        <w:t>Methane emission reduction</w:t>
      </w:r>
      <w:r>
        <w:rPr>
          <w:rFonts w:cs="Times New Roman"/>
          <w:b/>
          <w:i/>
        </w:rPr>
        <w:t>s (excluding AFOLU)</w:t>
      </w:r>
    </w:p>
    <w:p w14:paraId="70914723" w14:textId="77777777" w:rsidR="00D275ED" w:rsidRDefault="00D275ED" w:rsidP="00D275ED">
      <w:pPr>
        <w:shd w:val="clear" w:color="auto" w:fill="FFFFFF" w:themeFill="background1"/>
        <w:rPr>
          <w:rFonts w:cs="Times New Roman"/>
        </w:rPr>
      </w:pPr>
      <w:r w:rsidRPr="00471DA5">
        <w:rPr>
          <w:rFonts w:cs="Times New Roman"/>
        </w:rPr>
        <w:t>Data for CH</w:t>
      </w:r>
      <w:r w:rsidRPr="00471DA5">
        <w:rPr>
          <w:rFonts w:cs="Times New Roman"/>
          <w:vertAlign w:val="subscript"/>
        </w:rPr>
        <w:t>4</w:t>
      </w:r>
      <w:r w:rsidRPr="00471DA5">
        <w:rPr>
          <w:rFonts w:cs="Times New Roman"/>
        </w:rPr>
        <w:t xml:space="preserve"> emission reduction</w:t>
      </w:r>
      <w:r>
        <w:rPr>
          <w:rFonts w:cs="Times New Roman"/>
        </w:rPr>
        <w:t>s</w:t>
      </w:r>
      <w:r w:rsidRPr="00471DA5">
        <w:rPr>
          <w:rFonts w:cs="Times New Roman"/>
        </w:rPr>
        <w:t xml:space="preserve"> from</w:t>
      </w:r>
      <w:r>
        <w:rPr>
          <w:rFonts w:cs="Times New Roman"/>
        </w:rPr>
        <w:t xml:space="preserve"> </w:t>
      </w:r>
      <w:r w:rsidRPr="00471DA5">
        <w:rPr>
          <w:rFonts w:cs="Times New Roman"/>
        </w:rPr>
        <w:t>coal, oil and natural gas operations</w:t>
      </w:r>
      <w:r>
        <w:rPr>
          <w:rFonts w:cs="Times New Roman"/>
        </w:rPr>
        <w:t>,</w:t>
      </w:r>
      <w:r w:rsidRPr="00471DA5">
        <w:rPr>
          <w:rFonts w:cs="Times New Roman"/>
        </w:rPr>
        <w:t xml:space="preserve"> solid waste</w:t>
      </w:r>
      <w:r>
        <w:rPr>
          <w:rFonts w:cs="Times New Roman"/>
        </w:rPr>
        <w:t xml:space="preserve"> and waste water were provided by three organisations: IIASA, Netherlands Environmental Assessment Agency PBL and US-EPA. For oil and gas, data from the IEA were also used. In this analysis, as far as possible global warming potentials (GWPs) as established in the 6</w:t>
      </w:r>
      <w:r w:rsidRPr="008C709B">
        <w:rPr>
          <w:rFonts w:cs="Times New Roman"/>
          <w:vertAlign w:val="superscript"/>
        </w:rPr>
        <w:t>th</w:t>
      </w:r>
      <w:r>
        <w:rPr>
          <w:rFonts w:cs="Times New Roman"/>
        </w:rPr>
        <w:t xml:space="preserve"> Assessment Report are used: 27 for biogenic methane and 28.9 for fossil methane (Cross-Chapter Box 3 in Chapter 2).</w:t>
      </w:r>
    </w:p>
    <w:p w14:paraId="1062EA9A" w14:textId="77777777" w:rsidR="00D275ED" w:rsidRDefault="00D275ED" w:rsidP="00D275ED">
      <w:pPr>
        <w:shd w:val="clear" w:color="auto" w:fill="FFFFFF" w:themeFill="background1"/>
        <w:rPr>
          <w:rFonts w:cs="Times New Roman"/>
        </w:rPr>
      </w:pPr>
      <w:r>
        <w:rPr>
          <w:rFonts w:cs="Times New Roman"/>
        </w:rPr>
        <w:t xml:space="preserve">The analysis by IIASA is reported in </w:t>
      </w:r>
      <w:r w:rsidRPr="00471DA5">
        <w:rPr>
          <w:rFonts w:cs="Times New Roman"/>
        </w:rPr>
        <w:fldChar w:fldCharType="begin" w:fldLock="1"/>
      </w:r>
      <w:r>
        <w:rPr>
          <w:rFonts w:cs="Times New Roman"/>
        </w:rPr>
        <w:instrText>ADDIN CSL_CITATION {"citationItems":[{"id":"ITEM-1","itemData":{"DOI":"10.1088/2515-7620/ab7457","abstract":"Methane is the second most important greenhouse gas after carbon dioxide contributing to human-made global warming. Keeping to the Paris Agreement of staying well below two degrees warming will require a concerted effort to curb methane emissions in addition to necessary decarbonization of the energy systems. The fastest way to achieve emission reductions in the 2050 timeframe is likely through implementation of various technical options. The focus of this study is to explore the technical abatement and cost pathways for reducing global methane emissions, breaking reductions down to regional and sector levels using the most recent version of IIASA's Greenhouse gas and Air pollution Interactions and Synergies (GAINS) model. The diverse human activities that contribute to methane emissions make detailed information on potential global impacts of actions at the regional and sectoral levels particularly valuable for policy-makers. With a global annual inventory for 1990-2015 as starting point for projections, we produce a baseline emission scenario to 2050 against which future technical abatement potentials and costs are assessed at a country and sector/technology level. We find it technically feasible in year 2050 to remove 54 percent of global methane emissions below baseline, however, due to locked in capital in the short run, the cumulative removal potential over the period 2020-2050 is estimated at 38 percent below baseline. This leaves 7.7 Pg methane released globally between today and 2050 that will likely be difficult to remove through technical solutions. There are extensive technical opportunities at low costs to control emissions from waste and wastewater handling and from fossil fuel production and use. A considerably more limited technical abatement potential is found for agricultural emissions, in particular from extensive livestock rearing in developing countries. This calls for widespread implementation in the 2050 timeframe of institutional and behavioural options in addition to technical solutions.","author":[{"dropping-particle":"","family":"Höglund-Isaksson","given":"Lena","non-dropping-particle":"","parse-names":false,"suffix":""},{"dropping-particle":"","family":"Gómez-Sanabria","given":"Adriana","non-dropping-particle":"","parse-names":false,"suffix":""},{"dropping-particle":"","family":"Klimont","given":"Zbigniew","non-dropping-particle":"","parse-names":false,"suffix":""},{"dropping-particle":"","family":"Rafaj","given":"Peter","non-dropping-particle":"","parse-names":false,"suffix":""},{"dropping-particle":"","family":"Schöpp","given":"Wolfgang","non-dropping-particle":"","parse-names":false,"suffix":""},{"dropping-particle":"","family":"Hoglund-Isaksson","given":"Lena","non-dropping-particle":"","parse-names":false,"suffix":""},{"dropping-particle":"","family":"Gomez-Sanabria","given":"A","non-dropping-particle":"","parse-names":false,"suffix":""},{"dropping-particle":"","family":"Klimont","given":"Zbigniew","non-dropping-particle":"","parse-names":false,"suffix":""},{"dropping-particle":"","family":"Rafaj","given":"Peter","non-dropping-particle":"","parse-names":false,"suffix":""},{"dropping-particle":"","family":"Schopp","given":"W","non-dropping-particle":"","parse-names":false,"suffix":""},{"dropping-particle":"","family":"Höglund-Isaksson","given":"Lena","non-dropping-particle":"","parse-names":false,"suffix":""},{"dropping-particle":"","family":"Gómez-Sanabria","given":"Adriana","non-dropping-particle":"","parse-names":false,"suffix":""},{"dropping-particle":"","family":"Klimont","given":"Zbigniew","non-dropping-particle":"","parse-names":false,"suffix":""},{"dropping-particle":"","family":"Rafaj","given":"Peter","non-dropping-particle":"","parse-names":false,"suffix":""},{"dropping-particle":"","family":"Schöpp","given":"Wolfgang","non-dropping-particle":"","parse-names":false,"suffix":""}],"container-title":"Environmental Research Communications","id":"ITEM-1","issue":"2","issued":{"date-parts":[["2020","2"]]},"page":"25004","publisher":"IOP Publishing","title":"Technical potentials and costs for reducing global anthropogenic methane emissions in the 2050 timeframe –results from the GAINS model","type":"article-journal","volume":"2"},"uris":["http://www.mendeley.com/documents/?uuid=34aec166-58bd-4da2-a3f3-66fcd41cec34"]}],"mendeley":{"formattedCitation":"(Höglund-Isaksson et al. 2020)","manualFormatting":"Höglund-Isaksson et al. (2020)","plainTextFormattedCitation":"(Höglund-Isaksson et al. 2020)","previouslyFormattedCitation":"(Höglund-Isaksson et al. 2020)"},"properties":{"noteIndex":0},"schema":"https://github.com/citation-style-language/schema/raw/master/csl-citation.json"}</w:instrText>
      </w:r>
      <w:r w:rsidRPr="00471DA5">
        <w:rPr>
          <w:rFonts w:cs="Times New Roman"/>
        </w:rPr>
        <w:fldChar w:fldCharType="separate"/>
      </w:r>
      <w:r w:rsidRPr="00471DA5">
        <w:rPr>
          <w:rFonts w:cs="Times New Roman"/>
          <w:noProof/>
        </w:rPr>
        <w:t>Höglund-Isaksson et al. (2020)</w:t>
      </w:r>
      <w:r w:rsidRPr="00471DA5">
        <w:rPr>
          <w:rFonts w:cs="Times New Roman"/>
        </w:rPr>
        <w:fldChar w:fldCharType="end"/>
      </w:r>
      <w:r>
        <w:rPr>
          <w:rFonts w:cs="Times New Roman"/>
        </w:rPr>
        <w:t>. Data were provided by Mrs. Lena Höglund-Isaksson (most recent version on 27 Oct. 2021). The data were reported in EUR tCO</w:t>
      </w:r>
      <w:r w:rsidRPr="00A561CB">
        <w:rPr>
          <w:rFonts w:cs="Times New Roman"/>
          <w:vertAlign w:val="subscript"/>
        </w:rPr>
        <w:t>2</w:t>
      </w:r>
      <w:r w:rsidRPr="00A561CB">
        <w:rPr>
          <w:rFonts w:cs="Times New Roman"/>
          <w:vertAlign w:val="superscript"/>
        </w:rPr>
        <w:t>-1</w:t>
      </w:r>
      <w:r w:rsidRPr="00471DA5">
        <w:rPr>
          <w:rFonts w:cs="Times New Roman"/>
        </w:rPr>
        <w:t xml:space="preserve"> </w:t>
      </w:r>
      <w:r>
        <w:rPr>
          <w:rFonts w:cs="Times New Roman"/>
        </w:rPr>
        <w:t>and allocated  to USD tCO</w:t>
      </w:r>
      <w:r w:rsidRPr="00A561CB">
        <w:rPr>
          <w:rFonts w:cs="Times New Roman"/>
          <w:vertAlign w:val="subscript"/>
        </w:rPr>
        <w:t>2</w:t>
      </w:r>
      <w:r w:rsidRPr="00A561CB">
        <w:rPr>
          <w:rFonts w:cs="Times New Roman"/>
          <w:vertAlign w:val="superscript"/>
        </w:rPr>
        <w:t>-1</w:t>
      </w:r>
      <w:r>
        <w:rPr>
          <w:rFonts w:cs="Times New Roman"/>
        </w:rPr>
        <w:t xml:space="preserve"> cost bins using a USD to EUR ratio of 0.86.</w:t>
      </w:r>
      <w:r w:rsidRPr="00471DA5">
        <w:rPr>
          <w:rFonts w:cs="Times New Roman"/>
        </w:rPr>
        <w:t xml:space="preserve"> </w:t>
      </w:r>
    </w:p>
    <w:p w14:paraId="3DCEC42D" w14:textId="77777777" w:rsidR="00D275ED" w:rsidRDefault="00D275ED" w:rsidP="00D275ED">
      <w:pPr>
        <w:shd w:val="clear" w:color="auto" w:fill="FFFFFF" w:themeFill="background1"/>
        <w:rPr>
          <w:rFonts w:cs="Times New Roman"/>
        </w:rPr>
      </w:pPr>
      <w:r>
        <w:rPr>
          <w:rFonts w:cs="Times New Roman"/>
        </w:rPr>
        <w:t xml:space="preserve">The analysis by the Netherlands Environmental Assessment Agency PBL is reported in </w:t>
      </w:r>
      <w:r>
        <w:rPr>
          <w:rFonts w:cs="Times New Roman"/>
        </w:rPr>
        <w:fldChar w:fldCharType="begin" w:fldLock="1"/>
      </w:r>
      <w:r>
        <w:rPr>
          <w:rFonts w:cs="Times New Roman"/>
        </w:rPr>
        <w:instrText>ADDIN CSL_CITATION {"citationItems":[{"id":"ITEM-1","itemData":{"DOI":"10.1016/j.envsci.2019.05.013","ISSN":"1462-9011","abstract":"This study presents a new comprehensive set of long-term Marginal Abatement Cost (MAC) curves of all major non-CO2 greenhouse gas emission sources. The work builds on existing short-term MAC curve datasets and recent literature on individual mitigation measures. The new MAC curves include current technology and costs information as well as estimates of technology development and removal of implementation barriers to capture long-term dynamics. Compared to earlier work, we find a higher projected maximum reduction potential (MRP) of nitrous oxide (N2O) and a lower MRP of methane (CH4). The combined MRP for all non-CO2 gases is similar but has been extended to also capture mitigation measures that can be realized at higher implementation costs. When applying the new MAC curves in a cost-optimal, integrated assessment model-based 2.6 W/m2 scenario, the total non-CO2 mitigation is projected to be 10.9 Mt CO2 equivalents in 2050 (i.e. 58% reduction compared to baseline emissions) and 15.6 Mt CO2equivalents in 2100 (i.e. a 71% reduction). In applying the new MAC curves, we account for inertia in thline implementation speed of mitigation measures. Although this does not strongly impact results in an optimal strategy, it means that the contribution of non-CO2 mitigation could be more limited if ambitious climate policy is delayed.","author":[{"dropping-particle":"","family":"Harmsen","given":"J H M","non-dropping-particle":"","parse-names":false,"suffix":""},{"dropping-particle":"","family":"Vuuren","given":"Detlef P","non-dropping-particle":"van","parse-names":false,"suffix":""},{"dropping-particle":"","family":"Nayak","given":"Dali R","non-dropping-particle":"","parse-names":false,"suffix":""},{"dropping-particle":"","family":"Hof","given":"Andries F","non-dropping-particle":"","parse-names":false,"suffix":""},{"dropping-particle":"","family":"Höglund-Isaksson","given":"Lena","non-dropping-particle":"","parse-names":false,"suffix":""},{"dropping-particle":"","family":"Lucas","given":"Paul L","non-dropping-particle":"","parse-names":false,"suffix":""},{"dropping-particle":"","family":"Nielsen","given":"Jens B","non-dropping-particle":"","parse-names":false,"suffix":""},{"dropping-particle":"","family":"Smith","given":"Pete","non-dropping-particle":"","parse-names":false,"suffix":""},{"dropping-particle":"","family":"Stehfest","given":"Elke","non-dropping-particle":"","parse-names":false,"suffix":""}],"container-title":"Environmental Science &amp; Policy","id":"ITEM-1","issued":{"date-parts":[["2019"]]},"page":"136-149","title":"Long-term marginal abatement cost curves of non-CO2 greenhouse gases","type":"article-journal","volume":"99"},"uris":["http://www.mendeley.com/documents/?uuid=c2b11225-0552-4bcf-b09c-8ae79fbc23fb"]}],"mendeley":{"formattedCitation":"(Harmsen et al. 2019a)","plainTextFormattedCitation":"(Harmsen et al. 2019a)","previouslyFormattedCitation":"(Harmsen et al. 2019a)"},"properties":{"noteIndex":0},"schema":"https://github.com/citation-style-language/schema/raw/master/csl-citation.json"}</w:instrText>
      </w:r>
      <w:r>
        <w:rPr>
          <w:rFonts w:cs="Times New Roman"/>
        </w:rPr>
        <w:fldChar w:fldCharType="separate"/>
      </w:r>
      <w:r w:rsidRPr="005A525D">
        <w:rPr>
          <w:rFonts w:cs="Times New Roman"/>
          <w:noProof/>
        </w:rPr>
        <w:t>(Harmsen et al. 2019a)</w:t>
      </w:r>
      <w:r>
        <w:rPr>
          <w:rFonts w:cs="Times New Roman"/>
        </w:rPr>
        <w:fldChar w:fldCharType="end"/>
      </w:r>
      <w:r>
        <w:rPr>
          <w:rFonts w:cs="Times New Roman"/>
        </w:rPr>
        <w:t xml:space="preserve">. Data were provided by Mr. Mathijs Harmsen in Excel format (1 Feb. 2021), see also </w:t>
      </w:r>
      <w:r>
        <w:rPr>
          <w:rFonts w:cs="Times New Roman"/>
        </w:rPr>
        <w:fldChar w:fldCharType="begin" w:fldLock="1"/>
      </w:r>
      <w:r>
        <w:rPr>
          <w:rFonts w:cs="Times New Roman"/>
        </w:rPr>
        <w:instrText>ADDIN CSL_CITATION {"citationItems":[{"id":"ITEM-1","itemData":{"DOI":"10.1016/j.dib.2019.104334","ISSN":"2352-3409","abstract":"This dataset represents long-term marginal abatement cost (MAC) curves of all major emission sources of non-CO2 greenhouse gases (GHGs); methane (CH4), nitrous oxide (N2O) and fluorinated gases (HFCs, PFCs and SF6). The work is based on existing short-term MAC curve datasets and recent literature on individual mitigation measures. The data represent a comprehensive set of MAC curves, covering all major non-CO2 emission sources for 26 aggregated world regions. They are suitable for long-term global mitigation scenario development, as dynamical elements (technological progress, removal of implementation barriers) are included. The data is related to the research article: “Long-term marginal abatement cost curves of non-CO2 greenhouse gases” [1].","author":[{"dropping-particle":"","family":"Harmsen","given":"Mathijs J H M","non-dropping-particle":"","parse-names":false,"suffix":""},{"dropping-particle":"","family":"Vuuren","given":"Detlef P","non-dropping-particle":"van","parse-names":false,"suffix":""},{"dropping-particle":"","family":"Nayak","given":"Dali R","non-dropping-particle":"","parse-names":false,"suffix":""},{"dropping-particle":"","family":"Hof","given":"Andries F","non-dropping-particle":"","parse-names":false,"suffix":""},{"dropping-particle":"","family":"Höglund-Isaksson","given":"Lena","non-dropping-particle":"","parse-names":false,"suffix":""},{"dropping-particle":"","family":"Lucas","given":"Paul L","non-dropping-particle":"","parse-names":false,"suffix":""},{"dropping-particle":"","family":"Nielsen","given":"Jens B","non-dropping-particle":"","parse-names":false,"suffix":""},{"dropping-particle":"","family":"Smith","given":"Pete","non-dropping-particle":"","parse-names":false,"suffix":""},{"dropping-particle":"","family":"Stehfest","given":"Elke","non-dropping-particle":"","parse-names":false,"suffix":""}],"container-title":"Data in Brief","id":"ITEM-1","issued":{"date-parts":[["2019"]]},"page":"104334","title":"Data for long-term marginal abatement cost curves of non-CO2 greenhouse gases","type":"article-journal","volume":"25"},"uris":["http://www.mendeley.com/documents/?uuid=f2f1d08e-cb0b-4794-970d-99c947af020e"]}],"mendeley":{"formattedCitation":"(Harmsen et al. 2019b)","plainTextFormattedCitation":"(Harmsen et al. 2019b)","previouslyFormattedCitation":"(Harmsen et al. 2019b)"},"properties":{"noteIndex":0},"schema":"https://github.com/citation-style-language/schema/raw/master/csl-citation.json"}</w:instrText>
      </w:r>
      <w:r>
        <w:rPr>
          <w:rFonts w:cs="Times New Roman"/>
        </w:rPr>
        <w:fldChar w:fldCharType="separate"/>
      </w:r>
      <w:r w:rsidRPr="005A525D">
        <w:rPr>
          <w:rFonts w:cs="Times New Roman"/>
          <w:noProof/>
        </w:rPr>
        <w:t>(Harmsen et al. 2019b)</w:t>
      </w:r>
      <w:r>
        <w:rPr>
          <w:rFonts w:cs="Times New Roman"/>
        </w:rPr>
        <w:fldChar w:fldCharType="end"/>
      </w:r>
      <w:r>
        <w:rPr>
          <w:rFonts w:cs="Times New Roman"/>
        </w:rPr>
        <w:t>. Cumulative relative emission reduction potentials were provided. The relative emission reductions were applied to the SSP2-baseline provided with the PBL dataset and subsequently organised in cost bins.</w:t>
      </w:r>
    </w:p>
    <w:p w14:paraId="4048CEF6" w14:textId="77777777" w:rsidR="00D275ED" w:rsidRDefault="00D275ED" w:rsidP="00D275ED">
      <w:pPr>
        <w:shd w:val="clear" w:color="auto" w:fill="FFFFFF" w:themeFill="background1"/>
        <w:rPr>
          <w:rFonts w:cs="Times New Roman"/>
        </w:rPr>
      </w:pPr>
      <w:r>
        <w:rPr>
          <w:rFonts w:cs="Times New Roman"/>
        </w:rPr>
        <w:t xml:space="preserve">The analysis by the United States Environmental Protection Agency is reported in </w:t>
      </w:r>
      <w:r>
        <w:rPr>
          <w:rFonts w:cs="Times New Roman"/>
        </w:rPr>
        <w:fldChar w:fldCharType="begin" w:fldLock="1"/>
      </w:r>
      <w:r>
        <w:rPr>
          <w:rFonts w:cs="Times New Roman"/>
        </w:rPr>
        <w:instrText>ADDIN CSL_CITATION {"citationItems":[{"id":"ITEM-1","itemData":{"author":[{"dropping-particle":"","family":"US EPA","given":"","non-dropping-particle":"","parse-names":false,"suffix":""}],"id":"ITEM-1","issued":{"date-parts":[["2019"]]},"number-of-pages":"78","publisher":"United States Environmental Protection Agency","publisher-place":"Washingto, D.C.","title":"Global Non-CO2 Greenhouse Gas Emission Projections &amp; Mitigation 2015-2050","type":"report"},"uris":["http://www.mendeley.com/documents/?uuid=1da2de30-7085-4dd4-86a2-81223848d606"]}],"mendeley":{"formattedCitation":"(US EPA 2019)","manualFormatting":"US EPA (2019)","plainTextFormattedCitation":"(US EPA 2019)","previouslyFormattedCitation":"(US EPA 2019)"},"properties":{"noteIndex":0},"schema":"https://github.com/citation-style-language/schema/raw/master/csl-citation.json"}</w:instrText>
      </w:r>
      <w:r>
        <w:rPr>
          <w:rFonts w:cs="Times New Roman"/>
        </w:rPr>
        <w:fldChar w:fldCharType="separate"/>
      </w:r>
      <w:r w:rsidRPr="00883625">
        <w:rPr>
          <w:rFonts w:cs="Times New Roman"/>
          <w:noProof/>
        </w:rPr>
        <w:t>US EPA (2019)</w:t>
      </w:r>
      <w:r>
        <w:rPr>
          <w:rFonts w:cs="Times New Roman"/>
        </w:rPr>
        <w:fldChar w:fldCharType="end"/>
      </w:r>
      <w:r>
        <w:rPr>
          <w:rFonts w:cs="Times New Roman"/>
        </w:rPr>
        <w:t>. Data were downloaded via the Non-CO</w:t>
      </w:r>
      <w:r w:rsidRPr="006E42BB">
        <w:rPr>
          <w:rFonts w:cs="Times New Roman"/>
          <w:vertAlign w:val="subscript"/>
        </w:rPr>
        <w:t>2</w:t>
      </w:r>
      <w:r>
        <w:rPr>
          <w:rFonts w:cs="Times New Roman"/>
        </w:rPr>
        <w:t xml:space="preserve"> Greenhouse Gas Data Tool </w:t>
      </w:r>
      <w:r>
        <w:rPr>
          <w:rFonts w:cs="Times New Roman"/>
        </w:rPr>
        <w:fldChar w:fldCharType="begin" w:fldLock="1"/>
      </w:r>
      <w:r>
        <w:rPr>
          <w:rFonts w:cs="Times New Roman"/>
        </w:rPr>
        <w:instrText>ADDIN CSL_CITATION {"citationItems":[{"id":"ITEM-1","itemData":{"URL":"https://cfpub.epa.gov/ghgdata/nonco2/","abstract":"A data exploration tool for viewing non-CO2 GHG projections and mitigation assessments as compiled in the EPA Global Mitigation of Non-CO2 Greenhouse Gases (EPA 2013) and Global Anthropogenic Non-CO2 Greenhouse Gas Emissions (EPA 2019) Reports","accessed":{"date-parts":[["2021","9","20"]]},"author":[{"dropping-particle":"","family":"US EPA","given":"","non-dropping-particle":"","parse-names":false,"suffix":""}],"id":"ITEM-1","issued":{"date-parts":[["2021"]]},"publisher":"United States Environmental Protection Agency","title":"Non-CO2 Greenhouse Gas Data Tool","type":"webpage"},"uris":["http://www.mendeley.com/documents/?uuid=866bb2dd-fc0c-4fb1-9dc2-a8d58f5a2592"]}],"mendeley":{"formattedCitation":"(US EPA 2021)","plainTextFormattedCitation":"(US EPA 2021)","previouslyFormattedCitation":"(US EPA 2021)"},"properties":{"noteIndex":0},"schema":"https://github.com/citation-style-language/schema/raw/master/csl-citation.json"}</w:instrText>
      </w:r>
      <w:r>
        <w:rPr>
          <w:rFonts w:cs="Times New Roman"/>
        </w:rPr>
        <w:fldChar w:fldCharType="separate"/>
      </w:r>
      <w:r w:rsidRPr="008D6A25">
        <w:rPr>
          <w:rFonts w:cs="Times New Roman"/>
          <w:noProof/>
        </w:rPr>
        <w:t>(US EPA 2021)</w:t>
      </w:r>
      <w:r>
        <w:rPr>
          <w:rFonts w:cs="Times New Roman"/>
        </w:rPr>
        <w:fldChar w:fldCharType="end"/>
      </w:r>
      <w:r>
        <w:rPr>
          <w:rFonts w:cs="Times New Roman"/>
        </w:rPr>
        <w:t xml:space="preserve">, which provides cumulative cost data, and organized in cost bins. The mitigation potentials were corrected for the GWPs used in AR6. However, as EPA originally uses a GWP of 25, there may still be a small mismatch over the cost bins. </w:t>
      </w:r>
    </w:p>
    <w:p w14:paraId="44387A53" w14:textId="77777777" w:rsidR="00D275ED" w:rsidRDefault="00D275ED" w:rsidP="00D275ED">
      <w:pPr>
        <w:shd w:val="clear" w:color="auto" w:fill="FFFFFF" w:themeFill="background1"/>
        <w:rPr>
          <w:rFonts w:cs="Times New Roman"/>
        </w:rPr>
      </w:pPr>
      <w:r>
        <w:rPr>
          <w:rFonts w:cs="Times New Roman"/>
        </w:rPr>
        <w:t xml:space="preserve">Data from the IEA for oil and gas were downloaded from the Methane Tracker Database </w:t>
      </w:r>
      <w:r>
        <w:rPr>
          <w:rFonts w:cs="Times New Roman"/>
        </w:rPr>
        <w:fldChar w:fldCharType="begin" w:fldLock="1"/>
      </w:r>
      <w:r>
        <w:rPr>
          <w:rFonts w:cs="Times New Roman"/>
        </w:rPr>
        <w:instrText>ADDIN CSL_CITATION {"citationItems":[{"id":"ITEM-1","itemData":{"URL":"https://www.iea.org/articles/methane-tracker-database","accessed":{"date-parts":[["2021","9","20"]]},"author":[{"dropping-particle":"","family":"IEA","given":"","non-dropping-particle":"","parse-names":false,"suffix":""}],"id":"ITEM-1","issued":{"date-parts":[["2021"]]},"publisher":"International Energy Agency (IEA)","publisher-place":"Paris, France","title":"Methane Tracker Database","type":"webpage"},"uris":["http://www.mendeley.com/documents/?uuid=bf452186-c9f0-46f6-8efb-4a3fadc8d39f"]}],"mendeley":{"formattedCitation":"(IEA 2021)","plainTextFormattedCitation":"(IEA 2021)","previouslyFormattedCitation":"(IEA 2021)"},"properties":{"noteIndex":0},"schema":"https://github.com/citation-style-language/schema/raw/master/csl-citation.json"}</w:instrText>
      </w:r>
      <w:r>
        <w:rPr>
          <w:rFonts w:cs="Times New Roman"/>
        </w:rPr>
        <w:fldChar w:fldCharType="separate"/>
      </w:r>
      <w:r w:rsidRPr="00210979">
        <w:rPr>
          <w:rFonts w:cs="Times New Roman"/>
          <w:noProof/>
        </w:rPr>
        <w:t>(IEA 2021)</w:t>
      </w:r>
      <w:r>
        <w:rPr>
          <w:rFonts w:cs="Times New Roman"/>
        </w:rPr>
        <w:fldChar w:fldCharType="end"/>
      </w:r>
      <w:r>
        <w:rPr>
          <w:rFonts w:cs="Times New Roman"/>
        </w:rPr>
        <w:t>. Costs are given in USD BTU</w:t>
      </w:r>
      <w:r>
        <w:rPr>
          <w:rFonts w:cs="Times New Roman"/>
          <w:vertAlign w:val="superscript"/>
        </w:rPr>
        <w:t>-1</w:t>
      </w:r>
      <w:r>
        <w:rPr>
          <w:rFonts w:cs="Times New Roman"/>
        </w:rPr>
        <w:t>, these were converted using a conversion factor of 21.5 kg methane per million BTU.</w:t>
      </w:r>
    </w:p>
    <w:p w14:paraId="45B99C84" w14:textId="77777777" w:rsidR="00D275ED" w:rsidRPr="00FF450A" w:rsidRDefault="00D275ED" w:rsidP="00D275ED">
      <w:pPr>
        <w:shd w:val="clear" w:color="auto" w:fill="FFFFFF" w:themeFill="background1"/>
        <w:rPr>
          <w:rFonts w:cs="Times New Roman"/>
        </w:rPr>
      </w:pPr>
      <w:r>
        <w:rPr>
          <w:rFonts w:cs="Times New Roman"/>
        </w:rPr>
        <w:t>The results are shown in Table SM 12.A.1.</w:t>
      </w:r>
      <w:r w:rsidRPr="00FF450A">
        <w:rPr>
          <w:rFonts w:cs="Times New Roman"/>
        </w:rPr>
        <w:t xml:space="preserve"> </w:t>
      </w:r>
      <w:r>
        <w:rPr>
          <w:rFonts w:cs="Times New Roman"/>
        </w:rPr>
        <w:t xml:space="preserve">There are notable differences between the sources in mitigation potentials. There is however a fair agreement between the data sources as to whether mitigation potentials typically appear in lower or higher cost ranges. </w:t>
      </w:r>
      <w:r w:rsidRPr="00FF450A">
        <w:rPr>
          <w:rFonts w:cs="Times New Roman"/>
        </w:rPr>
        <w:t>In th</w:t>
      </w:r>
      <w:r>
        <w:rPr>
          <w:rFonts w:cs="Times New Roman"/>
        </w:rPr>
        <w:t>e</w:t>
      </w:r>
      <w:r w:rsidRPr="00FF450A">
        <w:rPr>
          <w:rFonts w:cs="Times New Roman"/>
        </w:rPr>
        <w:t xml:space="preserve"> table, a ‘best estimate’ per cost bin is</w:t>
      </w:r>
      <w:r>
        <w:rPr>
          <w:rFonts w:cs="Times New Roman"/>
        </w:rPr>
        <w:t xml:space="preserve"> also</w:t>
      </w:r>
      <w:r w:rsidRPr="00FF450A">
        <w:rPr>
          <w:rFonts w:cs="Times New Roman"/>
        </w:rPr>
        <w:t xml:space="preserve"> presented</w:t>
      </w:r>
      <w:r>
        <w:rPr>
          <w:rFonts w:cs="Times New Roman"/>
        </w:rPr>
        <w:t>, based on an average of the estimates</w:t>
      </w:r>
      <w:r w:rsidRPr="00FF450A">
        <w:rPr>
          <w:rFonts w:cs="Times New Roman"/>
        </w:rPr>
        <w:t xml:space="preserve">. For coal and oil/gas, PBL and IIASA </w:t>
      </w:r>
      <w:r>
        <w:rPr>
          <w:rFonts w:cs="Times New Roman"/>
        </w:rPr>
        <w:t xml:space="preserve">are each allocated </w:t>
      </w:r>
      <w:r w:rsidRPr="00FF450A">
        <w:rPr>
          <w:rFonts w:cs="Times New Roman"/>
        </w:rPr>
        <w:t xml:space="preserve">half of the weight of the other sources, based on the observation that PBL relies heavily on  IIASA for these sources. </w:t>
      </w:r>
      <w:r w:rsidRPr="00FF450A">
        <w:rPr>
          <w:rFonts w:cs="Times New Roman"/>
        </w:rPr>
        <w:lastRenderedPageBreak/>
        <w:t>For the ‘less than zero’ cost bin</w:t>
      </w:r>
      <w:r>
        <w:rPr>
          <w:rFonts w:cs="Times New Roman"/>
        </w:rPr>
        <w:t>,</w:t>
      </w:r>
      <w:r w:rsidRPr="00FF450A">
        <w:rPr>
          <w:rFonts w:cs="Times New Roman"/>
        </w:rPr>
        <w:t xml:space="preserve"> data from PBL were not taken into account as these potentials are already included in the baseline.</w:t>
      </w:r>
      <w:r>
        <w:rPr>
          <w:rFonts w:cs="Times New Roman"/>
        </w:rPr>
        <w:t xml:space="preserve"> The uncertainty ranges are determined by the lowest and highest value per cost bin. Cumulative uncertainty ranges are based on cumulative values and are in relative terms substantially smaller. </w:t>
      </w:r>
    </w:p>
    <w:p w14:paraId="7CB65009" w14:textId="77777777" w:rsidR="00D275ED" w:rsidRPr="00FF450A" w:rsidRDefault="00D275ED" w:rsidP="00D275ED">
      <w:pPr>
        <w:shd w:val="clear" w:color="auto" w:fill="FFFFFF" w:themeFill="background1"/>
        <w:rPr>
          <w:rFonts w:cs="Times New Roman"/>
        </w:rPr>
      </w:pPr>
      <w:r w:rsidRPr="00FF450A">
        <w:rPr>
          <w:rFonts w:cs="Times New Roman"/>
        </w:rPr>
        <w:br w:type="page"/>
      </w:r>
    </w:p>
    <w:p w14:paraId="79297289" w14:textId="77777777" w:rsidR="00D275ED" w:rsidRDefault="00D275ED" w:rsidP="00D275ED">
      <w:pPr>
        <w:pStyle w:val="TableFigurecaption"/>
        <w:rPr>
          <w:rFonts w:cs="Times New Roman"/>
        </w:rPr>
      </w:pPr>
      <w:r w:rsidRPr="00021982">
        <w:lastRenderedPageBreak/>
        <w:t>Table SM 12.A.1</w:t>
      </w:r>
      <w:r>
        <w:t>:</w:t>
      </w:r>
      <w:r w:rsidRPr="00021982">
        <w:t xml:space="preserve"> Methane mitigation potentials for </w:t>
      </w:r>
      <w:r>
        <w:t xml:space="preserve">the year 2030 for </w:t>
      </w:r>
      <w:r w:rsidRPr="00021982">
        <w:t xml:space="preserve">coal mining, oil and gas operations, waste and waste water from four different sources. For comparison, the reference emissions are </w:t>
      </w:r>
      <w:r>
        <w:t xml:space="preserve">also </w:t>
      </w:r>
      <w:r w:rsidRPr="00021982">
        <w:t xml:space="preserve">given. </w:t>
      </w:r>
      <w:r>
        <w:t>A ‘best estimate’ per source is given in italics. Sources: see text.</w:t>
      </w:r>
      <w:r>
        <w:rPr>
          <w:rFonts w:cs="Times New Roman"/>
        </w:rPr>
        <w:t xml:space="preserve"> </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8"/>
        <w:gridCol w:w="805"/>
        <w:gridCol w:w="805"/>
        <w:gridCol w:w="805"/>
        <w:gridCol w:w="816"/>
        <w:gridCol w:w="916"/>
        <w:gridCol w:w="794"/>
        <w:gridCol w:w="1147"/>
        <w:gridCol w:w="1144"/>
      </w:tblGrid>
      <w:tr w:rsidR="00D275ED" w:rsidRPr="00450BD5" w14:paraId="170765E9" w14:textId="77777777" w:rsidTr="00856A06">
        <w:trPr>
          <w:trHeight w:val="864"/>
        </w:trPr>
        <w:tc>
          <w:tcPr>
            <w:tcW w:w="800" w:type="pct"/>
            <w:vMerge w:val="restart"/>
            <w:tcBorders>
              <w:top w:val="single" w:sz="4" w:space="0" w:color="auto"/>
              <w:bottom w:val="nil"/>
            </w:tcBorders>
            <w:noWrap/>
          </w:tcPr>
          <w:p w14:paraId="461BE8FB" w14:textId="77777777" w:rsidR="00D275ED" w:rsidRDefault="00D275ED" w:rsidP="00856A06">
            <w:pPr>
              <w:pStyle w:val="Tabletext"/>
              <w:jc w:val="center"/>
              <w:rPr>
                <w:lang w:val="nl-NL" w:eastAsia="nl-NL"/>
              </w:rPr>
            </w:pPr>
            <w:r>
              <w:rPr>
                <w:lang w:val="nl-NL" w:eastAsia="nl-NL"/>
              </w:rPr>
              <w:t>Sector / data source</w:t>
            </w:r>
          </w:p>
        </w:tc>
        <w:tc>
          <w:tcPr>
            <w:tcW w:w="2866" w:type="pct"/>
            <w:gridSpan w:val="6"/>
            <w:tcBorders>
              <w:top w:val="single" w:sz="4" w:space="0" w:color="auto"/>
              <w:bottom w:val="nil"/>
            </w:tcBorders>
            <w:noWrap/>
          </w:tcPr>
          <w:p w14:paraId="37C5BEB9" w14:textId="77777777" w:rsidR="00D275ED" w:rsidRPr="003A442A" w:rsidRDefault="00D275ED" w:rsidP="00856A06">
            <w:pPr>
              <w:pStyle w:val="Tabletext"/>
              <w:jc w:val="center"/>
              <w:rPr>
                <w:lang w:eastAsia="nl-NL"/>
              </w:rPr>
            </w:pPr>
            <w:r w:rsidRPr="003A442A">
              <w:rPr>
                <w:lang w:eastAsia="nl-NL"/>
              </w:rPr>
              <w:t>Cost ranges</w:t>
            </w:r>
            <w:r>
              <w:rPr>
                <w:lang w:eastAsia="nl-NL"/>
              </w:rPr>
              <w:t xml:space="preserve"> </w:t>
            </w:r>
            <w:r w:rsidRPr="003A442A">
              <w:rPr>
                <w:lang w:eastAsia="nl-NL"/>
              </w:rPr>
              <w:t>(USD tCO</w:t>
            </w:r>
            <w:r w:rsidRPr="003A442A">
              <w:rPr>
                <w:vertAlign w:val="subscript"/>
                <w:lang w:eastAsia="nl-NL"/>
              </w:rPr>
              <w:t>2</w:t>
            </w:r>
            <w:r w:rsidRPr="003A442A">
              <w:rPr>
                <w:lang w:eastAsia="nl-NL"/>
              </w:rPr>
              <w:t>-eq</w:t>
            </w:r>
            <w:r w:rsidRPr="003A442A">
              <w:rPr>
                <w:vertAlign w:val="superscript"/>
                <w:lang w:eastAsia="nl-NL"/>
              </w:rPr>
              <w:t>-1</w:t>
            </w:r>
            <w:r w:rsidRPr="003A442A">
              <w:rPr>
                <w:lang w:eastAsia="nl-NL"/>
              </w:rPr>
              <w:t>)</w:t>
            </w:r>
          </w:p>
        </w:tc>
        <w:tc>
          <w:tcPr>
            <w:tcW w:w="667" w:type="pct"/>
            <w:vMerge w:val="restart"/>
            <w:tcBorders>
              <w:top w:val="single" w:sz="4" w:space="0" w:color="auto"/>
              <w:bottom w:val="nil"/>
            </w:tcBorders>
          </w:tcPr>
          <w:p w14:paraId="38329B5F" w14:textId="77777777" w:rsidR="00D275ED" w:rsidRPr="00450BD5" w:rsidRDefault="00D275ED" w:rsidP="00856A06">
            <w:pPr>
              <w:pStyle w:val="Tabletext"/>
              <w:jc w:val="center"/>
              <w:rPr>
                <w:lang w:eastAsia="nl-NL"/>
              </w:rPr>
            </w:pPr>
            <w:r>
              <w:rPr>
                <w:lang w:eastAsia="nl-NL"/>
              </w:rPr>
              <w:t xml:space="preserve">Total mitigation potential </w:t>
            </w:r>
            <w:r w:rsidRPr="00450BD5">
              <w:rPr>
                <w:lang w:eastAsia="nl-NL"/>
              </w:rPr>
              <w:t>(GtCO</w:t>
            </w:r>
            <w:r w:rsidRPr="00450BD5">
              <w:rPr>
                <w:vertAlign w:val="subscript"/>
                <w:lang w:eastAsia="nl-NL"/>
              </w:rPr>
              <w:t>2</w:t>
            </w:r>
            <w:r>
              <w:rPr>
                <w:lang w:eastAsia="nl-NL"/>
              </w:rPr>
              <w:t>-eq</w:t>
            </w:r>
            <w:r w:rsidRPr="00450BD5">
              <w:rPr>
                <w:lang w:eastAsia="nl-NL"/>
              </w:rPr>
              <w:t>)</w:t>
            </w:r>
          </w:p>
        </w:tc>
        <w:tc>
          <w:tcPr>
            <w:tcW w:w="667" w:type="pct"/>
            <w:vMerge w:val="restart"/>
            <w:tcBorders>
              <w:top w:val="single" w:sz="4" w:space="0" w:color="auto"/>
              <w:bottom w:val="nil"/>
            </w:tcBorders>
          </w:tcPr>
          <w:p w14:paraId="087F4F07" w14:textId="77777777" w:rsidR="00D275ED" w:rsidRPr="00450BD5" w:rsidRDefault="00D275ED" w:rsidP="00856A06">
            <w:pPr>
              <w:pStyle w:val="Tabletext"/>
              <w:jc w:val="center"/>
              <w:rPr>
                <w:lang w:val="nl-NL" w:eastAsia="nl-NL"/>
              </w:rPr>
            </w:pPr>
            <w:r>
              <w:rPr>
                <w:lang w:val="nl-NL" w:eastAsia="nl-NL"/>
              </w:rPr>
              <w:t xml:space="preserve">Reference </w:t>
            </w:r>
            <w:r w:rsidRPr="00450BD5">
              <w:rPr>
                <w:lang w:val="nl-NL" w:eastAsia="nl-NL"/>
              </w:rPr>
              <w:t xml:space="preserve">2030 </w:t>
            </w:r>
            <w:r>
              <w:rPr>
                <w:lang w:val="nl-NL" w:eastAsia="nl-NL"/>
              </w:rPr>
              <w:t>emissions</w:t>
            </w:r>
            <w:r w:rsidRPr="00450BD5">
              <w:rPr>
                <w:lang w:val="nl-NL" w:eastAsia="nl-NL"/>
              </w:rPr>
              <w:t xml:space="preserve"> (</w:t>
            </w:r>
            <w:r w:rsidRPr="00450BD5">
              <w:rPr>
                <w:lang w:eastAsia="nl-NL"/>
              </w:rPr>
              <w:t>GtCO</w:t>
            </w:r>
            <w:r w:rsidRPr="00450BD5">
              <w:rPr>
                <w:vertAlign w:val="subscript"/>
                <w:lang w:eastAsia="nl-NL"/>
              </w:rPr>
              <w:t>2</w:t>
            </w:r>
            <w:r>
              <w:rPr>
                <w:lang w:eastAsia="nl-NL"/>
              </w:rPr>
              <w:t>-eq</w:t>
            </w:r>
            <w:r w:rsidRPr="00450BD5">
              <w:rPr>
                <w:lang w:val="nl-NL" w:eastAsia="nl-NL"/>
              </w:rPr>
              <w:t>)</w:t>
            </w:r>
          </w:p>
        </w:tc>
      </w:tr>
      <w:tr w:rsidR="00D275ED" w:rsidRPr="00450BD5" w14:paraId="71443B49" w14:textId="77777777" w:rsidTr="00856A06">
        <w:trPr>
          <w:trHeight w:val="353"/>
        </w:trPr>
        <w:tc>
          <w:tcPr>
            <w:tcW w:w="800" w:type="pct"/>
            <w:vMerge/>
            <w:tcBorders>
              <w:top w:val="nil"/>
              <w:bottom w:val="single" w:sz="4" w:space="0" w:color="auto"/>
            </w:tcBorders>
            <w:noWrap/>
            <w:hideMark/>
          </w:tcPr>
          <w:p w14:paraId="11DD4F20" w14:textId="77777777" w:rsidR="00D275ED" w:rsidRPr="00450BD5" w:rsidRDefault="00D275ED" w:rsidP="00856A06">
            <w:pPr>
              <w:pStyle w:val="Tabletext"/>
              <w:rPr>
                <w:lang w:val="nl-NL" w:eastAsia="nl-NL"/>
              </w:rPr>
            </w:pPr>
          </w:p>
        </w:tc>
        <w:tc>
          <w:tcPr>
            <w:tcW w:w="478" w:type="pct"/>
            <w:tcBorders>
              <w:top w:val="nil"/>
              <w:bottom w:val="single" w:sz="4" w:space="0" w:color="auto"/>
            </w:tcBorders>
            <w:noWrap/>
            <w:hideMark/>
          </w:tcPr>
          <w:p w14:paraId="723129EE" w14:textId="77777777" w:rsidR="00D275ED" w:rsidRPr="00450BD5" w:rsidRDefault="00D275ED" w:rsidP="00856A06">
            <w:pPr>
              <w:pStyle w:val="Tabletext"/>
              <w:jc w:val="center"/>
              <w:rPr>
                <w:lang w:val="nl-NL" w:eastAsia="nl-NL"/>
              </w:rPr>
            </w:pPr>
            <w:r w:rsidRPr="00450BD5">
              <w:rPr>
                <w:lang w:val="nl-NL" w:eastAsia="nl-NL"/>
              </w:rPr>
              <w:t>&lt;0</w:t>
            </w:r>
          </w:p>
        </w:tc>
        <w:tc>
          <w:tcPr>
            <w:tcW w:w="478" w:type="pct"/>
            <w:tcBorders>
              <w:top w:val="nil"/>
              <w:bottom w:val="single" w:sz="4" w:space="0" w:color="auto"/>
            </w:tcBorders>
            <w:noWrap/>
            <w:hideMark/>
          </w:tcPr>
          <w:p w14:paraId="63228F36" w14:textId="77777777" w:rsidR="00D275ED" w:rsidRPr="00450BD5" w:rsidRDefault="00D275ED" w:rsidP="00856A06">
            <w:pPr>
              <w:pStyle w:val="Tabletext"/>
              <w:jc w:val="center"/>
              <w:rPr>
                <w:lang w:val="nl-NL" w:eastAsia="nl-NL"/>
              </w:rPr>
            </w:pPr>
            <w:r w:rsidRPr="00450BD5">
              <w:rPr>
                <w:lang w:val="nl-NL" w:eastAsia="nl-NL"/>
              </w:rPr>
              <w:t>0–20</w:t>
            </w:r>
          </w:p>
        </w:tc>
        <w:tc>
          <w:tcPr>
            <w:tcW w:w="478" w:type="pct"/>
            <w:tcBorders>
              <w:top w:val="nil"/>
              <w:bottom w:val="single" w:sz="4" w:space="0" w:color="auto"/>
            </w:tcBorders>
            <w:noWrap/>
            <w:hideMark/>
          </w:tcPr>
          <w:p w14:paraId="3FDCFF48" w14:textId="77777777" w:rsidR="00D275ED" w:rsidRPr="00450BD5" w:rsidRDefault="00D275ED" w:rsidP="00856A06">
            <w:pPr>
              <w:pStyle w:val="Tabletext"/>
              <w:jc w:val="center"/>
              <w:rPr>
                <w:lang w:val="nl-NL" w:eastAsia="nl-NL"/>
              </w:rPr>
            </w:pPr>
            <w:r w:rsidRPr="00450BD5">
              <w:rPr>
                <w:lang w:val="nl-NL" w:eastAsia="nl-NL"/>
              </w:rPr>
              <w:t>20–50</w:t>
            </w:r>
          </w:p>
        </w:tc>
        <w:tc>
          <w:tcPr>
            <w:tcW w:w="478" w:type="pct"/>
            <w:tcBorders>
              <w:top w:val="nil"/>
              <w:bottom w:val="single" w:sz="4" w:space="0" w:color="auto"/>
            </w:tcBorders>
            <w:noWrap/>
            <w:hideMark/>
          </w:tcPr>
          <w:p w14:paraId="1C3A3FE1" w14:textId="77777777" w:rsidR="00D275ED" w:rsidRPr="00450BD5" w:rsidRDefault="00D275ED" w:rsidP="00856A06">
            <w:pPr>
              <w:pStyle w:val="Tabletext"/>
              <w:jc w:val="center"/>
              <w:rPr>
                <w:lang w:val="nl-NL" w:eastAsia="nl-NL"/>
              </w:rPr>
            </w:pPr>
            <w:r w:rsidRPr="00450BD5">
              <w:rPr>
                <w:lang w:val="nl-NL" w:eastAsia="nl-NL"/>
              </w:rPr>
              <w:t>50–100</w:t>
            </w:r>
          </w:p>
        </w:tc>
        <w:tc>
          <w:tcPr>
            <w:tcW w:w="478" w:type="pct"/>
            <w:tcBorders>
              <w:top w:val="nil"/>
              <w:bottom w:val="single" w:sz="4" w:space="0" w:color="auto"/>
            </w:tcBorders>
            <w:noWrap/>
            <w:hideMark/>
          </w:tcPr>
          <w:p w14:paraId="01B16299" w14:textId="77777777" w:rsidR="00D275ED" w:rsidRPr="00450BD5" w:rsidRDefault="00D275ED" w:rsidP="00856A06">
            <w:pPr>
              <w:pStyle w:val="Tabletext"/>
              <w:jc w:val="center"/>
              <w:rPr>
                <w:lang w:val="nl-NL" w:eastAsia="nl-NL"/>
              </w:rPr>
            </w:pPr>
            <w:r w:rsidRPr="00450BD5">
              <w:rPr>
                <w:lang w:val="nl-NL" w:eastAsia="nl-NL"/>
              </w:rPr>
              <w:t>100–200</w:t>
            </w:r>
          </w:p>
        </w:tc>
        <w:tc>
          <w:tcPr>
            <w:tcW w:w="478" w:type="pct"/>
            <w:tcBorders>
              <w:top w:val="nil"/>
              <w:bottom w:val="single" w:sz="4" w:space="0" w:color="auto"/>
            </w:tcBorders>
            <w:noWrap/>
            <w:hideMark/>
          </w:tcPr>
          <w:p w14:paraId="0D20427B" w14:textId="77777777" w:rsidR="00D275ED" w:rsidRPr="00450BD5" w:rsidRDefault="00D275ED" w:rsidP="00856A06">
            <w:pPr>
              <w:pStyle w:val="Tabletext"/>
              <w:jc w:val="center"/>
              <w:rPr>
                <w:lang w:val="nl-NL" w:eastAsia="nl-NL"/>
              </w:rPr>
            </w:pPr>
            <w:r w:rsidRPr="00450BD5">
              <w:rPr>
                <w:lang w:val="nl-NL" w:eastAsia="nl-NL"/>
              </w:rPr>
              <w:t>&gt;200</w:t>
            </w:r>
          </w:p>
        </w:tc>
        <w:tc>
          <w:tcPr>
            <w:tcW w:w="667" w:type="pct"/>
            <w:vMerge/>
            <w:tcBorders>
              <w:top w:val="nil"/>
              <w:bottom w:val="single" w:sz="4" w:space="0" w:color="auto"/>
            </w:tcBorders>
            <w:hideMark/>
          </w:tcPr>
          <w:p w14:paraId="29A31352" w14:textId="77777777" w:rsidR="00D275ED" w:rsidRPr="00450BD5" w:rsidRDefault="00D275ED" w:rsidP="00856A06">
            <w:pPr>
              <w:pStyle w:val="Tabletext"/>
              <w:rPr>
                <w:lang w:eastAsia="nl-NL"/>
              </w:rPr>
            </w:pPr>
          </w:p>
        </w:tc>
        <w:tc>
          <w:tcPr>
            <w:tcW w:w="667" w:type="pct"/>
            <w:vMerge/>
            <w:tcBorders>
              <w:top w:val="nil"/>
              <w:bottom w:val="single" w:sz="4" w:space="0" w:color="auto"/>
            </w:tcBorders>
            <w:hideMark/>
          </w:tcPr>
          <w:p w14:paraId="702908D1" w14:textId="77777777" w:rsidR="00D275ED" w:rsidRPr="00450BD5" w:rsidRDefault="00D275ED" w:rsidP="00856A06">
            <w:pPr>
              <w:pStyle w:val="Tabletext"/>
              <w:rPr>
                <w:lang w:val="nl-NL" w:eastAsia="nl-NL"/>
              </w:rPr>
            </w:pPr>
          </w:p>
        </w:tc>
      </w:tr>
      <w:tr w:rsidR="00D275ED" w:rsidRPr="00450BD5" w14:paraId="1D26F17B" w14:textId="77777777" w:rsidTr="00856A06">
        <w:trPr>
          <w:trHeight w:val="328"/>
        </w:trPr>
        <w:tc>
          <w:tcPr>
            <w:tcW w:w="800" w:type="pct"/>
            <w:tcBorders>
              <w:top w:val="single" w:sz="4" w:space="0" w:color="auto"/>
            </w:tcBorders>
            <w:noWrap/>
          </w:tcPr>
          <w:p w14:paraId="61A363C4" w14:textId="77777777" w:rsidR="00D275ED" w:rsidRPr="00403C24" w:rsidRDefault="00D275ED" w:rsidP="00856A06">
            <w:pPr>
              <w:pStyle w:val="Tabletext"/>
              <w:jc w:val="right"/>
              <w:rPr>
                <w:i/>
                <w:iCs/>
                <w:lang w:val="nl-NL" w:eastAsia="nl-NL"/>
              </w:rPr>
            </w:pPr>
            <w:r w:rsidRPr="00403C24">
              <w:rPr>
                <w:i/>
                <w:iCs/>
                <w:lang w:val="nl-NL" w:eastAsia="nl-NL"/>
              </w:rPr>
              <w:t>Coal</w:t>
            </w:r>
          </w:p>
        </w:tc>
        <w:tc>
          <w:tcPr>
            <w:tcW w:w="478" w:type="pct"/>
            <w:tcBorders>
              <w:top w:val="single" w:sz="4" w:space="0" w:color="auto"/>
            </w:tcBorders>
            <w:noWrap/>
          </w:tcPr>
          <w:p w14:paraId="543746F8" w14:textId="77777777" w:rsidR="00D275ED" w:rsidRPr="00450BD5" w:rsidRDefault="00D275ED" w:rsidP="00856A06">
            <w:pPr>
              <w:pStyle w:val="Tabletext"/>
              <w:jc w:val="center"/>
              <w:rPr>
                <w:lang w:val="nl-NL" w:eastAsia="nl-NL"/>
              </w:rPr>
            </w:pPr>
          </w:p>
        </w:tc>
        <w:tc>
          <w:tcPr>
            <w:tcW w:w="478" w:type="pct"/>
            <w:tcBorders>
              <w:top w:val="single" w:sz="4" w:space="0" w:color="auto"/>
            </w:tcBorders>
            <w:noWrap/>
          </w:tcPr>
          <w:p w14:paraId="67AA8018" w14:textId="77777777" w:rsidR="00D275ED" w:rsidRPr="00450BD5" w:rsidRDefault="00D275ED" w:rsidP="00856A06">
            <w:pPr>
              <w:pStyle w:val="Tabletext"/>
              <w:jc w:val="center"/>
              <w:rPr>
                <w:lang w:val="nl-NL" w:eastAsia="nl-NL"/>
              </w:rPr>
            </w:pPr>
          </w:p>
        </w:tc>
        <w:tc>
          <w:tcPr>
            <w:tcW w:w="478" w:type="pct"/>
            <w:tcBorders>
              <w:top w:val="single" w:sz="4" w:space="0" w:color="auto"/>
            </w:tcBorders>
            <w:noWrap/>
          </w:tcPr>
          <w:p w14:paraId="1300F70E" w14:textId="77777777" w:rsidR="00D275ED" w:rsidRPr="00450BD5" w:rsidRDefault="00D275ED" w:rsidP="00856A06">
            <w:pPr>
              <w:pStyle w:val="Tabletext"/>
              <w:jc w:val="center"/>
              <w:rPr>
                <w:lang w:val="nl-NL" w:eastAsia="nl-NL"/>
              </w:rPr>
            </w:pPr>
          </w:p>
        </w:tc>
        <w:tc>
          <w:tcPr>
            <w:tcW w:w="478" w:type="pct"/>
            <w:tcBorders>
              <w:top w:val="single" w:sz="4" w:space="0" w:color="auto"/>
            </w:tcBorders>
            <w:noWrap/>
          </w:tcPr>
          <w:p w14:paraId="2712A1DD" w14:textId="77777777" w:rsidR="00D275ED" w:rsidRPr="00450BD5" w:rsidRDefault="00D275ED" w:rsidP="00856A06">
            <w:pPr>
              <w:pStyle w:val="Tabletext"/>
              <w:jc w:val="center"/>
              <w:rPr>
                <w:lang w:val="nl-NL" w:eastAsia="nl-NL"/>
              </w:rPr>
            </w:pPr>
          </w:p>
        </w:tc>
        <w:tc>
          <w:tcPr>
            <w:tcW w:w="478" w:type="pct"/>
            <w:tcBorders>
              <w:top w:val="single" w:sz="4" w:space="0" w:color="auto"/>
            </w:tcBorders>
            <w:noWrap/>
          </w:tcPr>
          <w:p w14:paraId="10D86398" w14:textId="77777777" w:rsidR="00D275ED" w:rsidRPr="00450BD5" w:rsidRDefault="00D275ED" w:rsidP="00856A06">
            <w:pPr>
              <w:pStyle w:val="Tabletext"/>
              <w:jc w:val="center"/>
              <w:rPr>
                <w:lang w:val="nl-NL" w:eastAsia="nl-NL"/>
              </w:rPr>
            </w:pPr>
          </w:p>
        </w:tc>
        <w:tc>
          <w:tcPr>
            <w:tcW w:w="478" w:type="pct"/>
            <w:tcBorders>
              <w:top w:val="single" w:sz="4" w:space="0" w:color="auto"/>
            </w:tcBorders>
            <w:noWrap/>
          </w:tcPr>
          <w:p w14:paraId="58717C8F" w14:textId="77777777" w:rsidR="00D275ED" w:rsidRPr="00450BD5" w:rsidRDefault="00D275ED" w:rsidP="00856A06">
            <w:pPr>
              <w:pStyle w:val="Tabletext"/>
              <w:jc w:val="center"/>
              <w:rPr>
                <w:lang w:val="nl-NL" w:eastAsia="nl-NL"/>
              </w:rPr>
            </w:pPr>
          </w:p>
        </w:tc>
        <w:tc>
          <w:tcPr>
            <w:tcW w:w="667" w:type="pct"/>
            <w:tcBorders>
              <w:top w:val="single" w:sz="4" w:space="0" w:color="auto"/>
            </w:tcBorders>
          </w:tcPr>
          <w:p w14:paraId="14C45896" w14:textId="77777777" w:rsidR="00D275ED" w:rsidRPr="00450BD5" w:rsidRDefault="00D275ED" w:rsidP="00856A06">
            <w:pPr>
              <w:pStyle w:val="Tabletext"/>
              <w:jc w:val="center"/>
              <w:rPr>
                <w:lang w:eastAsia="nl-NL"/>
              </w:rPr>
            </w:pPr>
          </w:p>
        </w:tc>
        <w:tc>
          <w:tcPr>
            <w:tcW w:w="667" w:type="pct"/>
            <w:tcBorders>
              <w:top w:val="single" w:sz="4" w:space="0" w:color="auto"/>
            </w:tcBorders>
          </w:tcPr>
          <w:p w14:paraId="4B8735C7" w14:textId="77777777" w:rsidR="00D275ED" w:rsidRPr="00450BD5" w:rsidRDefault="00D275ED" w:rsidP="00856A06">
            <w:pPr>
              <w:pStyle w:val="Tabletext"/>
              <w:jc w:val="center"/>
              <w:rPr>
                <w:lang w:val="nl-NL" w:eastAsia="nl-NL"/>
              </w:rPr>
            </w:pPr>
          </w:p>
        </w:tc>
      </w:tr>
      <w:tr w:rsidR="00D275ED" w:rsidRPr="00450BD5" w14:paraId="1234826F" w14:textId="77777777" w:rsidTr="00856A06">
        <w:trPr>
          <w:trHeight w:val="288"/>
        </w:trPr>
        <w:tc>
          <w:tcPr>
            <w:tcW w:w="800" w:type="pct"/>
            <w:noWrap/>
            <w:hideMark/>
          </w:tcPr>
          <w:p w14:paraId="7A0ABB85" w14:textId="77777777" w:rsidR="00D275ED" w:rsidRPr="00450BD5" w:rsidRDefault="00D275ED" w:rsidP="00856A06">
            <w:pPr>
              <w:pStyle w:val="Tabletext"/>
              <w:rPr>
                <w:lang w:val="nl-NL" w:eastAsia="nl-NL"/>
              </w:rPr>
            </w:pPr>
            <w:r w:rsidRPr="00450BD5">
              <w:rPr>
                <w:lang w:val="nl-NL" w:eastAsia="nl-NL"/>
              </w:rPr>
              <w:t>IIASA</w:t>
            </w:r>
          </w:p>
        </w:tc>
        <w:tc>
          <w:tcPr>
            <w:tcW w:w="478" w:type="pct"/>
            <w:noWrap/>
            <w:hideMark/>
          </w:tcPr>
          <w:p w14:paraId="08C8D43B" w14:textId="77777777" w:rsidR="00D275ED" w:rsidRPr="00450BD5" w:rsidRDefault="00D275ED" w:rsidP="00856A06">
            <w:pPr>
              <w:pStyle w:val="Tabletext"/>
              <w:jc w:val="center"/>
              <w:rPr>
                <w:lang w:val="nl-NL" w:eastAsia="nl-NL"/>
              </w:rPr>
            </w:pPr>
            <w:r w:rsidRPr="00450BD5">
              <w:rPr>
                <w:lang w:val="nl-NL" w:eastAsia="nl-NL"/>
              </w:rPr>
              <w:t>0.06</w:t>
            </w:r>
          </w:p>
        </w:tc>
        <w:tc>
          <w:tcPr>
            <w:tcW w:w="478" w:type="pct"/>
            <w:noWrap/>
            <w:hideMark/>
          </w:tcPr>
          <w:p w14:paraId="1B82991A" w14:textId="77777777" w:rsidR="00D275ED" w:rsidRPr="00450BD5" w:rsidRDefault="00D275ED" w:rsidP="00856A06">
            <w:pPr>
              <w:pStyle w:val="Tabletext"/>
              <w:jc w:val="center"/>
              <w:rPr>
                <w:lang w:val="nl-NL" w:eastAsia="nl-NL"/>
              </w:rPr>
            </w:pPr>
            <w:r w:rsidRPr="00450BD5">
              <w:rPr>
                <w:lang w:val="nl-NL" w:eastAsia="nl-NL"/>
              </w:rPr>
              <w:t>0.22</w:t>
            </w:r>
          </w:p>
        </w:tc>
        <w:tc>
          <w:tcPr>
            <w:tcW w:w="478" w:type="pct"/>
            <w:noWrap/>
            <w:hideMark/>
          </w:tcPr>
          <w:p w14:paraId="7C3840BA" w14:textId="77777777" w:rsidR="00D275ED" w:rsidRPr="00450BD5" w:rsidRDefault="00D275ED" w:rsidP="00856A06">
            <w:pPr>
              <w:pStyle w:val="Tabletext"/>
              <w:jc w:val="center"/>
              <w:rPr>
                <w:lang w:val="nl-NL" w:eastAsia="nl-NL"/>
              </w:rPr>
            </w:pPr>
            <w:r w:rsidRPr="00450BD5">
              <w:rPr>
                <w:lang w:val="nl-NL" w:eastAsia="nl-NL"/>
              </w:rPr>
              <w:t>0.05</w:t>
            </w:r>
          </w:p>
        </w:tc>
        <w:tc>
          <w:tcPr>
            <w:tcW w:w="478" w:type="pct"/>
            <w:noWrap/>
            <w:hideMark/>
          </w:tcPr>
          <w:p w14:paraId="151807F3" w14:textId="77777777" w:rsidR="00D275ED" w:rsidRPr="00450BD5" w:rsidRDefault="00D275ED" w:rsidP="00856A06">
            <w:pPr>
              <w:pStyle w:val="Tabletext"/>
              <w:jc w:val="center"/>
              <w:rPr>
                <w:lang w:val="nl-NL" w:eastAsia="nl-NL"/>
              </w:rPr>
            </w:pPr>
            <w:r w:rsidRPr="00450BD5">
              <w:rPr>
                <w:lang w:val="nl-NL" w:eastAsia="nl-NL"/>
              </w:rPr>
              <w:t>0.02</w:t>
            </w:r>
          </w:p>
        </w:tc>
        <w:tc>
          <w:tcPr>
            <w:tcW w:w="478" w:type="pct"/>
            <w:noWrap/>
            <w:hideMark/>
          </w:tcPr>
          <w:p w14:paraId="55F5A9CD" w14:textId="77777777" w:rsidR="00D275ED" w:rsidRPr="00450BD5" w:rsidRDefault="00D275ED" w:rsidP="00856A06">
            <w:pPr>
              <w:pStyle w:val="Tabletext"/>
              <w:jc w:val="center"/>
              <w:rPr>
                <w:lang w:val="nl-NL" w:eastAsia="nl-NL"/>
              </w:rPr>
            </w:pPr>
            <w:r w:rsidRPr="00450BD5">
              <w:rPr>
                <w:lang w:val="nl-NL" w:eastAsia="nl-NL"/>
              </w:rPr>
              <w:t>0.00</w:t>
            </w:r>
          </w:p>
        </w:tc>
        <w:tc>
          <w:tcPr>
            <w:tcW w:w="478" w:type="pct"/>
            <w:noWrap/>
            <w:hideMark/>
          </w:tcPr>
          <w:p w14:paraId="4C8003F9"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662553E0" w14:textId="77777777" w:rsidR="00D275ED" w:rsidRPr="00450BD5" w:rsidRDefault="00D275ED" w:rsidP="00856A06">
            <w:pPr>
              <w:pStyle w:val="Tabletext"/>
              <w:jc w:val="center"/>
              <w:rPr>
                <w:lang w:val="nl-NL" w:eastAsia="nl-NL"/>
              </w:rPr>
            </w:pPr>
            <w:r w:rsidRPr="00450BD5">
              <w:rPr>
                <w:lang w:val="nl-NL" w:eastAsia="nl-NL"/>
              </w:rPr>
              <w:t>0.36</w:t>
            </w:r>
          </w:p>
        </w:tc>
        <w:tc>
          <w:tcPr>
            <w:tcW w:w="667" w:type="pct"/>
            <w:noWrap/>
            <w:hideMark/>
          </w:tcPr>
          <w:p w14:paraId="410FB235" w14:textId="77777777" w:rsidR="00D275ED" w:rsidRPr="00450BD5" w:rsidRDefault="00D275ED" w:rsidP="00856A06">
            <w:pPr>
              <w:pStyle w:val="Tabletext"/>
              <w:jc w:val="center"/>
              <w:rPr>
                <w:lang w:val="nl-NL" w:eastAsia="nl-NL"/>
              </w:rPr>
            </w:pPr>
            <w:r w:rsidRPr="00450BD5">
              <w:rPr>
                <w:lang w:val="nl-NL" w:eastAsia="nl-NL"/>
              </w:rPr>
              <w:t>1.21</w:t>
            </w:r>
          </w:p>
        </w:tc>
      </w:tr>
      <w:tr w:rsidR="00D275ED" w:rsidRPr="00450BD5" w14:paraId="0F40FCC7" w14:textId="77777777" w:rsidTr="00856A06">
        <w:trPr>
          <w:trHeight w:val="288"/>
        </w:trPr>
        <w:tc>
          <w:tcPr>
            <w:tcW w:w="800" w:type="pct"/>
            <w:noWrap/>
            <w:hideMark/>
          </w:tcPr>
          <w:p w14:paraId="037C9460" w14:textId="77777777" w:rsidR="00D275ED" w:rsidRPr="00450BD5" w:rsidRDefault="00D275ED" w:rsidP="00856A06">
            <w:pPr>
              <w:pStyle w:val="Tabletext"/>
              <w:rPr>
                <w:lang w:val="nl-NL" w:eastAsia="nl-NL"/>
              </w:rPr>
            </w:pPr>
            <w:r w:rsidRPr="00450BD5">
              <w:rPr>
                <w:lang w:val="nl-NL" w:eastAsia="nl-NL"/>
              </w:rPr>
              <w:t>EPA</w:t>
            </w:r>
          </w:p>
        </w:tc>
        <w:tc>
          <w:tcPr>
            <w:tcW w:w="478" w:type="pct"/>
            <w:noWrap/>
            <w:hideMark/>
          </w:tcPr>
          <w:p w14:paraId="5D54D541" w14:textId="77777777" w:rsidR="00D275ED" w:rsidRPr="00450BD5" w:rsidRDefault="00D275ED" w:rsidP="00856A06">
            <w:pPr>
              <w:pStyle w:val="Tabletext"/>
              <w:jc w:val="center"/>
              <w:rPr>
                <w:lang w:val="nl-NL" w:eastAsia="nl-NL"/>
              </w:rPr>
            </w:pPr>
            <w:r w:rsidRPr="00450BD5">
              <w:rPr>
                <w:lang w:val="nl-NL" w:eastAsia="nl-NL"/>
              </w:rPr>
              <w:t>0.01</w:t>
            </w:r>
          </w:p>
        </w:tc>
        <w:tc>
          <w:tcPr>
            <w:tcW w:w="478" w:type="pct"/>
            <w:noWrap/>
            <w:hideMark/>
          </w:tcPr>
          <w:p w14:paraId="1A86092A" w14:textId="77777777" w:rsidR="00D275ED" w:rsidRPr="00450BD5" w:rsidRDefault="00D275ED" w:rsidP="00856A06">
            <w:pPr>
              <w:pStyle w:val="Tabletext"/>
              <w:jc w:val="center"/>
              <w:rPr>
                <w:lang w:val="nl-NL" w:eastAsia="nl-NL"/>
              </w:rPr>
            </w:pPr>
            <w:r w:rsidRPr="00450BD5">
              <w:rPr>
                <w:lang w:val="nl-NL" w:eastAsia="nl-NL"/>
              </w:rPr>
              <w:t>0.64</w:t>
            </w:r>
          </w:p>
        </w:tc>
        <w:tc>
          <w:tcPr>
            <w:tcW w:w="478" w:type="pct"/>
            <w:noWrap/>
            <w:hideMark/>
          </w:tcPr>
          <w:p w14:paraId="231A4EFA" w14:textId="77777777" w:rsidR="00D275ED" w:rsidRPr="00450BD5" w:rsidRDefault="00D275ED" w:rsidP="00856A06">
            <w:pPr>
              <w:pStyle w:val="Tabletext"/>
              <w:jc w:val="center"/>
              <w:rPr>
                <w:lang w:val="nl-NL" w:eastAsia="nl-NL"/>
              </w:rPr>
            </w:pPr>
            <w:r w:rsidRPr="00450BD5">
              <w:rPr>
                <w:lang w:val="nl-NL" w:eastAsia="nl-NL"/>
              </w:rPr>
              <w:t>0.02</w:t>
            </w:r>
          </w:p>
        </w:tc>
        <w:tc>
          <w:tcPr>
            <w:tcW w:w="478" w:type="pct"/>
            <w:noWrap/>
            <w:hideMark/>
          </w:tcPr>
          <w:p w14:paraId="43548192" w14:textId="77777777" w:rsidR="00D275ED" w:rsidRPr="00450BD5" w:rsidRDefault="00D275ED" w:rsidP="00856A06">
            <w:pPr>
              <w:pStyle w:val="Tabletext"/>
              <w:jc w:val="center"/>
              <w:rPr>
                <w:lang w:val="nl-NL" w:eastAsia="nl-NL"/>
              </w:rPr>
            </w:pPr>
            <w:r w:rsidRPr="00450BD5">
              <w:rPr>
                <w:lang w:val="nl-NL" w:eastAsia="nl-NL"/>
              </w:rPr>
              <w:t>0.01</w:t>
            </w:r>
          </w:p>
        </w:tc>
        <w:tc>
          <w:tcPr>
            <w:tcW w:w="478" w:type="pct"/>
            <w:noWrap/>
            <w:hideMark/>
          </w:tcPr>
          <w:p w14:paraId="1BFB9316" w14:textId="77777777" w:rsidR="00D275ED" w:rsidRPr="00450BD5" w:rsidRDefault="00D275ED" w:rsidP="00856A06">
            <w:pPr>
              <w:pStyle w:val="Tabletext"/>
              <w:jc w:val="center"/>
              <w:rPr>
                <w:lang w:val="nl-NL" w:eastAsia="nl-NL"/>
              </w:rPr>
            </w:pPr>
            <w:r w:rsidRPr="00450BD5">
              <w:rPr>
                <w:lang w:val="nl-NL" w:eastAsia="nl-NL"/>
              </w:rPr>
              <w:t>0.00</w:t>
            </w:r>
          </w:p>
        </w:tc>
        <w:tc>
          <w:tcPr>
            <w:tcW w:w="478" w:type="pct"/>
            <w:noWrap/>
            <w:hideMark/>
          </w:tcPr>
          <w:p w14:paraId="1D466CB0"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31C47088" w14:textId="77777777" w:rsidR="00D275ED" w:rsidRPr="00450BD5" w:rsidRDefault="00D275ED" w:rsidP="00856A06">
            <w:pPr>
              <w:pStyle w:val="Tabletext"/>
              <w:jc w:val="center"/>
              <w:rPr>
                <w:lang w:val="nl-NL" w:eastAsia="nl-NL"/>
              </w:rPr>
            </w:pPr>
            <w:r w:rsidRPr="00450BD5">
              <w:rPr>
                <w:lang w:val="nl-NL" w:eastAsia="nl-NL"/>
              </w:rPr>
              <w:t>0.68</w:t>
            </w:r>
          </w:p>
        </w:tc>
        <w:tc>
          <w:tcPr>
            <w:tcW w:w="667" w:type="pct"/>
            <w:noWrap/>
            <w:hideMark/>
          </w:tcPr>
          <w:p w14:paraId="581DEE04" w14:textId="77777777" w:rsidR="00D275ED" w:rsidRPr="00450BD5" w:rsidRDefault="00D275ED" w:rsidP="00856A06">
            <w:pPr>
              <w:pStyle w:val="Tabletext"/>
              <w:jc w:val="center"/>
              <w:rPr>
                <w:lang w:val="nl-NL" w:eastAsia="nl-NL"/>
              </w:rPr>
            </w:pPr>
            <w:r w:rsidRPr="00450BD5">
              <w:rPr>
                <w:lang w:val="nl-NL" w:eastAsia="nl-NL"/>
              </w:rPr>
              <w:t>0.91</w:t>
            </w:r>
          </w:p>
        </w:tc>
      </w:tr>
      <w:tr w:rsidR="00D275ED" w:rsidRPr="00450BD5" w14:paraId="75C9D419" w14:textId="77777777" w:rsidTr="00856A06">
        <w:trPr>
          <w:trHeight w:val="288"/>
        </w:trPr>
        <w:tc>
          <w:tcPr>
            <w:tcW w:w="800" w:type="pct"/>
            <w:noWrap/>
            <w:hideMark/>
          </w:tcPr>
          <w:p w14:paraId="4B2E124B" w14:textId="77777777" w:rsidR="00D275ED" w:rsidRPr="00450BD5" w:rsidRDefault="00D275ED" w:rsidP="00856A06">
            <w:pPr>
              <w:pStyle w:val="Tabletext"/>
              <w:rPr>
                <w:lang w:val="nl-NL" w:eastAsia="nl-NL"/>
              </w:rPr>
            </w:pPr>
            <w:r w:rsidRPr="00450BD5">
              <w:rPr>
                <w:lang w:val="nl-NL" w:eastAsia="nl-NL"/>
              </w:rPr>
              <w:t>PBL</w:t>
            </w:r>
          </w:p>
        </w:tc>
        <w:tc>
          <w:tcPr>
            <w:tcW w:w="478" w:type="pct"/>
            <w:noWrap/>
            <w:hideMark/>
          </w:tcPr>
          <w:p w14:paraId="4180A355" w14:textId="77777777" w:rsidR="00D275ED" w:rsidRPr="00450BD5" w:rsidRDefault="00D275ED" w:rsidP="00856A06">
            <w:pPr>
              <w:pStyle w:val="Tabletext"/>
              <w:jc w:val="center"/>
              <w:rPr>
                <w:lang w:val="nl-NL" w:eastAsia="nl-NL"/>
              </w:rPr>
            </w:pPr>
          </w:p>
        </w:tc>
        <w:tc>
          <w:tcPr>
            <w:tcW w:w="478" w:type="pct"/>
            <w:noWrap/>
            <w:hideMark/>
          </w:tcPr>
          <w:p w14:paraId="7F06D6C8" w14:textId="77777777" w:rsidR="00D275ED" w:rsidRPr="00450BD5" w:rsidRDefault="00D275ED" w:rsidP="00856A06">
            <w:pPr>
              <w:pStyle w:val="Tabletext"/>
              <w:jc w:val="center"/>
              <w:rPr>
                <w:lang w:val="nl-NL" w:eastAsia="nl-NL"/>
              </w:rPr>
            </w:pPr>
            <w:r w:rsidRPr="00450BD5">
              <w:rPr>
                <w:lang w:val="nl-NL" w:eastAsia="nl-NL"/>
              </w:rPr>
              <w:t>0.15</w:t>
            </w:r>
          </w:p>
        </w:tc>
        <w:tc>
          <w:tcPr>
            <w:tcW w:w="478" w:type="pct"/>
            <w:noWrap/>
            <w:hideMark/>
          </w:tcPr>
          <w:p w14:paraId="446AADDE" w14:textId="77777777" w:rsidR="00D275ED" w:rsidRPr="00450BD5" w:rsidRDefault="00D275ED" w:rsidP="00856A06">
            <w:pPr>
              <w:pStyle w:val="Tabletext"/>
              <w:jc w:val="center"/>
              <w:rPr>
                <w:lang w:val="nl-NL" w:eastAsia="nl-NL"/>
              </w:rPr>
            </w:pPr>
            <w:r w:rsidRPr="00450BD5">
              <w:rPr>
                <w:lang w:val="nl-NL" w:eastAsia="nl-NL"/>
              </w:rPr>
              <w:t>0.02</w:t>
            </w:r>
          </w:p>
        </w:tc>
        <w:tc>
          <w:tcPr>
            <w:tcW w:w="478" w:type="pct"/>
            <w:noWrap/>
            <w:hideMark/>
          </w:tcPr>
          <w:p w14:paraId="4B9CF730" w14:textId="77777777" w:rsidR="00D275ED" w:rsidRPr="00450BD5" w:rsidRDefault="00D275ED" w:rsidP="00856A06">
            <w:pPr>
              <w:pStyle w:val="Tabletext"/>
              <w:jc w:val="center"/>
              <w:rPr>
                <w:lang w:val="nl-NL" w:eastAsia="nl-NL"/>
              </w:rPr>
            </w:pPr>
            <w:r w:rsidRPr="00450BD5">
              <w:rPr>
                <w:lang w:val="nl-NL" w:eastAsia="nl-NL"/>
              </w:rPr>
              <w:t>0.03</w:t>
            </w:r>
          </w:p>
        </w:tc>
        <w:tc>
          <w:tcPr>
            <w:tcW w:w="478" w:type="pct"/>
            <w:noWrap/>
            <w:hideMark/>
          </w:tcPr>
          <w:p w14:paraId="5FC3C899" w14:textId="77777777" w:rsidR="00D275ED" w:rsidRPr="00450BD5" w:rsidRDefault="00D275ED" w:rsidP="00856A06">
            <w:pPr>
              <w:pStyle w:val="Tabletext"/>
              <w:jc w:val="center"/>
              <w:rPr>
                <w:lang w:val="nl-NL" w:eastAsia="nl-NL"/>
              </w:rPr>
            </w:pPr>
            <w:r w:rsidRPr="00450BD5">
              <w:rPr>
                <w:lang w:val="nl-NL" w:eastAsia="nl-NL"/>
              </w:rPr>
              <w:t>0.00</w:t>
            </w:r>
          </w:p>
        </w:tc>
        <w:tc>
          <w:tcPr>
            <w:tcW w:w="478" w:type="pct"/>
            <w:noWrap/>
            <w:hideMark/>
          </w:tcPr>
          <w:p w14:paraId="74F37F74"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3C6D783B" w14:textId="77777777" w:rsidR="00D275ED" w:rsidRPr="00450BD5" w:rsidRDefault="00D275ED" w:rsidP="00856A06">
            <w:pPr>
              <w:pStyle w:val="Tabletext"/>
              <w:jc w:val="center"/>
              <w:rPr>
                <w:lang w:val="nl-NL" w:eastAsia="nl-NL"/>
              </w:rPr>
            </w:pPr>
            <w:r w:rsidRPr="00450BD5">
              <w:rPr>
                <w:lang w:val="nl-NL" w:eastAsia="nl-NL"/>
              </w:rPr>
              <w:t>0.20</w:t>
            </w:r>
          </w:p>
        </w:tc>
        <w:tc>
          <w:tcPr>
            <w:tcW w:w="667" w:type="pct"/>
            <w:noWrap/>
            <w:hideMark/>
          </w:tcPr>
          <w:p w14:paraId="4EAA4946" w14:textId="77777777" w:rsidR="00D275ED" w:rsidRPr="00450BD5" w:rsidRDefault="00D275ED" w:rsidP="00856A06">
            <w:pPr>
              <w:pStyle w:val="Tabletext"/>
              <w:jc w:val="center"/>
              <w:rPr>
                <w:lang w:val="nl-NL" w:eastAsia="nl-NL"/>
              </w:rPr>
            </w:pPr>
            <w:r w:rsidRPr="00450BD5">
              <w:rPr>
                <w:lang w:val="nl-NL" w:eastAsia="nl-NL"/>
              </w:rPr>
              <w:t>1.28</w:t>
            </w:r>
          </w:p>
        </w:tc>
      </w:tr>
      <w:tr w:rsidR="00D275ED" w:rsidRPr="00450BD5" w14:paraId="4BFC2244" w14:textId="77777777" w:rsidTr="00856A06">
        <w:trPr>
          <w:trHeight w:val="288"/>
        </w:trPr>
        <w:tc>
          <w:tcPr>
            <w:tcW w:w="800" w:type="pct"/>
            <w:noWrap/>
            <w:hideMark/>
          </w:tcPr>
          <w:p w14:paraId="5ADAC2D5" w14:textId="77777777" w:rsidR="00D275ED" w:rsidRPr="00450BD5" w:rsidRDefault="00D275ED" w:rsidP="00856A06">
            <w:pPr>
              <w:pStyle w:val="Tabletext"/>
              <w:rPr>
                <w:i/>
                <w:iCs/>
                <w:lang w:val="nl-NL" w:eastAsia="nl-NL"/>
              </w:rPr>
            </w:pPr>
            <w:r>
              <w:rPr>
                <w:i/>
                <w:iCs/>
                <w:lang w:val="nl-NL" w:eastAsia="nl-NL"/>
              </w:rPr>
              <w:t>Best estimate</w:t>
            </w:r>
          </w:p>
        </w:tc>
        <w:tc>
          <w:tcPr>
            <w:tcW w:w="478" w:type="pct"/>
            <w:noWrap/>
            <w:hideMark/>
          </w:tcPr>
          <w:p w14:paraId="15715A0C" w14:textId="77777777" w:rsidR="00D275ED" w:rsidRPr="00450BD5" w:rsidRDefault="00D275ED" w:rsidP="00856A06">
            <w:pPr>
              <w:pStyle w:val="Tabletext"/>
              <w:jc w:val="center"/>
              <w:rPr>
                <w:i/>
                <w:iCs/>
                <w:lang w:val="nl-NL" w:eastAsia="nl-NL"/>
              </w:rPr>
            </w:pPr>
            <w:r w:rsidRPr="00450BD5">
              <w:rPr>
                <w:i/>
                <w:iCs/>
                <w:lang w:val="nl-NL" w:eastAsia="nl-NL"/>
              </w:rPr>
              <w:t>0.04</w:t>
            </w:r>
          </w:p>
        </w:tc>
        <w:tc>
          <w:tcPr>
            <w:tcW w:w="478" w:type="pct"/>
            <w:noWrap/>
            <w:hideMark/>
          </w:tcPr>
          <w:p w14:paraId="38982AB8" w14:textId="77777777" w:rsidR="00D275ED" w:rsidRPr="00450BD5" w:rsidRDefault="00D275ED" w:rsidP="00856A06">
            <w:pPr>
              <w:pStyle w:val="Tabletext"/>
              <w:jc w:val="center"/>
              <w:rPr>
                <w:i/>
                <w:iCs/>
                <w:lang w:val="nl-NL" w:eastAsia="nl-NL"/>
              </w:rPr>
            </w:pPr>
            <w:r w:rsidRPr="00450BD5">
              <w:rPr>
                <w:i/>
                <w:iCs/>
                <w:lang w:val="nl-NL" w:eastAsia="nl-NL"/>
              </w:rPr>
              <w:t>0.41</w:t>
            </w:r>
          </w:p>
        </w:tc>
        <w:tc>
          <w:tcPr>
            <w:tcW w:w="478" w:type="pct"/>
            <w:noWrap/>
            <w:hideMark/>
          </w:tcPr>
          <w:p w14:paraId="40AB9CB3" w14:textId="77777777" w:rsidR="00D275ED" w:rsidRPr="00450BD5" w:rsidRDefault="00D275ED" w:rsidP="00856A06">
            <w:pPr>
              <w:pStyle w:val="Tabletext"/>
              <w:jc w:val="center"/>
              <w:rPr>
                <w:i/>
                <w:iCs/>
                <w:lang w:val="nl-NL" w:eastAsia="nl-NL"/>
              </w:rPr>
            </w:pPr>
            <w:r w:rsidRPr="00450BD5">
              <w:rPr>
                <w:i/>
                <w:iCs/>
                <w:lang w:val="nl-NL" w:eastAsia="nl-NL"/>
              </w:rPr>
              <w:t>0.03</w:t>
            </w:r>
          </w:p>
        </w:tc>
        <w:tc>
          <w:tcPr>
            <w:tcW w:w="478" w:type="pct"/>
            <w:noWrap/>
            <w:hideMark/>
          </w:tcPr>
          <w:p w14:paraId="12A7604A" w14:textId="77777777" w:rsidR="00D275ED" w:rsidRPr="00450BD5" w:rsidRDefault="00D275ED" w:rsidP="00856A06">
            <w:pPr>
              <w:pStyle w:val="Tabletext"/>
              <w:jc w:val="center"/>
              <w:rPr>
                <w:i/>
                <w:iCs/>
                <w:lang w:val="nl-NL" w:eastAsia="nl-NL"/>
              </w:rPr>
            </w:pPr>
            <w:r w:rsidRPr="00450BD5">
              <w:rPr>
                <w:i/>
                <w:iCs/>
                <w:lang w:val="nl-NL" w:eastAsia="nl-NL"/>
              </w:rPr>
              <w:t>0.02</w:t>
            </w:r>
          </w:p>
        </w:tc>
        <w:tc>
          <w:tcPr>
            <w:tcW w:w="478" w:type="pct"/>
            <w:noWrap/>
            <w:hideMark/>
          </w:tcPr>
          <w:p w14:paraId="3A25A185" w14:textId="77777777" w:rsidR="00D275ED" w:rsidRPr="00450BD5" w:rsidRDefault="00D275ED" w:rsidP="00856A06">
            <w:pPr>
              <w:pStyle w:val="Tabletext"/>
              <w:jc w:val="center"/>
              <w:rPr>
                <w:i/>
                <w:iCs/>
                <w:lang w:val="nl-NL" w:eastAsia="nl-NL"/>
              </w:rPr>
            </w:pPr>
            <w:r w:rsidRPr="00450BD5">
              <w:rPr>
                <w:i/>
                <w:iCs/>
                <w:lang w:val="nl-NL" w:eastAsia="nl-NL"/>
              </w:rPr>
              <w:t>0.00</w:t>
            </w:r>
          </w:p>
        </w:tc>
        <w:tc>
          <w:tcPr>
            <w:tcW w:w="478" w:type="pct"/>
            <w:noWrap/>
            <w:hideMark/>
          </w:tcPr>
          <w:p w14:paraId="50B22C5A" w14:textId="77777777" w:rsidR="00D275ED" w:rsidRPr="00450BD5" w:rsidRDefault="00D275ED" w:rsidP="00856A06">
            <w:pPr>
              <w:pStyle w:val="Tabletext"/>
              <w:jc w:val="center"/>
              <w:rPr>
                <w:i/>
                <w:iCs/>
                <w:lang w:val="nl-NL" w:eastAsia="nl-NL"/>
              </w:rPr>
            </w:pPr>
            <w:r w:rsidRPr="00450BD5">
              <w:rPr>
                <w:i/>
                <w:iCs/>
                <w:lang w:val="nl-NL" w:eastAsia="nl-NL"/>
              </w:rPr>
              <w:t>0.00</w:t>
            </w:r>
          </w:p>
        </w:tc>
        <w:tc>
          <w:tcPr>
            <w:tcW w:w="667" w:type="pct"/>
            <w:noWrap/>
            <w:hideMark/>
          </w:tcPr>
          <w:p w14:paraId="5E5C6C02" w14:textId="77777777" w:rsidR="00D275ED" w:rsidRPr="00450BD5" w:rsidRDefault="00D275ED" w:rsidP="00856A06">
            <w:pPr>
              <w:pStyle w:val="Tabletext"/>
              <w:jc w:val="center"/>
              <w:rPr>
                <w:i/>
                <w:iCs/>
                <w:lang w:val="nl-NL" w:eastAsia="nl-NL"/>
              </w:rPr>
            </w:pPr>
            <w:r w:rsidRPr="00450BD5">
              <w:rPr>
                <w:i/>
                <w:iCs/>
                <w:lang w:val="nl-NL" w:eastAsia="nl-NL"/>
              </w:rPr>
              <w:t>0.50</w:t>
            </w:r>
          </w:p>
        </w:tc>
        <w:tc>
          <w:tcPr>
            <w:tcW w:w="667" w:type="pct"/>
            <w:noWrap/>
            <w:hideMark/>
          </w:tcPr>
          <w:p w14:paraId="1AA87779" w14:textId="77777777" w:rsidR="00D275ED" w:rsidRPr="00450BD5" w:rsidRDefault="00D275ED" w:rsidP="00856A06">
            <w:pPr>
              <w:pStyle w:val="Tabletext"/>
              <w:jc w:val="center"/>
              <w:rPr>
                <w:i/>
                <w:iCs/>
                <w:lang w:val="nl-NL" w:eastAsia="nl-NL"/>
              </w:rPr>
            </w:pPr>
          </w:p>
        </w:tc>
      </w:tr>
      <w:tr w:rsidR="00D275ED" w:rsidRPr="00450BD5" w14:paraId="5A907507" w14:textId="77777777" w:rsidTr="00856A06">
        <w:trPr>
          <w:trHeight w:val="288"/>
        </w:trPr>
        <w:tc>
          <w:tcPr>
            <w:tcW w:w="800" w:type="pct"/>
            <w:noWrap/>
            <w:hideMark/>
          </w:tcPr>
          <w:p w14:paraId="22BB6538" w14:textId="77777777" w:rsidR="00D275ED" w:rsidRPr="00450BD5" w:rsidRDefault="00D275ED" w:rsidP="00856A06">
            <w:pPr>
              <w:pStyle w:val="Tabletext"/>
              <w:rPr>
                <w:lang w:val="nl-NL" w:eastAsia="nl-NL"/>
              </w:rPr>
            </w:pPr>
            <w:r w:rsidRPr="00450BD5">
              <w:rPr>
                <w:lang w:val="nl-NL" w:eastAsia="nl-NL"/>
              </w:rPr>
              <w:t> </w:t>
            </w:r>
          </w:p>
        </w:tc>
        <w:tc>
          <w:tcPr>
            <w:tcW w:w="478" w:type="pct"/>
            <w:noWrap/>
            <w:hideMark/>
          </w:tcPr>
          <w:p w14:paraId="0A26D902" w14:textId="77777777" w:rsidR="00D275ED" w:rsidRPr="00450BD5" w:rsidRDefault="00D275ED" w:rsidP="00856A06">
            <w:pPr>
              <w:pStyle w:val="Tabletext"/>
              <w:jc w:val="center"/>
              <w:rPr>
                <w:lang w:val="nl-NL" w:eastAsia="nl-NL"/>
              </w:rPr>
            </w:pPr>
          </w:p>
        </w:tc>
        <w:tc>
          <w:tcPr>
            <w:tcW w:w="478" w:type="pct"/>
            <w:noWrap/>
            <w:hideMark/>
          </w:tcPr>
          <w:p w14:paraId="0F5FD608" w14:textId="77777777" w:rsidR="00D275ED" w:rsidRPr="00450BD5" w:rsidRDefault="00D275ED" w:rsidP="00856A06">
            <w:pPr>
              <w:pStyle w:val="Tabletext"/>
              <w:jc w:val="center"/>
              <w:rPr>
                <w:lang w:val="nl-NL" w:eastAsia="nl-NL"/>
              </w:rPr>
            </w:pPr>
          </w:p>
        </w:tc>
        <w:tc>
          <w:tcPr>
            <w:tcW w:w="478" w:type="pct"/>
            <w:noWrap/>
            <w:hideMark/>
          </w:tcPr>
          <w:p w14:paraId="6AA29C23" w14:textId="77777777" w:rsidR="00D275ED" w:rsidRPr="00450BD5" w:rsidRDefault="00D275ED" w:rsidP="00856A06">
            <w:pPr>
              <w:pStyle w:val="Tabletext"/>
              <w:jc w:val="center"/>
              <w:rPr>
                <w:lang w:val="nl-NL" w:eastAsia="nl-NL"/>
              </w:rPr>
            </w:pPr>
          </w:p>
        </w:tc>
        <w:tc>
          <w:tcPr>
            <w:tcW w:w="478" w:type="pct"/>
            <w:noWrap/>
            <w:hideMark/>
          </w:tcPr>
          <w:p w14:paraId="7B4CE37F" w14:textId="77777777" w:rsidR="00D275ED" w:rsidRPr="00450BD5" w:rsidRDefault="00D275ED" w:rsidP="00856A06">
            <w:pPr>
              <w:pStyle w:val="Tabletext"/>
              <w:jc w:val="center"/>
              <w:rPr>
                <w:lang w:val="nl-NL" w:eastAsia="nl-NL"/>
              </w:rPr>
            </w:pPr>
          </w:p>
        </w:tc>
        <w:tc>
          <w:tcPr>
            <w:tcW w:w="478" w:type="pct"/>
            <w:noWrap/>
            <w:hideMark/>
          </w:tcPr>
          <w:p w14:paraId="4FC077D8" w14:textId="77777777" w:rsidR="00D275ED" w:rsidRPr="00450BD5" w:rsidRDefault="00D275ED" w:rsidP="00856A06">
            <w:pPr>
              <w:pStyle w:val="Tabletext"/>
              <w:jc w:val="center"/>
              <w:rPr>
                <w:lang w:val="nl-NL" w:eastAsia="nl-NL"/>
              </w:rPr>
            </w:pPr>
          </w:p>
        </w:tc>
        <w:tc>
          <w:tcPr>
            <w:tcW w:w="478" w:type="pct"/>
            <w:noWrap/>
            <w:hideMark/>
          </w:tcPr>
          <w:p w14:paraId="25C28B49" w14:textId="77777777" w:rsidR="00D275ED" w:rsidRPr="00450BD5" w:rsidRDefault="00D275ED" w:rsidP="00856A06">
            <w:pPr>
              <w:pStyle w:val="Tabletext"/>
              <w:jc w:val="center"/>
              <w:rPr>
                <w:lang w:val="nl-NL" w:eastAsia="nl-NL"/>
              </w:rPr>
            </w:pPr>
          </w:p>
        </w:tc>
        <w:tc>
          <w:tcPr>
            <w:tcW w:w="667" w:type="pct"/>
            <w:noWrap/>
            <w:hideMark/>
          </w:tcPr>
          <w:p w14:paraId="336645FD" w14:textId="77777777" w:rsidR="00D275ED" w:rsidRPr="00450BD5" w:rsidRDefault="00D275ED" w:rsidP="00856A06">
            <w:pPr>
              <w:pStyle w:val="Tabletext"/>
              <w:jc w:val="center"/>
              <w:rPr>
                <w:lang w:val="nl-NL" w:eastAsia="nl-NL"/>
              </w:rPr>
            </w:pPr>
          </w:p>
        </w:tc>
        <w:tc>
          <w:tcPr>
            <w:tcW w:w="667" w:type="pct"/>
            <w:noWrap/>
            <w:hideMark/>
          </w:tcPr>
          <w:p w14:paraId="7597C5E9" w14:textId="77777777" w:rsidR="00D275ED" w:rsidRPr="00450BD5" w:rsidRDefault="00D275ED" w:rsidP="00856A06">
            <w:pPr>
              <w:pStyle w:val="Tabletext"/>
              <w:jc w:val="center"/>
              <w:rPr>
                <w:lang w:val="nl-NL" w:eastAsia="nl-NL"/>
              </w:rPr>
            </w:pPr>
          </w:p>
        </w:tc>
      </w:tr>
      <w:tr w:rsidR="00D275ED" w:rsidRPr="00450BD5" w14:paraId="64723204" w14:textId="77777777" w:rsidTr="00856A06">
        <w:trPr>
          <w:trHeight w:val="288"/>
        </w:trPr>
        <w:tc>
          <w:tcPr>
            <w:tcW w:w="800" w:type="pct"/>
            <w:noWrap/>
            <w:hideMark/>
          </w:tcPr>
          <w:p w14:paraId="72E67145" w14:textId="77777777" w:rsidR="00D275ED" w:rsidRPr="00403C24" w:rsidRDefault="00D275ED" w:rsidP="00856A06">
            <w:pPr>
              <w:pStyle w:val="Tabletext"/>
              <w:jc w:val="right"/>
              <w:rPr>
                <w:i/>
                <w:iCs/>
                <w:lang w:val="nl-NL" w:eastAsia="nl-NL"/>
              </w:rPr>
            </w:pPr>
            <w:r w:rsidRPr="00403C24">
              <w:rPr>
                <w:i/>
                <w:iCs/>
                <w:lang w:val="nl-NL" w:eastAsia="nl-NL"/>
              </w:rPr>
              <w:t>Oil and gas</w:t>
            </w:r>
          </w:p>
        </w:tc>
        <w:tc>
          <w:tcPr>
            <w:tcW w:w="478" w:type="pct"/>
            <w:noWrap/>
            <w:hideMark/>
          </w:tcPr>
          <w:p w14:paraId="0D945B35" w14:textId="77777777" w:rsidR="00D275ED" w:rsidRPr="00450BD5" w:rsidRDefault="00D275ED" w:rsidP="00856A06">
            <w:pPr>
              <w:pStyle w:val="Tabletext"/>
              <w:jc w:val="center"/>
              <w:rPr>
                <w:lang w:val="nl-NL" w:eastAsia="nl-NL"/>
              </w:rPr>
            </w:pPr>
          </w:p>
        </w:tc>
        <w:tc>
          <w:tcPr>
            <w:tcW w:w="478" w:type="pct"/>
            <w:noWrap/>
            <w:hideMark/>
          </w:tcPr>
          <w:p w14:paraId="0F7BAC8A" w14:textId="77777777" w:rsidR="00D275ED" w:rsidRPr="00450BD5" w:rsidRDefault="00D275ED" w:rsidP="00856A06">
            <w:pPr>
              <w:pStyle w:val="Tabletext"/>
              <w:jc w:val="center"/>
              <w:rPr>
                <w:lang w:val="nl-NL" w:eastAsia="nl-NL"/>
              </w:rPr>
            </w:pPr>
          </w:p>
        </w:tc>
        <w:tc>
          <w:tcPr>
            <w:tcW w:w="478" w:type="pct"/>
            <w:noWrap/>
            <w:hideMark/>
          </w:tcPr>
          <w:p w14:paraId="1696EB06" w14:textId="77777777" w:rsidR="00D275ED" w:rsidRPr="00450BD5" w:rsidRDefault="00D275ED" w:rsidP="00856A06">
            <w:pPr>
              <w:pStyle w:val="Tabletext"/>
              <w:jc w:val="center"/>
              <w:rPr>
                <w:lang w:val="nl-NL" w:eastAsia="nl-NL"/>
              </w:rPr>
            </w:pPr>
          </w:p>
        </w:tc>
        <w:tc>
          <w:tcPr>
            <w:tcW w:w="478" w:type="pct"/>
            <w:noWrap/>
            <w:hideMark/>
          </w:tcPr>
          <w:p w14:paraId="36C30432" w14:textId="77777777" w:rsidR="00D275ED" w:rsidRPr="00450BD5" w:rsidRDefault="00D275ED" w:rsidP="00856A06">
            <w:pPr>
              <w:pStyle w:val="Tabletext"/>
              <w:jc w:val="center"/>
              <w:rPr>
                <w:lang w:val="nl-NL" w:eastAsia="nl-NL"/>
              </w:rPr>
            </w:pPr>
          </w:p>
        </w:tc>
        <w:tc>
          <w:tcPr>
            <w:tcW w:w="478" w:type="pct"/>
            <w:noWrap/>
            <w:hideMark/>
          </w:tcPr>
          <w:p w14:paraId="7284C2C9" w14:textId="77777777" w:rsidR="00D275ED" w:rsidRPr="00450BD5" w:rsidRDefault="00D275ED" w:rsidP="00856A06">
            <w:pPr>
              <w:pStyle w:val="Tabletext"/>
              <w:jc w:val="center"/>
              <w:rPr>
                <w:lang w:val="nl-NL" w:eastAsia="nl-NL"/>
              </w:rPr>
            </w:pPr>
          </w:p>
        </w:tc>
        <w:tc>
          <w:tcPr>
            <w:tcW w:w="478" w:type="pct"/>
            <w:noWrap/>
            <w:hideMark/>
          </w:tcPr>
          <w:p w14:paraId="6A3183F1" w14:textId="77777777" w:rsidR="00D275ED" w:rsidRPr="00450BD5" w:rsidRDefault="00D275ED" w:rsidP="00856A06">
            <w:pPr>
              <w:pStyle w:val="Tabletext"/>
              <w:jc w:val="center"/>
              <w:rPr>
                <w:lang w:val="nl-NL" w:eastAsia="nl-NL"/>
              </w:rPr>
            </w:pPr>
          </w:p>
        </w:tc>
        <w:tc>
          <w:tcPr>
            <w:tcW w:w="667" w:type="pct"/>
            <w:noWrap/>
            <w:hideMark/>
          </w:tcPr>
          <w:p w14:paraId="089F9630" w14:textId="77777777" w:rsidR="00D275ED" w:rsidRPr="00450BD5" w:rsidRDefault="00D275ED" w:rsidP="00856A06">
            <w:pPr>
              <w:pStyle w:val="Tabletext"/>
              <w:jc w:val="center"/>
              <w:rPr>
                <w:lang w:val="nl-NL" w:eastAsia="nl-NL"/>
              </w:rPr>
            </w:pPr>
          </w:p>
        </w:tc>
        <w:tc>
          <w:tcPr>
            <w:tcW w:w="667" w:type="pct"/>
            <w:noWrap/>
            <w:hideMark/>
          </w:tcPr>
          <w:p w14:paraId="6D51568C" w14:textId="77777777" w:rsidR="00D275ED" w:rsidRPr="00450BD5" w:rsidRDefault="00D275ED" w:rsidP="00856A06">
            <w:pPr>
              <w:pStyle w:val="Tabletext"/>
              <w:jc w:val="center"/>
              <w:rPr>
                <w:lang w:val="nl-NL" w:eastAsia="nl-NL"/>
              </w:rPr>
            </w:pPr>
          </w:p>
        </w:tc>
      </w:tr>
      <w:tr w:rsidR="00D275ED" w:rsidRPr="00450BD5" w14:paraId="073CC075" w14:textId="77777777" w:rsidTr="00856A06">
        <w:trPr>
          <w:trHeight w:val="288"/>
        </w:trPr>
        <w:tc>
          <w:tcPr>
            <w:tcW w:w="800" w:type="pct"/>
            <w:noWrap/>
            <w:hideMark/>
          </w:tcPr>
          <w:p w14:paraId="0BF5B8B8" w14:textId="77777777" w:rsidR="00D275ED" w:rsidRPr="00450BD5" w:rsidRDefault="00D275ED" w:rsidP="00856A06">
            <w:pPr>
              <w:pStyle w:val="Tabletext"/>
              <w:rPr>
                <w:lang w:val="nl-NL" w:eastAsia="nl-NL"/>
              </w:rPr>
            </w:pPr>
            <w:r w:rsidRPr="00450BD5">
              <w:rPr>
                <w:lang w:val="nl-NL" w:eastAsia="nl-NL"/>
              </w:rPr>
              <w:t>IIASA</w:t>
            </w:r>
          </w:p>
        </w:tc>
        <w:tc>
          <w:tcPr>
            <w:tcW w:w="478" w:type="pct"/>
            <w:noWrap/>
            <w:hideMark/>
          </w:tcPr>
          <w:p w14:paraId="6CBC2895" w14:textId="77777777" w:rsidR="00D275ED" w:rsidRPr="00450BD5" w:rsidRDefault="00D275ED" w:rsidP="00856A06">
            <w:pPr>
              <w:pStyle w:val="Tabletext"/>
              <w:jc w:val="center"/>
              <w:rPr>
                <w:lang w:val="nl-NL" w:eastAsia="nl-NL"/>
              </w:rPr>
            </w:pPr>
            <w:r w:rsidRPr="00450BD5">
              <w:rPr>
                <w:lang w:val="nl-NL" w:eastAsia="nl-NL"/>
              </w:rPr>
              <w:t>0.56</w:t>
            </w:r>
          </w:p>
        </w:tc>
        <w:tc>
          <w:tcPr>
            <w:tcW w:w="478" w:type="pct"/>
            <w:noWrap/>
            <w:hideMark/>
          </w:tcPr>
          <w:p w14:paraId="096DCFBF" w14:textId="77777777" w:rsidR="00D275ED" w:rsidRPr="00450BD5" w:rsidRDefault="00D275ED" w:rsidP="00856A06">
            <w:pPr>
              <w:pStyle w:val="Tabletext"/>
              <w:jc w:val="center"/>
              <w:rPr>
                <w:lang w:val="nl-NL" w:eastAsia="nl-NL"/>
              </w:rPr>
            </w:pPr>
            <w:r w:rsidRPr="00450BD5">
              <w:rPr>
                <w:lang w:val="nl-NL" w:eastAsia="nl-NL"/>
              </w:rPr>
              <w:t>0.19</w:t>
            </w:r>
          </w:p>
        </w:tc>
        <w:tc>
          <w:tcPr>
            <w:tcW w:w="478" w:type="pct"/>
            <w:noWrap/>
            <w:hideMark/>
          </w:tcPr>
          <w:p w14:paraId="54C7905A" w14:textId="77777777" w:rsidR="00D275ED" w:rsidRPr="00450BD5" w:rsidRDefault="00D275ED" w:rsidP="00856A06">
            <w:pPr>
              <w:pStyle w:val="Tabletext"/>
              <w:jc w:val="center"/>
              <w:rPr>
                <w:lang w:val="nl-NL" w:eastAsia="nl-NL"/>
              </w:rPr>
            </w:pPr>
            <w:r w:rsidRPr="00450BD5">
              <w:rPr>
                <w:lang w:val="nl-NL" w:eastAsia="nl-NL"/>
              </w:rPr>
              <w:t>0.20</w:t>
            </w:r>
          </w:p>
        </w:tc>
        <w:tc>
          <w:tcPr>
            <w:tcW w:w="478" w:type="pct"/>
            <w:noWrap/>
            <w:hideMark/>
          </w:tcPr>
          <w:p w14:paraId="06F9AEDB" w14:textId="77777777" w:rsidR="00D275ED" w:rsidRPr="00450BD5" w:rsidRDefault="00D275ED" w:rsidP="00856A06">
            <w:pPr>
              <w:pStyle w:val="Tabletext"/>
              <w:jc w:val="center"/>
              <w:rPr>
                <w:lang w:val="nl-NL" w:eastAsia="nl-NL"/>
              </w:rPr>
            </w:pPr>
            <w:r w:rsidRPr="00450BD5">
              <w:rPr>
                <w:lang w:val="nl-NL" w:eastAsia="nl-NL"/>
              </w:rPr>
              <w:t>0.05</w:t>
            </w:r>
          </w:p>
        </w:tc>
        <w:tc>
          <w:tcPr>
            <w:tcW w:w="478" w:type="pct"/>
            <w:noWrap/>
            <w:hideMark/>
          </w:tcPr>
          <w:p w14:paraId="33B5B916" w14:textId="77777777" w:rsidR="00D275ED" w:rsidRPr="00450BD5" w:rsidRDefault="00D275ED" w:rsidP="00856A06">
            <w:pPr>
              <w:pStyle w:val="Tabletext"/>
              <w:jc w:val="center"/>
              <w:rPr>
                <w:lang w:val="nl-NL" w:eastAsia="nl-NL"/>
              </w:rPr>
            </w:pPr>
            <w:r w:rsidRPr="00450BD5">
              <w:rPr>
                <w:lang w:val="nl-NL" w:eastAsia="nl-NL"/>
              </w:rPr>
              <w:t>0.00</w:t>
            </w:r>
          </w:p>
        </w:tc>
        <w:tc>
          <w:tcPr>
            <w:tcW w:w="478" w:type="pct"/>
            <w:noWrap/>
            <w:hideMark/>
          </w:tcPr>
          <w:p w14:paraId="5D8A5D4D"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202A4AC9" w14:textId="77777777" w:rsidR="00D275ED" w:rsidRPr="00450BD5" w:rsidRDefault="00D275ED" w:rsidP="00856A06">
            <w:pPr>
              <w:pStyle w:val="Tabletext"/>
              <w:jc w:val="center"/>
              <w:rPr>
                <w:lang w:val="nl-NL" w:eastAsia="nl-NL"/>
              </w:rPr>
            </w:pPr>
            <w:r w:rsidRPr="00450BD5">
              <w:rPr>
                <w:lang w:val="nl-NL" w:eastAsia="nl-NL"/>
              </w:rPr>
              <w:t>1.01</w:t>
            </w:r>
          </w:p>
        </w:tc>
        <w:tc>
          <w:tcPr>
            <w:tcW w:w="667" w:type="pct"/>
            <w:noWrap/>
            <w:hideMark/>
          </w:tcPr>
          <w:p w14:paraId="1183C582" w14:textId="77777777" w:rsidR="00D275ED" w:rsidRPr="00450BD5" w:rsidRDefault="00D275ED" w:rsidP="00856A06">
            <w:pPr>
              <w:pStyle w:val="Tabletext"/>
              <w:jc w:val="center"/>
              <w:rPr>
                <w:lang w:val="nl-NL" w:eastAsia="nl-NL"/>
              </w:rPr>
            </w:pPr>
            <w:r w:rsidRPr="00450BD5">
              <w:rPr>
                <w:lang w:val="nl-NL" w:eastAsia="nl-NL"/>
              </w:rPr>
              <w:t>2.88</w:t>
            </w:r>
          </w:p>
        </w:tc>
      </w:tr>
      <w:tr w:rsidR="00D275ED" w:rsidRPr="00450BD5" w14:paraId="3D5B5BD0" w14:textId="77777777" w:rsidTr="00856A06">
        <w:trPr>
          <w:trHeight w:val="288"/>
        </w:trPr>
        <w:tc>
          <w:tcPr>
            <w:tcW w:w="800" w:type="pct"/>
            <w:noWrap/>
            <w:hideMark/>
          </w:tcPr>
          <w:p w14:paraId="40AFECC5" w14:textId="77777777" w:rsidR="00D275ED" w:rsidRPr="00450BD5" w:rsidRDefault="00D275ED" w:rsidP="00856A06">
            <w:pPr>
              <w:pStyle w:val="Tabletext"/>
              <w:rPr>
                <w:lang w:val="nl-NL" w:eastAsia="nl-NL"/>
              </w:rPr>
            </w:pPr>
            <w:r w:rsidRPr="00450BD5">
              <w:rPr>
                <w:lang w:val="nl-NL" w:eastAsia="nl-NL"/>
              </w:rPr>
              <w:t xml:space="preserve">EPA </w:t>
            </w:r>
          </w:p>
        </w:tc>
        <w:tc>
          <w:tcPr>
            <w:tcW w:w="478" w:type="pct"/>
            <w:noWrap/>
            <w:hideMark/>
          </w:tcPr>
          <w:p w14:paraId="381B181C" w14:textId="77777777" w:rsidR="00D275ED" w:rsidRPr="00450BD5" w:rsidRDefault="00D275ED" w:rsidP="00856A06">
            <w:pPr>
              <w:pStyle w:val="Tabletext"/>
              <w:jc w:val="center"/>
              <w:rPr>
                <w:lang w:val="nl-NL" w:eastAsia="nl-NL"/>
              </w:rPr>
            </w:pPr>
            <w:r w:rsidRPr="00450BD5">
              <w:rPr>
                <w:lang w:val="nl-NL" w:eastAsia="nl-NL"/>
              </w:rPr>
              <w:t>0.12</w:t>
            </w:r>
          </w:p>
        </w:tc>
        <w:tc>
          <w:tcPr>
            <w:tcW w:w="478" w:type="pct"/>
            <w:noWrap/>
            <w:hideMark/>
          </w:tcPr>
          <w:p w14:paraId="0278BC26" w14:textId="77777777" w:rsidR="00D275ED" w:rsidRPr="00450BD5" w:rsidRDefault="00D275ED" w:rsidP="00856A06">
            <w:pPr>
              <w:pStyle w:val="Tabletext"/>
              <w:jc w:val="center"/>
              <w:rPr>
                <w:lang w:val="nl-NL" w:eastAsia="nl-NL"/>
              </w:rPr>
            </w:pPr>
            <w:r w:rsidRPr="00450BD5">
              <w:rPr>
                <w:lang w:val="nl-NL" w:eastAsia="nl-NL"/>
              </w:rPr>
              <w:t>0.23</w:t>
            </w:r>
          </w:p>
        </w:tc>
        <w:tc>
          <w:tcPr>
            <w:tcW w:w="478" w:type="pct"/>
            <w:noWrap/>
            <w:hideMark/>
          </w:tcPr>
          <w:p w14:paraId="6CD6A657" w14:textId="77777777" w:rsidR="00D275ED" w:rsidRPr="00450BD5" w:rsidRDefault="00D275ED" w:rsidP="00856A06">
            <w:pPr>
              <w:pStyle w:val="Tabletext"/>
              <w:jc w:val="center"/>
              <w:rPr>
                <w:lang w:val="nl-NL" w:eastAsia="nl-NL"/>
              </w:rPr>
            </w:pPr>
            <w:r w:rsidRPr="00450BD5">
              <w:rPr>
                <w:lang w:val="nl-NL" w:eastAsia="nl-NL"/>
              </w:rPr>
              <w:t>0.03</w:t>
            </w:r>
          </w:p>
        </w:tc>
        <w:tc>
          <w:tcPr>
            <w:tcW w:w="478" w:type="pct"/>
            <w:noWrap/>
            <w:hideMark/>
          </w:tcPr>
          <w:p w14:paraId="01B83BB7" w14:textId="77777777" w:rsidR="00D275ED" w:rsidRPr="00450BD5" w:rsidRDefault="00D275ED" w:rsidP="00856A06">
            <w:pPr>
              <w:pStyle w:val="Tabletext"/>
              <w:jc w:val="center"/>
              <w:rPr>
                <w:lang w:val="nl-NL" w:eastAsia="nl-NL"/>
              </w:rPr>
            </w:pPr>
            <w:r w:rsidRPr="00450BD5">
              <w:rPr>
                <w:lang w:val="nl-NL" w:eastAsia="nl-NL"/>
              </w:rPr>
              <w:t>0.01</w:t>
            </w:r>
          </w:p>
        </w:tc>
        <w:tc>
          <w:tcPr>
            <w:tcW w:w="478" w:type="pct"/>
            <w:noWrap/>
            <w:hideMark/>
          </w:tcPr>
          <w:p w14:paraId="13D79973" w14:textId="77777777" w:rsidR="00D275ED" w:rsidRPr="00450BD5" w:rsidRDefault="00D275ED" w:rsidP="00856A06">
            <w:pPr>
              <w:pStyle w:val="Tabletext"/>
              <w:jc w:val="center"/>
              <w:rPr>
                <w:lang w:val="nl-NL" w:eastAsia="nl-NL"/>
              </w:rPr>
            </w:pPr>
            <w:r w:rsidRPr="00450BD5">
              <w:rPr>
                <w:lang w:val="nl-NL" w:eastAsia="nl-NL"/>
              </w:rPr>
              <w:t>0.29</w:t>
            </w:r>
          </w:p>
        </w:tc>
        <w:tc>
          <w:tcPr>
            <w:tcW w:w="478" w:type="pct"/>
            <w:noWrap/>
            <w:hideMark/>
          </w:tcPr>
          <w:p w14:paraId="51268C92"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4EEBABEF" w14:textId="77777777" w:rsidR="00D275ED" w:rsidRPr="00450BD5" w:rsidRDefault="00D275ED" w:rsidP="00856A06">
            <w:pPr>
              <w:pStyle w:val="Tabletext"/>
              <w:jc w:val="center"/>
              <w:rPr>
                <w:lang w:val="nl-NL" w:eastAsia="nl-NL"/>
              </w:rPr>
            </w:pPr>
            <w:r w:rsidRPr="00450BD5">
              <w:rPr>
                <w:lang w:val="nl-NL" w:eastAsia="nl-NL"/>
              </w:rPr>
              <w:t>0.67</w:t>
            </w:r>
          </w:p>
        </w:tc>
        <w:tc>
          <w:tcPr>
            <w:tcW w:w="667" w:type="pct"/>
            <w:noWrap/>
            <w:hideMark/>
          </w:tcPr>
          <w:p w14:paraId="422FC312" w14:textId="77777777" w:rsidR="00D275ED" w:rsidRPr="00450BD5" w:rsidRDefault="00D275ED" w:rsidP="00856A06">
            <w:pPr>
              <w:pStyle w:val="Tabletext"/>
              <w:jc w:val="center"/>
              <w:rPr>
                <w:lang w:val="nl-NL" w:eastAsia="nl-NL"/>
              </w:rPr>
            </w:pPr>
            <w:r w:rsidRPr="00450BD5">
              <w:rPr>
                <w:lang w:val="nl-NL" w:eastAsia="nl-NL"/>
              </w:rPr>
              <w:t>1.78</w:t>
            </w:r>
          </w:p>
        </w:tc>
      </w:tr>
      <w:tr w:rsidR="00D275ED" w:rsidRPr="00450BD5" w14:paraId="27CA0301" w14:textId="77777777" w:rsidTr="00856A06">
        <w:trPr>
          <w:trHeight w:val="288"/>
        </w:trPr>
        <w:tc>
          <w:tcPr>
            <w:tcW w:w="800" w:type="pct"/>
            <w:noWrap/>
            <w:hideMark/>
          </w:tcPr>
          <w:p w14:paraId="74DDFEF8" w14:textId="77777777" w:rsidR="00D275ED" w:rsidRPr="00450BD5" w:rsidRDefault="00D275ED" w:rsidP="00856A06">
            <w:pPr>
              <w:pStyle w:val="Tabletext"/>
              <w:rPr>
                <w:lang w:val="nl-NL" w:eastAsia="nl-NL"/>
              </w:rPr>
            </w:pPr>
            <w:r w:rsidRPr="00450BD5">
              <w:rPr>
                <w:lang w:val="nl-NL" w:eastAsia="nl-NL"/>
              </w:rPr>
              <w:t>PBL</w:t>
            </w:r>
          </w:p>
        </w:tc>
        <w:tc>
          <w:tcPr>
            <w:tcW w:w="478" w:type="pct"/>
            <w:noWrap/>
            <w:hideMark/>
          </w:tcPr>
          <w:p w14:paraId="038B6A15" w14:textId="77777777" w:rsidR="00D275ED" w:rsidRPr="00450BD5" w:rsidRDefault="00D275ED" w:rsidP="00856A06">
            <w:pPr>
              <w:pStyle w:val="Tabletext"/>
              <w:jc w:val="center"/>
              <w:rPr>
                <w:lang w:val="nl-NL" w:eastAsia="nl-NL"/>
              </w:rPr>
            </w:pPr>
          </w:p>
        </w:tc>
        <w:tc>
          <w:tcPr>
            <w:tcW w:w="478" w:type="pct"/>
            <w:noWrap/>
            <w:hideMark/>
          </w:tcPr>
          <w:p w14:paraId="16715005" w14:textId="77777777" w:rsidR="00D275ED" w:rsidRPr="00450BD5" w:rsidRDefault="00D275ED" w:rsidP="00856A06">
            <w:pPr>
              <w:pStyle w:val="Tabletext"/>
              <w:jc w:val="center"/>
              <w:rPr>
                <w:lang w:val="nl-NL" w:eastAsia="nl-NL"/>
              </w:rPr>
            </w:pPr>
            <w:r w:rsidRPr="00450BD5">
              <w:rPr>
                <w:lang w:val="nl-NL" w:eastAsia="nl-NL"/>
              </w:rPr>
              <w:t>0.41</w:t>
            </w:r>
          </w:p>
        </w:tc>
        <w:tc>
          <w:tcPr>
            <w:tcW w:w="478" w:type="pct"/>
            <w:noWrap/>
            <w:hideMark/>
          </w:tcPr>
          <w:p w14:paraId="14177FA0" w14:textId="77777777" w:rsidR="00D275ED" w:rsidRPr="00450BD5" w:rsidRDefault="00D275ED" w:rsidP="00856A06">
            <w:pPr>
              <w:pStyle w:val="Tabletext"/>
              <w:jc w:val="center"/>
              <w:rPr>
                <w:lang w:val="nl-NL" w:eastAsia="nl-NL"/>
              </w:rPr>
            </w:pPr>
            <w:r w:rsidRPr="00450BD5">
              <w:rPr>
                <w:lang w:val="nl-NL" w:eastAsia="nl-NL"/>
              </w:rPr>
              <w:t>0.04</w:t>
            </w:r>
          </w:p>
        </w:tc>
        <w:tc>
          <w:tcPr>
            <w:tcW w:w="478" w:type="pct"/>
            <w:noWrap/>
            <w:hideMark/>
          </w:tcPr>
          <w:p w14:paraId="6487CC41" w14:textId="77777777" w:rsidR="00D275ED" w:rsidRPr="00450BD5" w:rsidRDefault="00D275ED" w:rsidP="00856A06">
            <w:pPr>
              <w:pStyle w:val="Tabletext"/>
              <w:jc w:val="center"/>
              <w:rPr>
                <w:lang w:val="nl-NL" w:eastAsia="nl-NL"/>
              </w:rPr>
            </w:pPr>
            <w:r w:rsidRPr="00450BD5">
              <w:rPr>
                <w:lang w:val="nl-NL" w:eastAsia="nl-NL"/>
              </w:rPr>
              <w:t>0.29</w:t>
            </w:r>
          </w:p>
        </w:tc>
        <w:tc>
          <w:tcPr>
            <w:tcW w:w="478" w:type="pct"/>
            <w:noWrap/>
            <w:hideMark/>
          </w:tcPr>
          <w:p w14:paraId="48B3BD1E" w14:textId="77777777" w:rsidR="00D275ED" w:rsidRPr="00450BD5" w:rsidRDefault="00D275ED" w:rsidP="00856A06">
            <w:pPr>
              <w:pStyle w:val="Tabletext"/>
              <w:jc w:val="center"/>
              <w:rPr>
                <w:lang w:val="nl-NL" w:eastAsia="nl-NL"/>
              </w:rPr>
            </w:pPr>
            <w:r w:rsidRPr="00450BD5">
              <w:rPr>
                <w:lang w:val="nl-NL" w:eastAsia="nl-NL"/>
              </w:rPr>
              <w:t>0.00</w:t>
            </w:r>
          </w:p>
        </w:tc>
        <w:tc>
          <w:tcPr>
            <w:tcW w:w="478" w:type="pct"/>
            <w:noWrap/>
            <w:hideMark/>
          </w:tcPr>
          <w:p w14:paraId="326B0A21"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4F7072D9" w14:textId="77777777" w:rsidR="00D275ED" w:rsidRPr="00450BD5" w:rsidRDefault="00D275ED" w:rsidP="00856A06">
            <w:pPr>
              <w:pStyle w:val="Tabletext"/>
              <w:jc w:val="center"/>
              <w:rPr>
                <w:lang w:val="nl-NL" w:eastAsia="nl-NL"/>
              </w:rPr>
            </w:pPr>
            <w:r w:rsidRPr="00450BD5">
              <w:rPr>
                <w:lang w:val="nl-NL" w:eastAsia="nl-NL"/>
              </w:rPr>
              <w:t>0.74</w:t>
            </w:r>
          </w:p>
        </w:tc>
        <w:tc>
          <w:tcPr>
            <w:tcW w:w="667" w:type="pct"/>
            <w:noWrap/>
            <w:hideMark/>
          </w:tcPr>
          <w:p w14:paraId="27F2C706" w14:textId="77777777" w:rsidR="00D275ED" w:rsidRPr="00450BD5" w:rsidRDefault="00D275ED" w:rsidP="00856A06">
            <w:pPr>
              <w:pStyle w:val="Tabletext"/>
              <w:jc w:val="center"/>
              <w:rPr>
                <w:lang w:val="nl-NL" w:eastAsia="nl-NL"/>
              </w:rPr>
            </w:pPr>
            <w:r w:rsidRPr="00450BD5">
              <w:rPr>
                <w:lang w:val="nl-NL" w:eastAsia="nl-NL"/>
              </w:rPr>
              <w:t>3.28</w:t>
            </w:r>
          </w:p>
        </w:tc>
      </w:tr>
      <w:tr w:rsidR="00D275ED" w:rsidRPr="00450BD5" w14:paraId="2D8E1B63" w14:textId="77777777" w:rsidTr="00856A06">
        <w:trPr>
          <w:trHeight w:val="288"/>
        </w:trPr>
        <w:tc>
          <w:tcPr>
            <w:tcW w:w="800" w:type="pct"/>
            <w:noWrap/>
            <w:hideMark/>
          </w:tcPr>
          <w:p w14:paraId="0BE1FE54" w14:textId="77777777" w:rsidR="00D275ED" w:rsidRPr="00450BD5" w:rsidRDefault="00D275ED" w:rsidP="00856A06">
            <w:pPr>
              <w:pStyle w:val="Tabletext"/>
              <w:rPr>
                <w:lang w:val="nl-NL" w:eastAsia="nl-NL"/>
              </w:rPr>
            </w:pPr>
            <w:r w:rsidRPr="00450BD5">
              <w:rPr>
                <w:lang w:val="nl-NL" w:eastAsia="nl-NL"/>
              </w:rPr>
              <w:t>IEA</w:t>
            </w:r>
          </w:p>
        </w:tc>
        <w:tc>
          <w:tcPr>
            <w:tcW w:w="478" w:type="pct"/>
            <w:noWrap/>
            <w:hideMark/>
          </w:tcPr>
          <w:p w14:paraId="77E6A27F" w14:textId="77777777" w:rsidR="00D275ED" w:rsidRPr="00450BD5" w:rsidRDefault="00D275ED" w:rsidP="00856A06">
            <w:pPr>
              <w:pStyle w:val="Tabletext"/>
              <w:jc w:val="center"/>
              <w:rPr>
                <w:lang w:val="nl-NL" w:eastAsia="nl-NL"/>
              </w:rPr>
            </w:pPr>
            <w:r w:rsidRPr="00450BD5">
              <w:rPr>
                <w:lang w:val="nl-NL" w:eastAsia="nl-NL"/>
              </w:rPr>
              <w:t>0.26</w:t>
            </w:r>
          </w:p>
        </w:tc>
        <w:tc>
          <w:tcPr>
            <w:tcW w:w="478" w:type="pct"/>
            <w:noWrap/>
            <w:hideMark/>
          </w:tcPr>
          <w:p w14:paraId="65F4D500" w14:textId="77777777" w:rsidR="00D275ED" w:rsidRPr="00450BD5" w:rsidRDefault="00D275ED" w:rsidP="00856A06">
            <w:pPr>
              <w:pStyle w:val="Tabletext"/>
              <w:jc w:val="center"/>
              <w:rPr>
                <w:lang w:val="nl-NL" w:eastAsia="nl-NL"/>
              </w:rPr>
            </w:pPr>
            <w:r w:rsidRPr="00450BD5">
              <w:rPr>
                <w:lang w:val="nl-NL" w:eastAsia="nl-NL"/>
              </w:rPr>
              <w:t>1.30</w:t>
            </w:r>
          </w:p>
        </w:tc>
        <w:tc>
          <w:tcPr>
            <w:tcW w:w="478" w:type="pct"/>
            <w:noWrap/>
            <w:hideMark/>
          </w:tcPr>
          <w:p w14:paraId="7C9C4C5E" w14:textId="77777777" w:rsidR="00D275ED" w:rsidRPr="00450BD5" w:rsidRDefault="00D275ED" w:rsidP="00856A06">
            <w:pPr>
              <w:pStyle w:val="Tabletext"/>
              <w:jc w:val="center"/>
              <w:rPr>
                <w:lang w:val="nl-NL" w:eastAsia="nl-NL"/>
              </w:rPr>
            </w:pPr>
            <w:r w:rsidRPr="00450BD5">
              <w:rPr>
                <w:lang w:val="nl-NL" w:eastAsia="nl-NL"/>
              </w:rPr>
              <w:t>0.06</w:t>
            </w:r>
          </w:p>
        </w:tc>
        <w:tc>
          <w:tcPr>
            <w:tcW w:w="478" w:type="pct"/>
            <w:noWrap/>
            <w:hideMark/>
          </w:tcPr>
          <w:p w14:paraId="132ABD85" w14:textId="77777777" w:rsidR="00D275ED" w:rsidRPr="00450BD5" w:rsidRDefault="00D275ED" w:rsidP="00856A06">
            <w:pPr>
              <w:pStyle w:val="Tabletext"/>
              <w:jc w:val="center"/>
              <w:rPr>
                <w:lang w:val="nl-NL" w:eastAsia="nl-NL"/>
              </w:rPr>
            </w:pPr>
            <w:r w:rsidRPr="00450BD5">
              <w:rPr>
                <w:lang w:val="nl-NL" w:eastAsia="nl-NL"/>
              </w:rPr>
              <w:t>0.00</w:t>
            </w:r>
          </w:p>
        </w:tc>
        <w:tc>
          <w:tcPr>
            <w:tcW w:w="478" w:type="pct"/>
            <w:noWrap/>
            <w:hideMark/>
          </w:tcPr>
          <w:p w14:paraId="69B54518" w14:textId="77777777" w:rsidR="00D275ED" w:rsidRPr="00450BD5" w:rsidRDefault="00D275ED" w:rsidP="00856A06">
            <w:pPr>
              <w:pStyle w:val="Tabletext"/>
              <w:jc w:val="center"/>
              <w:rPr>
                <w:lang w:val="nl-NL" w:eastAsia="nl-NL"/>
              </w:rPr>
            </w:pPr>
            <w:r w:rsidRPr="00450BD5">
              <w:rPr>
                <w:lang w:val="nl-NL" w:eastAsia="nl-NL"/>
              </w:rPr>
              <w:t>0.00</w:t>
            </w:r>
          </w:p>
        </w:tc>
        <w:tc>
          <w:tcPr>
            <w:tcW w:w="478" w:type="pct"/>
            <w:noWrap/>
            <w:hideMark/>
          </w:tcPr>
          <w:p w14:paraId="6A28A93F"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34F1B592" w14:textId="77777777" w:rsidR="00D275ED" w:rsidRPr="00450BD5" w:rsidRDefault="00D275ED" w:rsidP="00856A06">
            <w:pPr>
              <w:pStyle w:val="Tabletext"/>
              <w:jc w:val="center"/>
              <w:rPr>
                <w:lang w:val="nl-NL" w:eastAsia="nl-NL"/>
              </w:rPr>
            </w:pPr>
            <w:r w:rsidRPr="00450BD5">
              <w:rPr>
                <w:lang w:val="nl-NL" w:eastAsia="nl-NL"/>
              </w:rPr>
              <w:t>1.61</w:t>
            </w:r>
          </w:p>
        </w:tc>
        <w:tc>
          <w:tcPr>
            <w:tcW w:w="667" w:type="pct"/>
            <w:noWrap/>
            <w:hideMark/>
          </w:tcPr>
          <w:p w14:paraId="37CF7A28" w14:textId="77777777" w:rsidR="00D275ED" w:rsidRPr="00450BD5" w:rsidRDefault="00D275ED" w:rsidP="00856A06">
            <w:pPr>
              <w:pStyle w:val="Tabletext"/>
              <w:jc w:val="center"/>
              <w:rPr>
                <w:lang w:val="nl-NL" w:eastAsia="nl-NL"/>
              </w:rPr>
            </w:pPr>
            <w:r w:rsidRPr="00450BD5">
              <w:rPr>
                <w:lang w:val="nl-NL" w:eastAsia="nl-NL"/>
              </w:rPr>
              <w:t>2.15</w:t>
            </w:r>
          </w:p>
        </w:tc>
      </w:tr>
      <w:tr w:rsidR="00D275ED" w:rsidRPr="00450BD5" w14:paraId="6F754F92" w14:textId="77777777" w:rsidTr="00856A06">
        <w:trPr>
          <w:trHeight w:val="288"/>
        </w:trPr>
        <w:tc>
          <w:tcPr>
            <w:tcW w:w="800" w:type="pct"/>
            <w:noWrap/>
            <w:hideMark/>
          </w:tcPr>
          <w:p w14:paraId="3FBD6A0D" w14:textId="77777777" w:rsidR="00D275ED" w:rsidRPr="00450BD5" w:rsidRDefault="00D275ED" w:rsidP="00856A06">
            <w:pPr>
              <w:pStyle w:val="Tabletext"/>
              <w:rPr>
                <w:i/>
                <w:iCs/>
                <w:lang w:val="nl-NL" w:eastAsia="nl-NL"/>
              </w:rPr>
            </w:pPr>
            <w:r>
              <w:rPr>
                <w:i/>
                <w:iCs/>
                <w:lang w:val="nl-NL" w:eastAsia="nl-NL"/>
              </w:rPr>
              <w:t>Best estimate</w:t>
            </w:r>
          </w:p>
        </w:tc>
        <w:tc>
          <w:tcPr>
            <w:tcW w:w="478" w:type="pct"/>
            <w:noWrap/>
            <w:hideMark/>
          </w:tcPr>
          <w:p w14:paraId="609A3A54" w14:textId="77777777" w:rsidR="00D275ED" w:rsidRPr="00450BD5" w:rsidRDefault="00D275ED" w:rsidP="00856A06">
            <w:pPr>
              <w:pStyle w:val="Tabletext"/>
              <w:jc w:val="center"/>
              <w:rPr>
                <w:i/>
                <w:iCs/>
                <w:lang w:val="nl-NL" w:eastAsia="nl-NL"/>
              </w:rPr>
            </w:pPr>
            <w:r w:rsidRPr="00450BD5">
              <w:rPr>
                <w:i/>
                <w:iCs/>
                <w:lang w:val="nl-NL" w:eastAsia="nl-NL"/>
              </w:rPr>
              <w:t>0.31</w:t>
            </w:r>
          </w:p>
        </w:tc>
        <w:tc>
          <w:tcPr>
            <w:tcW w:w="478" w:type="pct"/>
            <w:noWrap/>
            <w:hideMark/>
          </w:tcPr>
          <w:p w14:paraId="17BC9EE8" w14:textId="77777777" w:rsidR="00D275ED" w:rsidRPr="00450BD5" w:rsidRDefault="00D275ED" w:rsidP="00856A06">
            <w:pPr>
              <w:pStyle w:val="Tabletext"/>
              <w:jc w:val="center"/>
              <w:rPr>
                <w:i/>
                <w:iCs/>
                <w:lang w:val="nl-NL" w:eastAsia="nl-NL"/>
              </w:rPr>
            </w:pPr>
            <w:r w:rsidRPr="00450BD5">
              <w:rPr>
                <w:i/>
                <w:iCs/>
                <w:lang w:val="nl-NL" w:eastAsia="nl-NL"/>
              </w:rPr>
              <w:t>0.61</w:t>
            </w:r>
          </w:p>
        </w:tc>
        <w:tc>
          <w:tcPr>
            <w:tcW w:w="478" w:type="pct"/>
            <w:noWrap/>
            <w:hideMark/>
          </w:tcPr>
          <w:p w14:paraId="3A28DD75" w14:textId="77777777" w:rsidR="00D275ED" w:rsidRPr="00450BD5" w:rsidRDefault="00D275ED" w:rsidP="00856A06">
            <w:pPr>
              <w:pStyle w:val="Tabletext"/>
              <w:jc w:val="center"/>
              <w:rPr>
                <w:i/>
                <w:iCs/>
                <w:lang w:val="nl-NL" w:eastAsia="nl-NL"/>
              </w:rPr>
            </w:pPr>
            <w:r w:rsidRPr="00450BD5">
              <w:rPr>
                <w:i/>
                <w:iCs/>
                <w:lang w:val="nl-NL" w:eastAsia="nl-NL"/>
              </w:rPr>
              <w:t>0.07</w:t>
            </w:r>
          </w:p>
        </w:tc>
        <w:tc>
          <w:tcPr>
            <w:tcW w:w="478" w:type="pct"/>
            <w:noWrap/>
            <w:hideMark/>
          </w:tcPr>
          <w:p w14:paraId="4CC4ADAA" w14:textId="77777777" w:rsidR="00D275ED" w:rsidRPr="00450BD5" w:rsidRDefault="00D275ED" w:rsidP="00856A06">
            <w:pPr>
              <w:pStyle w:val="Tabletext"/>
              <w:jc w:val="center"/>
              <w:rPr>
                <w:i/>
                <w:iCs/>
                <w:lang w:val="nl-NL" w:eastAsia="nl-NL"/>
              </w:rPr>
            </w:pPr>
            <w:r w:rsidRPr="00450BD5">
              <w:rPr>
                <w:i/>
                <w:iCs/>
                <w:lang w:val="nl-NL" w:eastAsia="nl-NL"/>
              </w:rPr>
              <w:t>0.06</w:t>
            </w:r>
          </w:p>
        </w:tc>
        <w:tc>
          <w:tcPr>
            <w:tcW w:w="478" w:type="pct"/>
            <w:noWrap/>
            <w:hideMark/>
          </w:tcPr>
          <w:p w14:paraId="30473CA2" w14:textId="77777777" w:rsidR="00D275ED" w:rsidRPr="00450BD5" w:rsidRDefault="00D275ED" w:rsidP="00856A06">
            <w:pPr>
              <w:pStyle w:val="Tabletext"/>
              <w:jc w:val="center"/>
              <w:rPr>
                <w:i/>
                <w:iCs/>
                <w:lang w:val="nl-NL" w:eastAsia="nl-NL"/>
              </w:rPr>
            </w:pPr>
            <w:r w:rsidRPr="00450BD5">
              <w:rPr>
                <w:i/>
                <w:iCs/>
                <w:lang w:val="nl-NL" w:eastAsia="nl-NL"/>
              </w:rPr>
              <w:t>0.10</w:t>
            </w:r>
          </w:p>
        </w:tc>
        <w:tc>
          <w:tcPr>
            <w:tcW w:w="478" w:type="pct"/>
            <w:noWrap/>
            <w:hideMark/>
          </w:tcPr>
          <w:p w14:paraId="37EDDF94" w14:textId="77777777" w:rsidR="00D275ED" w:rsidRPr="00450BD5" w:rsidRDefault="00D275ED" w:rsidP="00856A06">
            <w:pPr>
              <w:pStyle w:val="Tabletext"/>
              <w:jc w:val="center"/>
              <w:rPr>
                <w:i/>
                <w:iCs/>
                <w:lang w:val="nl-NL" w:eastAsia="nl-NL"/>
              </w:rPr>
            </w:pPr>
            <w:r w:rsidRPr="00450BD5">
              <w:rPr>
                <w:i/>
                <w:iCs/>
                <w:lang w:val="nl-NL" w:eastAsia="nl-NL"/>
              </w:rPr>
              <w:t>0.00</w:t>
            </w:r>
          </w:p>
        </w:tc>
        <w:tc>
          <w:tcPr>
            <w:tcW w:w="667" w:type="pct"/>
            <w:noWrap/>
            <w:hideMark/>
          </w:tcPr>
          <w:p w14:paraId="3BA70A9B" w14:textId="77777777" w:rsidR="00D275ED" w:rsidRPr="00450BD5" w:rsidRDefault="00D275ED" w:rsidP="00856A06">
            <w:pPr>
              <w:pStyle w:val="Tabletext"/>
              <w:jc w:val="center"/>
              <w:rPr>
                <w:i/>
                <w:iCs/>
                <w:lang w:val="nl-NL" w:eastAsia="nl-NL"/>
              </w:rPr>
            </w:pPr>
            <w:r w:rsidRPr="00450BD5">
              <w:rPr>
                <w:i/>
                <w:iCs/>
                <w:lang w:val="nl-NL" w:eastAsia="nl-NL"/>
              </w:rPr>
              <w:t>1.15</w:t>
            </w:r>
          </w:p>
        </w:tc>
        <w:tc>
          <w:tcPr>
            <w:tcW w:w="667" w:type="pct"/>
            <w:noWrap/>
            <w:hideMark/>
          </w:tcPr>
          <w:p w14:paraId="124EADFC" w14:textId="77777777" w:rsidR="00D275ED" w:rsidRPr="00450BD5" w:rsidRDefault="00D275ED" w:rsidP="00856A06">
            <w:pPr>
              <w:pStyle w:val="Tabletext"/>
              <w:jc w:val="center"/>
              <w:rPr>
                <w:i/>
                <w:iCs/>
                <w:lang w:val="nl-NL" w:eastAsia="nl-NL"/>
              </w:rPr>
            </w:pPr>
          </w:p>
        </w:tc>
      </w:tr>
      <w:tr w:rsidR="00D275ED" w:rsidRPr="00450BD5" w14:paraId="718DC928" w14:textId="77777777" w:rsidTr="00856A06">
        <w:trPr>
          <w:trHeight w:val="288"/>
        </w:trPr>
        <w:tc>
          <w:tcPr>
            <w:tcW w:w="800" w:type="pct"/>
            <w:noWrap/>
            <w:hideMark/>
          </w:tcPr>
          <w:p w14:paraId="027A88A2" w14:textId="77777777" w:rsidR="00D275ED" w:rsidRPr="00450BD5" w:rsidRDefault="00D275ED" w:rsidP="00856A06">
            <w:pPr>
              <w:pStyle w:val="Tabletext"/>
              <w:rPr>
                <w:lang w:val="nl-NL" w:eastAsia="nl-NL"/>
              </w:rPr>
            </w:pPr>
            <w:r w:rsidRPr="00450BD5">
              <w:rPr>
                <w:lang w:val="nl-NL" w:eastAsia="nl-NL"/>
              </w:rPr>
              <w:t> </w:t>
            </w:r>
          </w:p>
        </w:tc>
        <w:tc>
          <w:tcPr>
            <w:tcW w:w="478" w:type="pct"/>
            <w:noWrap/>
            <w:hideMark/>
          </w:tcPr>
          <w:p w14:paraId="31D8543E" w14:textId="77777777" w:rsidR="00D275ED" w:rsidRPr="00450BD5" w:rsidRDefault="00D275ED" w:rsidP="00856A06">
            <w:pPr>
              <w:pStyle w:val="Tabletext"/>
              <w:jc w:val="center"/>
              <w:rPr>
                <w:lang w:val="nl-NL" w:eastAsia="nl-NL"/>
              </w:rPr>
            </w:pPr>
          </w:p>
        </w:tc>
        <w:tc>
          <w:tcPr>
            <w:tcW w:w="478" w:type="pct"/>
            <w:noWrap/>
            <w:hideMark/>
          </w:tcPr>
          <w:p w14:paraId="53249A81" w14:textId="77777777" w:rsidR="00D275ED" w:rsidRPr="00450BD5" w:rsidRDefault="00D275ED" w:rsidP="00856A06">
            <w:pPr>
              <w:pStyle w:val="Tabletext"/>
              <w:jc w:val="center"/>
              <w:rPr>
                <w:lang w:val="nl-NL" w:eastAsia="nl-NL"/>
              </w:rPr>
            </w:pPr>
          </w:p>
        </w:tc>
        <w:tc>
          <w:tcPr>
            <w:tcW w:w="478" w:type="pct"/>
            <w:noWrap/>
            <w:hideMark/>
          </w:tcPr>
          <w:p w14:paraId="3E481863" w14:textId="77777777" w:rsidR="00D275ED" w:rsidRPr="00450BD5" w:rsidRDefault="00D275ED" w:rsidP="00856A06">
            <w:pPr>
              <w:pStyle w:val="Tabletext"/>
              <w:jc w:val="center"/>
              <w:rPr>
                <w:lang w:val="nl-NL" w:eastAsia="nl-NL"/>
              </w:rPr>
            </w:pPr>
          </w:p>
        </w:tc>
        <w:tc>
          <w:tcPr>
            <w:tcW w:w="478" w:type="pct"/>
            <w:noWrap/>
            <w:hideMark/>
          </w:tcPr>
          <w:p w14:paraId="6EDC596A" w14:textId="77777777" w:rsidR="00D275ED" w:rsidRPr="00450BD5" w:rsidRDefault="00D275ED" w:rsidP="00856A06">
            <w:pPr>
              <w:pStyle w:val="Tabletext"/>
              <w:jc w:val="center"/>
              <w:rPr>
                <w:lang w:val="nl-NL" w:eastAsia="nl-NL"/>
              </w:rPr>
            </w:pPr>
          </w:p>
        </w:tc>
        <w:tc>
          <w:tcPr>
            <w:tcW w:w="478" w:type="pct"/>
            <w:noWrap/>
            <w:hideMark/>
          </w:tcPr>
          <w:p w14:paraId="165F3457" w14:textId="77777777" w:rsidR="00D275ED" w:rsidRPr="00450BD5" w:rsidRDefault="00D275ED" w:rsidP="00856A06">
            <w:pPr>
              <w:pStyle w:val="Tabletext"/>
              <w:jc w:val="center"/>
              <w:rPr>
                <w:lang w:val="nl-NL" w:eastAsia="nl-NL"/>
              </w:rPr>
            </w:pPr>
          </w:p>
        </w:tc>
        <w:tc>
          <w:tcPr>
            <w:tcW w:w="478" w:type="pct"/>
            <w:noWrap/>
            <w:hideMark/>
          </w:tcPr>
          <w:p w14:paraId="5D67B8C2" w14:textId="77777777" w:rsidR="00D275ED" w:rsidRPr="00450BD5" w:rsidRDefault="00D275ED" w:rsidP="00856A06">
            <w:pPr>
              <w:pStyle w:val="Tabletext"/>
              <w:jc w:val="center"/>
              <w:rPr>
                <w:lang w:val="nl-NL" w:eastAsia="nl-NL"/>
              </w:rPr>
            </w:pPr>
          </w:p>
        </w:tc>
        <w:tc>
          <w:tcPr>
            <w:tcW w:w="667" w:type="pct"/>
            <w:noWrap/>
            <w:hideMark/>
          </w:tcPr>
          <w:p w14:paraId="6F27CB6E" w14:textId="77777777" w:rsidR="00D275ED" w:rsidRPr="00450BD5" w:rsidRDefault="00D275ED" w:rsidP="00856A06">
            <w:pPr>
              <w:pStyle w:val="Tabletext"/>
              <w:jc w:val="center"/>
              <w:rPr>
                <w:lang w:val="nl-NL" w:eastAsia="nl-NL"/>
              </w:rPr>
            </w:pPr>
          </w:p>
        </w:tc>
        <w:tc>
          <w:tcPr>
            <w:tcW w:w="667" w:type="pct"/>
            <w:noWrap/>
            <w:hideMark/>
          </w:tcPr>
          <w:p w14:paraId="64B43CCF" w14:textId="77777777" w:rsidR="00D275ED" w:rsidRPr="00450BD5" w:rsidRDefault="00D275ED" w:rsidP="00856A06">
            <w:pPr>
              <w:pStyle w:val="Tabletext"/>
              <w:jc w:val="center"/>
              <w:rPr>
                <w:lang w:val="nl-NL" w:eastAsia="nl-NL"/>
              </w:rPr>
            </w:pPr>
          </w:p>
        </w:tc>
      </w:tr>
      <w:tr w:rsidR="00D275ED" w:rsidRPr="00450BD5" w14:paraId="58621ABB" w14:textId="77777777" w:rsidTr="00856A06">
        <w:trPr>
          <w:trHeight w:val="288"/>
        </w:trPr>
        <w:tc>
          <w:tcPr>
            <w:tcW w:w="800" w:type="pct"/>
            <w:noWrap/>
            <w:hideMark/>
          </w:tcPr>
          <w:p w14:paraId="676AFC50" w14:textId="77777777" w:rsidR="00D275ED" w:rsidRPr="00403C24" w:rsidRDefault="00D275ED" w:rsidP="00856A06">
            <w:pPr>
              <w:pStyle w:val="Tabletext"/>
              <w:jc w:val="right"/>
              <w:rPr>
                <w:i/>
                <w:iCs/>
                <w:lang w:val="nl-NL" w:eastAsia="nl-NL"/>
              </w:rPr>
            </w:pPr>
            <w:r w:rsidRPr="00403C24">
              <w:rPr>
                <w:i/>
                <w:iCs/>
                <w:lang w:val="nl-NL" w:eastAsia="nl-NL"/>
              </w:rPr>
              <w:t>Solid waste</w:t>
            </w:r>
          </w:p>
        </w:tc>
        <w:tc>
          <w:tcPr>
            <w:tcW w:w="478" w:type="pct"/>
            <w:noWrap/>
            <w:hideMark/>
          </w:tcPr>
          <w:p w14:paraId="0E5E81C6" w14:textId="77777777" w:rsidR="00D275ED" w:rsidRPr="00450BD5" w:rsidRDefault="00D275ED" w:rsidP="00856A06">
            <w:pPr>
              <w:pStyle w:val="Tabletext"/>
              <w:jc w:val="center"/>
              <w:rPr>
                <w:lang w:val="nl-NL" w:eastAsia="nl-NL"/>
              </w:rPr>
            </w:pPr>
          </w:p>
        </w:tc>
        <w:tc>
          <w:tcPr>
            <w:tcW w:w="478" w:type="pct"/>
            <w:noWrap/>
            <w:hideMark/>
          </w:tcPr>
          <w:p w14:paraId="5AA5544E" w14:textId="77777777" w:rsidR="00D275ED" w:rsidRPr="00450BD5" w:rsidRDefault="00D275ED" w:rsidP="00856A06">
            <w:pPr>
              <w:pStyle w:val="Tabletext"/>
              <w:jc w:val="center"/>
              <w:rPr>
                <w:lang w:val="nl-NL" w:eastAsia="nl-NL"/>
              </w:rPr>
            </w:pPr>
          </w:p>
        </w:tc>
        <w:tc>
          <w:tcPr>
            <w:tcW w:w="478" w:type="pct"/>
            <w:noWrap/>
            <w:hideMark/>
          </w:tcPr>
          <w:p w14:paraId="13A02A33" w14:textId="77777777" w:rsidR="00D275ED" w:rsidRPr="00450BD5" w:rsidRDefault="00D275ED" w:rsidP="00856A06">
            <w:pPr>
              <w:pStyle w:val="Tabletext"/>
              <w:jc w:val="center"/>
              <w:rPr>
                <w:lang w:val="nl-NL" w:eastAsia="nl-NL"/>
              </w:rPr>
            </w:pPr>
          </w:p>
        </w:tc>
        <w:tc>
          <w:tcPr>
            <w:tcW w:w="478" w:type="pct"/>
            <w:noWrap/>
            <w:hideMark/>
          </w:tcPr>
          <w:p w14:paraId="027FB5A8" w14:textId="77777777" w:rsidR="00D275ED" w:rsidRPr="00450BD5" w:rsidRDefault="00D275ED" w:rsidP="00856A06">
            <w:pPr>
              <w:pStyle w:val="Tabletext"/>
              <w:jc w:val="center"/>
              <w:rPr>
                <w:lang w:val="nl-NL" w:eastAsia="nl-NL"/>
              </w:rPr>
            </w:pPr>
          </w:p>
        </w:tc>
        <w:tc>
          <w:tcPr>
            <w:tcW w:w="478" w:type="pct"/>
            <w:noWrap/>
            <w:hideMark/>
          </w:tcPr>
          <w:p w14:paraId="78689A50" w14:textId="77777777" w:rsidR="00D275ED" w:rsidRPr="00450BD5" w:rsidRDefault="00D275ED" w:rsidP="00856A06">
            <w:pPr>
              <w:pStyle w:val="Tabletext"/>
              <w:jc w:val="center"/>
              <w:rPr>
                <w:lang w:val="nl-NL" w:eastAsia="nl-NL"/>
              </w:rPr>
            </w:pPr>
          </w:p>
        </w:tc>
        <w:tc>
          <w:tcPr>
            <w:tcW w:w="478" w:type="pct"/>
            <w:noWrap/>
            <w:hideMark/>
          </w:tcPr>
          <w:p w14:paraId="5FF4D650" w14:textId="77777777" w:rsidR="00D275ED" w:rsidRPr="00450BD5" w:rsidRDefault="00D275ED" w:rsidP="00856A06">
            <w:pPr>
              <w:pStyle w:val="Tabletext"/>
              <w:jc w:val="center"/>
              <w:rPr>
                <w:lang w:val="nl-NL" w:eastAsia="nl-NL"/>
              </w:rPr>
            </w:pPr>
          </w:p>
        </w:tc>
        <w:tc>
          <w:tcPr>
            <w:tcW w:w="667" w:type="pct"/>
            <w:noWrap/>
            <w:hideMark/>
          </w:tcPr>
          <w:p w14:paraId="4ECEB785" w14:textId="77777777" w:rsidR="00D275ED" w:rsidRPr="00450BD5" w:rsidRDefault="00D275ED" w:rsidP="00856A06">
            <w:pPr>
              <w:pStyle w:val="Tabletext"/>
              <w:jc w:val="center"/>
              <w:rPr>
                <w:lang w:val="nl-NL" w:eastAsia="nl-NL"/>
              </w:rPr>
            </w:pPr>
          </w:p>
        </w:tc>
        <w:tc>
          <w:tcPr>
            <w:tcW w:w="667" w:type="pct"/>
            <w:noWrap/>
            <w:hideMark/>
          </w:tcPr>
          <w:p w14:paraId="6B6337D7" w14:textId="77777777" w:rsidR="00D275ED" w:rsidRPr="00450BD5" w:rsidRDefault="00D275ED" w:rsidP="00856A06">
            <w:pPr>
              <w:pStyle w:val="Tabletext"/>
              <w:jc w:val="center"/>
              <w:rPr>
                <w:lang w:val="nl-NL" w:eastAsia="nl-NL"/>
              </w:rPr>
            </w:pPr>
          </w:p>
        </w:tc>
      </w:tr>
      <w:tr w:rsidR="00D275ED" w:rsidRPr="00450BD5" w14:paraId="626780B5" w14:textId="77777777" w:rsidTr="00856A06">
        <w:trPr>
          <w:trHeight w:val="288"/>
        </w:trPr>
        <w:tc>
          <w:tcPr>
            <w:tcW w:w="800" w:type="pct"/>
            <w:noWrap/>
            <w:hideMark/>
          </w:tcPr>
          <w:p w14:paraId="46A859DD" w14:textId="77777777" w:rsidR="00D275ED" w:rsidRPr="00450BD5" w:rsidRDefault="00D275ED" w:rsidP="00856A06">
            <w:pPr>
              <w:pStyle w:val="Tabletext"/>
              <w:rPr>
                <w:lang w:val="nl-NL" w:eastAsia="nl-NL"/>
              </w:rPr>
            </w:pPr>
            <w:r w:rsidRPr="00450BD5">
              <w:rPr>
                <w:lang w:val="nl-NL" w:eastAsia="nl-NL"/>
              </w:rPr>
              <w:t>IIASA</w:t>
            </w:r>
          </w:p>
        </w:tc>
        <w:tc>
          <w:tcPr>
            <w:tcW w:w="478" w:type="pct"/>
            <w:noWrap/>
            <w:hideMark/>
          </w:tcPr>
          <w:p w14:paraId="438C5CA2" w14:textId="77777777" w:rsidR="00D275ED" w:rsidRPr="00450BD5" w:rsidRDefault="00D275ED" w:rsidP="00856A06">
            <w:pPr>
              <w:pStyle w:val="Tabletext"/>
              <w:jc w:val="center"/>
              <w:rPr>
                <w:lang w:val="nl-NL" w:eastAsia="nl-NL"/>
              </w:rPr>
            </w:pPr>
            <w:r w:rsidRPr="00450BD5">
              <w:rPr>
                <w:lang w:val="nl-NL" w:eastAsia="nl-NL"/>
              </w:rPr>
              <w:t>0.43</w:t>
            </w:r>
          </w:p>
        </w:tc>
        <w:tc>
          <w:tcPr>
            <w:tcW w:w="478" w:type="pct"/>
            <w:noWrap/>
            <w:hideMark/>
          </w:tcPr>
          <w:p w14:paraId="7ACA9B86" w14:textId="77777777" w:rsidR="00D275ED" w:rsidRPr="00450BD5" w:rsidRDefault="00D275ED" w:rsidP="00856A06">
            <w:pPr>
              <w:pStyle w:val="Tabletext"/>
              <w:jc w:val="center"/>
              <w:rPr>
                <w:lang w:val="nl-NL" w:eastAsia="nl-NL"/>
              </w:rPr>
            </w:pPr>
            <w:r w:rsidRPr="00450BD5">
              <w:rPr>
                <w:lang w:val="nl-NL" w:eastAsia="nl-NL"/>
              </w:rPr>
              <w:t>0.03</w:t>
            </w:r>
          </w:p>
        </w:tc>
        <w:tc>
          <w:tcPr>
            <w:tcW w:w="478" w:type="pct"/>
            <w:noWrap/>
            <w:hideMark/>
          </w:tcPr>
          <w:p w14:paraId="49BD5A5E" w14:textId="77777777" w:rsidR="00D275ED" w:rsidRPr="00450BD5" w:rsidRDefault="00D275ED" w:rsidP="00856A06">
            <w:pPr>
              <w:pStyle w:val="Tabletext"/>
              <w:jc w:val="center"/>
              <w:rPr>
                <w:lang w:val="nl-NL" w:eastAsia="nl-NL"/>
              </w:rPr>
            </w:pPr>
            <w:r w:rsidRPr="00450BD5">
              <w:rPr>
                <w:lang w:val="nl-NL" w:eastAsia="nl-NL"/>
              </w:rPr>
              <w:t>0.03</w:t>
            </w:r>
          </w:p>
        </w:tc>
        <w:tc>
          <w:tcPr>
            <w:tcW w:w="478" w:type="pct"/>
            <w:noWrap/>
            <w:hideMark/>
          </w:tcPr>
          <w:p w14:paraId="00409734" w14:textId="77777777" w:rsidR="00D275ED" w:rsidRPr="00450BD5" w:rsidRDefault="00D275ED" w:rsidP="00856A06">
            <w:pPr>
              <w:pStyle w:val="Tabletext"/>
              <w:jc w:val="center"/>
              <w:rPr>
                <w:lang w:val="nl-NL" w:eastAsia="nl-NL"/>
              </w:rPr>
            </w:pPr>
            <w:r w:rsidRPr="00450BD5">
              <w:rPr>
                <w:lang w:val="nl-NL" w:eastAsia="nl-NL"/>
              </w:rPr>
              <w:t>0.03</w:t>
            </w:r>
          </w:p>
        </w:tc>
        <w:tc>
          <w:tcPr>
            <w:tcW w:w="478" w:type="pct"/>
            <w:noWrap/>
            <w:hideMark/>
          </w:tcPr>
          <w:p w14:paraId="48F54B34" w14:textId="77777777" w:rsidR="00D275ED" w:rsidRPr="00450BD5" w:rsidRDefault="00D275ED" w:rsidP="00856A06">
            <w:pPr>
              <w:pStyle w:val="Tabletext"/>
              <w:jc w:val="center"/>
              <w:rPr>
                <w:lang w:val="nl-NL" w:eastAsia="nl-NL"/>
              </w:rPr>
            </w:pPr>
            <w:r w:rsidRPr="00450BD5">
              <w:rPr>
                <w:lang w:val="nl-NL" w:eastAsia="nl-NL"/>
              </w:rPr>
              <w:t>0.02</w:t>
            </w:r>
          </w:p>
        </w:tc>
        <w:tc>
          <w:tcPr>
            <w:tcW w:w="478" w:type="pct"/>
            <w:noWrap/>
            <w:hideMark/>
          </w:tcPr>
          <w:p w14:paraId="0552F545" w14:textId="77777777" w:rsidR="00D275ED" w:rsidRPr="00450BD5" w:rsidRDefault="00D275ED" w:rsidP="00856A06">
            <w:pPr>
              <w:pStyle w:val="Tabletext"/>
              <w:jc w:val="center"/>
              <w:rPr>
                <w:lang w:val="nl-NL" w:eastAsia="nl-NL"/>
              </w:rPr>
            </w:pPr>
            <w:r w:rsidRPr="00450BD5">
              <w:rPr>
                <w:lang w:val="nl-NL" w:eastAsia="nl-NL"/>
              </w:rPr>
              <w:t>0.02</w:t>
            </w:r>
          </w:p>
        </w:tc>
        <w:tc>
          <w:tcPr>
            <w:tcW w:w="667" w:type="pct"/>
            <w:noWrap/>
            <w:hideMark/>
          </w:tcPr>
          <w:p w14:paraId="5A97FEBA" w14:textId="77777777" w:rsidR="00D275ED" w:rsidRPr="00450BD5" w:rsidRDefault="00D275ED" w:rsidP="00856A06">
            <w:pPr>
              <w:pStyle w:val="Tabletext"/>
              <w:jc w:val="center"/>
              <w:rPr>
                <w:lang w:val="nl-NL" w:eastAsia="nl-NL"/>
              </w:rPr>
            </w:pPr>
            <w:r w:rsidRPr="00450BD5">
              <w:rPr>
                <w:lang w:val="nl-NL" w:eastAsia="nl-NL"/>
              </w:rPr>
              <w:t>0.56</w:t>
            </w:r>
          </w:p>
        </w:tc>
        <w:tc>
          <w:tcPr>
            <w:tcW w:w="667" w:type="pct"/>
            <w:noWrap/>
            <w:hideMark/>
          </w:tcPr>
          <w:p w14:paraId="14141B49" w14:textId="77777777" w:rsidR="00D275ED" w:rsidRPr="00450BD5" w:rsidRDefault="00D275ED" w:rsidP="00856A06">
            <w:pPr>
              <w:pStyle w:val="Tabletext"/>
              <w:jc w:val="center"/>
              <w:rPr>
                <w:lang w:val="nl-NL" w:eastAsia="nl-NL"/>
              </w:rPr>
            </w:pPr>
            <w:r w:rsidRPr="00450BD5">
              <w:rPr>
                <w:lang w:val="nl-NL" w:eastAsia="nl-NL"/>
              </w:rPr>
              <w:t>1.49</w:t>
            </w:r>
          </w:p>
        </w:tc>
      </w:tr>
      <w:tr w:rsidR="00D275ED" w:rsidRPr="00450BD5" w14:paraId="0156228E" w14:textId="77777777" w:rsidTr="00856A06">
        <w:trPr>
          <w:trHeight w:val="288"/>
        </w:trPr>
        <w:tc>
          <w:tcPr>
            <w:tcW w:w="800" w:type="pct"/>
            <w:noWrap/>
            <w:hideMark/>
          </w:tcPr>
          <w:p w14:paraId="37C17AA5" w14:textId="77777777" w:rsidR="00D275ED" w:rsidRPr="00450BD5" w:rsidRDefault="00D275ED" w:rsidP="00856A06">
            <w:pPr>
              <w:pStyle w:val="Tabletext"/>
              <w:rPr>
                <w:lang w:val="nl-NL" w:eastAsia="nl-NL"/>
              </w:rPr>
            </w:pPr>
            <w:r w:rsidRPr="00450BD5">
              <w:rPr>
                <w:lang w:val="nl-NL" w:eastAsia="nl-NL"/>
              </w:rPr>
              <w:t>EPA</w:t>
            </w:r>
          </w:p>
        </w:tc>
        <w:tc>
          <w:tcPr>
            <w:tcW w:w="478" w:type="pct"/>
            <w:noWrap/>
            <w:hideMark/>
          </w:tcPr>
          <w:p w14:paraId="148ACC15" w14:textId="77777777" w:rsidR="00D275ED" w:rsidRPr="00450BD5" w:rsidRDefault="00D275ED" w:rsidP="00856A06">
            <w:pPr>
              <w:pStyle w:val="Tabletext"/>
              <w:jc w:val="center"/>
              <w:rPr>
                <w:lang w:val="nl-NL" w:eastAsia="nl-NL"/>
              </w:rPr>
            </w:pPr>
            <w:r w:rsidRPr="00450BD5">
              <w:rPr>
                <w:lang w:val="nl-NL" w:eastAsia="nl-NL"/>
              </w:rPr>
              <w:t>0.24</w:t>
            </w:r>
          </w:p>
        </w:tc>
        <w:tc>
          <w:tcPr>
            <w:tcW w:w="478" w:type="pct"/>
            <w:noWrap/>
            <w:hideMark/>
          </w:tcPr>
          <w:p w14:paraId="2BC407B0" w14:textId="77777777" w:rsidR="00D275ED" w:rsidRPr="00450BD5" w:rsidRDefault="00D275ED" w:rsidP="00856A06">
            <w:pPr>
              <w:pStyle w:val="Tabletext"/>
              <w:jc w:val="center"/>
              <w:rPr>
                <w:lang w:val="nl-NL" w:eastAsia="nl-NL"/>
              </w:rPr>
            </w:pPr>
            <w:r w:rsidRPr="00450BD5">
              <w:rPr>
                <w:lang w:val="nl-NL" w:eastAsia="nl-NL"/>
              </w:rPr>
              <w:t>0.15</w:t>
            </w:r>
          </w:p>
        </w:tc>
        <w:tc>
          <w:tcPr>
            <w:tcW w:w="478" w:type="pct"/>
            <w:noWrap/>
            <w:hideMark/>
          </w:tcPr>
          <w:p w14:paraId="1A67BE69" w14:textId="77777777" w:rsidR="00D275ED" w:rsidRPr="00450BD5" w:rsidRDefault="00D275ED" w:rsidP="00856A06">
            <w:pPr>
              <w:pStyle w:val="Tabletext"/>
              <w:jc w:val="center"/>
              <w:rPr>
                <w:lang w:val="nl-NL" w:eastAsia="nl-NL"/>
              </w:rPr>
            </w:pPr>
            <w:r w:rsidRPr="00450BD5">
              <w:rPr>
                <w:lang w:val="nl-NL" w:eastAsia="nl-NL"/>
              </w:rPr>
              <w:t>0.07</w:t>
            </w:r>
          </w:p>
        </w:tc>
        <w:tc>
          <w:tcPr>
            <w:tcW w:w="478" w:type="pct"/>
            <w:noWrap/>
            <w:hideMark/>
          </w:tcPr>
          <w:p w14:paraId="190082F6" w14:textId="77777777" w:rsidR="00D275ED" w:rsidRPr="00450BD5" w:rsidRDefault="00D275ED" w:rsidP="00856A06">
            <w:pPr>
              <w:pStyle w:val="Tabletext"/>
              <w:jc w:val="center"/>
              <w:rPr>
                <w:lang w:val="nl-NL" w:eastAsia="nl-NL"/>
              </w:rPr>
            </w:pPr>
            <w:r w:rsidRPr="00450BD5">
              <w:rPr>
                <w:lang w:val="nl-NL" w:eastAsia="nl-NL"/>
              </w:rPr>
              <w:t>0.10</w:t>
            </w:r>
          </w:p>
        </w:tc>
        <w:tc>
          <w:tcPr>
            <w:tcW w:w="478" w:type="pct"/>
            <w:noWrap/>
            <w:hideMark/>
          </w:tcPr>
          <w:p w14:paraId="43ACCF6A" w14:textId="77777777" w:rsidR="00D275ED" w:rsidRPr="00450BD5" w:rsidRDefault="00D275ED" w:rsidP="00856A06">
            <w:pPr>
              <w:pStyle w:val="Tabletext"/>
              <w:jc w:val="center"/>
              <w:rPr>
                <w:lang w:val="nl-NL" w:eastAsia="nl-NL"/>
              </w:rPr>
            </w:pPr>
            <w:r w:rsidRPr="00450BD5">
              <w:rPr>
                <w:lang w:val="nl-NL" w:eastAsia="nl-NL"/>
              </w:rPr>
              <w:t>0.12</w:t>
            </w:r>
          </w:p>
        </w:tc>
        <w:tc>
          <w:tcPr>
            <w:tcW w:w="478" w:type="pct"/>
            <w:noWrap/>
            <w:hideMark/>
          </w:tcPr>
          <w:p w14:paraId="579DEA40"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603083CC" w14:textId="77777777" w:rsidR="00D275ED" w:rsidRPr="00450BD5" w:rsidRDefault="00D275ED" w:rsidP="00856A06">
            <w:pPr>
              <w:pStyle w:val="Tabletext"/>
              <w:jc w:val="center"/>
              <w:rPr>
                <w:lang w:val="nl-NL" w:eastAsia="nl-NL"/>
              </w:rPr>
            </w:pPr>
            <w:r w:rsidRPr="00450BD5">
              <w:rPr>
                <w:lang w:val="nl-NL" w:eastAsia="nl-NL"/>
              </w:rPr>
              <w:t>0.68</w:t>
            </w:r>
          </w:p>
        </w:tc>
        <w:tc>
          <w:tcPr>
            <w:tcW w:w="667" w:type="pct"/>
            <w:noWrap/>
            <w:hideMark/>
          </w:tcPr>
          <w:p w14:paraId="403D0E30" w14:textId="77777777" w:rsidR="00D275ED" w:rsidRPr="00450BD5" w:rsidRDefault="00D275ED" w:rsidP="00856A06">
            <w:pPr>
              <w:pStyle w:val="Tabletext"/>
              <w:jc w:val="center"/>
              <w:rPr>
                <w:lang w:val="nl-NL" w:eastAsia="nl-NL"/>
              </w:rPr>
            </w:pPr>
            <w:r w:rsidRPr="00450BD5">
              <w:rPr>
                <w:lang w:val="nl-NL" w:eastAsia="nl-NL"/>
              </w:rPr>
              <w:t>1.19</w:t>
            </w:r>
          </w:p>
        </w:tc>
      </w:tr>
      <w:tr w:rsidR="00D275ED" w:rsidRPr="00450BD5" w14:paraId="771ED4A5" w14:textId="77777777" w:rsidTr="00856A06">
        <w:trPr>
          <w:trHeight w:val="288"/>
        </w:trPr>
        <w:tc>
          <w:tcPr>
            <w:tcW w:w="800" w:type="pct"/>
            <w:noWrap/>
            <w:hideMark/>
          </w:tcPr>
          <w:p w14:paraId="60785044" w14:textId="77777777" w:rsidR="00D275ED" w:rsidRPr="00450BD5" w:rsidRDefault="00D275ED" w:rsidP="00856A06">
            <w:pPr>
              <w:pStyle w:val="Tabletext"/>
              <w:rPr>
                <w:lang w:val="nl-NL" w:eastAsia="nl-NL"/>
              </w:rPr>
            </w:pPr>
            <w:r w:rsidRPr="00450BD5">
              <w:rPr>
                <w:lang w:val="nl-NL" w:eastAsia="nl-NL"/>
              </w:rPr>
              <w:t>PBL</w:t>
            </w:r>
          </w:p>
        </w:tc>
        <w:tc>
          <w:tcPr>
            <w:tcW w:w="478" w:type="pct"/>
            <w:noWrap/>
            <w:hideMark/>
          </w:tcPr>
          <w:p w14:paraId="02AC20C4" w14:textId="77777777" w:rsidR="00D275ED" w:rsidRPr="00450BD5" w:rsidRDefault="00D275ED" w:rsidP="00856A06">
            <w:pPr>
              <w:pStyle w:val="Tabletext"/>
              <w:jc w:val="center"/>
              <w:rPr>
                <w:lang w:val="nl-NL" w:eastAsia="nl-NL"/>
              </w:rPr>
            </w:pPr>
          </w:p>
        </w:tc>
        <w:tc>
          <w:tcPr>
            <w:tcW w:w="478" w:type="pct"/>
            <w:noWrap/>
            <w:hideMark/>
          </w:tcPr>
          <w:p w14:paraId="2071B8E6" w14:textId="77777777" w:rsidR="00D275ED" w:rsidRPr="00450BD5" w:rsidRDefault="00D275ED" w:rsidP="00856A06">
            <w:pPr>
              <w:pStyle w:val="Tabletext"/>
              <w:jc w:val="center"/>
              <w:rPr>
                <w:lang w:val="nl-NL" w:eastAsia="nl-NL"/>
              </w:rPr>
            </w:pPr>
            <w:r w:rsidRPr="00450BD5">
              <w:rPr>
                <w:lang w:val="nl-NL" w:eastAsia="nl-NL"/>
              </w:rPr>
              <w:t>0.14</w:t>
            </w:r>
          </w:p>
        </w:tc>
        <w:tc>
          <w:tcPr>
            <w:tcW w:w="478" w:type="pct"/>
            <w:noWrap/>
            <w:hideMark/>
          </w:tcPr>
          <w:p w14:paraId="45CF2427" w14:textId="77777777" w:rsidR="00D275ED" w:rsidRPr="00450BD5" w:rsidRDefault="00D275ED" w:rsidP="00856A06">
            <w:pPr>
              <w:pStyle w:val="Tabletext"/>
              <w:jc w:val="center"/>
              <w:rPr>
                <w:lang w:val="nl-NL" w:eastAsia="nl-NL"/>
              </w:rPr>
            </w:pPr>
            <w:r w:rsidRPr="00450BD5">
              <w:rPr>
                <w:lang w:val="nl-NL" w:eastAsia="nl-NL"/>
              </w:rPr>
              <w:t>0.08</w:t>
            </w:r>
          </w:p>
        </w:tc>
        <w:tc>
          <w:tcPr>
            <w:tcW w:w="478" w:type="pct"/>
            <w:noWrap/>
            <w:hideMark/>
          </w:tcPr>
          <w:p w14:paraId="36AAB96C" w14:textId="77777777" w:rsidR="00D275ED" w:rsidRPr="00450BD5" w:rsidRDefault="00D275ED" w:rsidP="00856A06">
            <w:pPr>
              <w:pStyle w:val="Tabletext"/>
              <w:jc w:val="center"/>
              <w:rPr>
                <w:lang w:val="nl-NL" w:eastAsia="nl-NL"/>
              </w:rPr>
            </w:pPr>
            <w:r w:rsidRPr="00450BD5">
              <w:rPr>
                <w:lang w:val="nl-NL" w:eastAsia="nl-NL"/>
              </w:rPr>
              <w:t>0.01</w:t>
            </w:r>
          </w:p>
        </w:tc>
        <w:tc>
          <w:tcPr>
            <w:tcW w:w="478" w:type="pct"/>
            <w:noWrap/>
            <w:hideMark/>
          </w:tcPr>
          <w:p w14:paraId="4E982220" w14:textId="77777777" w:rsidR="00D275ED" w:rsidRPr="00450BD5" w:rsidRDefault="00D275ED" w:rsidP="00856A06">
            <w:pPr>
              <w:pStyle w:val="Tabletext"/>
              <w:jc w:val="center"/>
              <w:rPr>
                <w:lang w:val="nl-NL" w:eastAsia="nl-NL"/>
              </w:rPr>
            </w:pPr>
            <w:r w:rsidRPr="00450BD5">
              <w:rPr>
                <w:lang w:val="nl-NL" w:eastAsia="nl-NL"/>
              </w:rPr>
              <w:t>0.10</w:t>
            </w:r>
          </w:p>
        </w:tc>
        <w:tc>
          <w:tcPr>
            <w:tcW w:w="478" w:type="pct"/>
            <w:noWrap/>
            <w:hideMark/>
          </w:tcPr>
          <w:p w14:paraId="3D6200D0" w14:textId="77777777" w:rsidR="00D275ED" w:rsidRPr="00450BD5" w:rsidRDefault="00D275ED" w:rsidP="00856A06">
            <w:pPr>
              <w:pStyle w:val="Tabletext"/>
              <w:jc w:val="center"/>
              <w:rPr>
                <w:lang w:val="nl-NL" w:eastAsia="nl-NL"/>
              </w:rPr>
            </w:pPr>
            <w:r w:rsidRPr="00450BD5">
              <w:rPr>
                <w:lang w:val="nl-NL" w:eastAsia="nl-NL"/>
              </w:rPr>
              <w:t>0.15</w:t>
            </w:r>
          </w:p>
        </w:tc>
        <w:tc>
          <w:tcPr>
            <w:tcW w:w="667" w:type="pct"/>
            <w:noWrap/>
            <w:hideMark/>
          </w:tcPr>
          <w:p w14:paraId="73C60792" w14:textId="77777777" w:rsidR="00D275ED" w:rsidRPr="00450BD5" w:rsidRDefault="00D275ED" w:rsidP="00856A06">
            <w:pPr>
              <w:pStyle w:val="Tabletext"/>
              <w:jc w:val="center"/>
              <w:rPr>
                <w:lang w:val="nl-NL" w:eastAsia="nl-NL"/>
              </w:rPr>
            </w:pPr>
            <w:r w:rsidRPr="00450BD5">
              <w:rPr>
                <w:lang w:val="nl-NL" w:eastAsia="nl-NL"/>
              </w:rPr>
              <w:t>0.48</w:t>
            </w:r>
          </w:p>
        </w:tc>
        <w:tc>
          <w:tcPr>
            <w:tcW w:w="667" w:type="pct"/>
            <w:noWrap/>
            <w:hideMark/>
          </w:tcPr>
          <w:p w14:paraId="0F1D6E58" w14:textId="77777777" w:rsidR="00D275ED" w:rsidRPr="00450BD5" w:rsidRDefault="00D275ED" w:rsidP="00856A06">
            <w:pPr>
              <w:pStyle w:val="Tabletext"/>
              <w:jc w:val="center"/>
              <w:rPr>
                <w:lang w:val="nl-NL" w:eastAsia="nl-NL"/>
              </w:rPr>
            </w:pPr>
            <w:r w:rsidRPr="00450BD5">
              <w:rPr>
                <w:lang w:val="nl-NL" w:eastAsia="nl-NL"/>
              </w:rPr>
              <w:t>1.04</w:t>
            </w:r>
          </w:p>
        </w:tc>
      </w:tr>
      <w:tr w:rsidR="00D275ED" w:rsidRPr="00450BD5" w14:paraId="5DAF9769" w14:textId="77777777" w:rsidTr="00856A06">
        <w:trPr>
          <w:trHeight w:val="288"/>
        </w:trPr>
        <w:tc>
          <w:tcPr>
            <w:tcW w:w="800" w:type="pct"/>
            <w:noWrap/>
            <w:hideMark/>
          </w:tcPr>
          <w:p w14:paraId="74D0C45C" w14:textId="77777777" w:rsidR="00D275ED" w:rsidRPr="00450BD5" w:rsidRDefault="00D275ED" w:rsidP="00856A06">
            <w:pPr>
              <w:pStyle w:val="Tabletext"/>
              <w:rPr>
                <w:i/>
                <w:iCs/>
                <w:lang w:val="nl-NL" w:eastAsia="nl-NL"/>
              </w:rPr>
            </w:pPr>
            <w:r>
              <w:rPr>
                <w:i/>
                <w:iCs/>
                <w:lang w:val="nl-NL" w:eastAsia="nl-NL"/>
              </w:rPr>
              <w:t>Best estimate</w:t>
            </w:r>
          </w:p>
        </w:tc>
        <w:tc>
          <w:tcPr>
            <w:tcW w:w="478" w:type="pct"/>
            <w:noWrap/>
            <w:hideMark/>
          </w:tcPr>
          <w:p w14:paraId="0809F888" w14:textId="77777777" w:rsidR="00D275ED" w:rsidRPr="00450BD5" w:rsidRDefault="00D275ED" w:rsidP="00856A06">
            <w:pPr>
              <w:pStyle w:val="Tabletext"/>
              <w:jc w:val="center"/>
              <w:rPr>
                <w:i/>
                <w:iCs/>
                <w:lang w:val="nl-NL" w:eastAsia="nl-NL"/>
              </w:rPr>
            </w:pPr>
            <w:r w:rsidRPr="00450BD5">
              <w:rPr>
                <w:i/>
                <w:iCs/>
                <w:lang w:val="nl-NL" w:eastAsia="nl-NL"/>
              </w:rPr>
              <w:t>0.33</w:t>
            </w:r>
          </w:p>
        </w:tc>
        <w:tc>
          <w:tcPr>
            <w:tcW w:w="478" w:type="pct"/>
            <w:noWrap/>
            <w:hideMark/>
          </w:tcPr>
          <w:p w14:paraId="01903DAC" w14:textId="77777777" w:rsidR="00D275ED" w:rsidRPr="00450BD5" w:rsidRDefault="00D275ED" w:rsidP="00856A06">
            <w:pPr>
              <w:pStyle w:val="Tabletext"/>
              <w:jc w:val="center"/>
              <w:rPr>
                <w:i/>
                <w:iCs/>
                <w:lang w:val="nl-NL" w:eastAsia="nl-NL"/>
              </w:rPr>
            </w:pPr>
            <w:r w:rsidRPr="00450BD5">
              <w:rPr>
                <w:i/>
                <w:iCs/>
                <w:lang w:val="nl-NL" w:eastAsia="nl-NL"/>
              </w:rPr>
              <w:t>0.11</w:t>
            </w:r>
          </w:p>
        </w:tc>
        <w:tc>
          <w:tcPr>
            <w:tcW w:w="478" w:type="pct"/>
            <w:noWrap/>
            <w:hideMark/>
          </w:tcPr>
          <w:p w14:paraId="159A8ECF" w14:textId="77777777" w:rsidR="00D275ED" w:rsidRPr="00450BD5" w:rsidRDefault="00D275ED" w:rsidP="00856A06">
            <w:pPr>
              <w:pStyle w:val="Tabletext"/>
              <w:jc w:val="center"/>
              <w:rPr>
                <w:i/>
                <w:iCs/>
                <w:lang w:val="nl-NL" w:eastAsia="nl-NL"/>
              </w:rPr>
            </w:pPr>
            <w:r w:rsidRPr="00450BD5">
              <w:rPr>
                <w:i/>
                <w:iCs/>
                <w:lang w:val="nl-NL" w:eastAsia="nl-NL"/>
              </w:rPr>
              <w:t>0.06</w:t>
            </w:r>
          </w:p>
        </w:tc>
        <w:tc>
          <w:tcPr>
            <w:tcW w:w="478" w:type="pct"/>
            <w:noWrap/>
            <w:hideMark/>
          </w:tcPr>
          <w:p w14:paraId="65654BD4" w14:textId="77777777" w:rsidR="00D275ED" w:rsidRPr="00450BD5" w:rsidRDefault="00D275ED" w:rsidP="00856A06">
            <w:pPr>
              <w:pStyle w:val="Tabletext"/>
              <w:jc w:val="center"/>
              <w:rPr>
                <w:i/>
                <w:iCs/>
                <w:lang w:val="nl-NL" w:eastAsia="nl-NL"/>
              </w:rPr>
            </w:pPr>
            <w:r w:rsidRPr="00450BD5">
              <w:rPr>
                <w:i/>
                <w:iCs/>
                <w:lang w:val="nl-NL" w:eastAsia="nl-NL"/>
              </w:rPr>
              <w:t>0.04</w:t>
            </w:r>
          </w:p>
        </w:tc>
        <w:tc>
          <w:tcPr>
            <w:tcW w:w="478" w:type="pct"/>
            <w:noWrap/>
            <w:hideMark/>
          </w:tcPr>
          <w:p w14:paraId="7A1AE4EF" w14:textId="77777777" w:rsidR="00D275ED" w:rsidRPr="00450BD5" w:rsidRDefault="00D275ED" w:rsidP="00856A06">
            <w:pPr>
              <w:pStyle w:val="Tabletext"/>
              <w:jc w:val="center"/>
              <w:rPr>
                <w:i/>
                <w:iCs/>
                <w:lang w:val="nl-NL" w:eastAsia="nl-NL"/>
              </w:rPr>
            </w:pPr>
            <w:r w:rsidRPr="00450BD5">
              <w:rPr>
                <w:i/>
                <w:iCs/>
                <w:lang w:val="nl-NL" w:eastAsia="nl-NL"/>
              </w:rPr>
              <w:t>0.08</w:t>
            </w:r>
          </w:p>
        </w:tc>
        <w:tc>
          <w:tcPr>
            <w:tcW w:w="478" w:type="pct"/>
            <w:noWrap/>
            <w:hideMark/>
          </w:tcPr>
          <w:p w14:paraId="74CD8FF8" w14:textId="77777777" w:rsidR="00D275ED" w:rsidRPr="00450BD5" w:rsidRDefault="00D275ED" w:rsidP="00856A06">
            <w:pPr>
              <w:pStyle w:val="Tabletext"/>
              <w:jc w:val="center"/>
              <w:rPr>
                <w:i/>
                <w:iCs/>
                <w:lang w:val="nl-NL" w:eastAsia="nl-NL"/>
              </w:rPr>
            </w:pPr>
            <w:r w:rsidRPr="00450BD5">
              <w:rPr>
                <w:i/>
                <w:iCs/>
                <w:lang w:val="nl-NL" w:eastAsia="nl-NL"/>
              </w:rPr>
              <w:t>0.06</w:t>
            </w:r>
          </w:p>
        </w:tc>
        <w:tc>
          <w:tcPr>
            <w:tcW w:w="667" w:type="pct"/>
            <w:noWrap/>
            <w:hideMark/>
          </w:tcPr>
          <w:p w14:paraId="0D1913B5" w14:textId="77777777" w:rsidR="00D275ED" w:rsidRPr="00450BD5" w:rsidRDefault="00D275ED" w:rsidP="00856A06">
            <w:pPr>
              <w:pStyle w:val="Tabletext"/>
              <w:jc w:val="center"/>
              <w:rPr>
                <w:i/>
                <w:iCs/>
                <w:lang w:val="nl-NL" w:eastAsia="nl-NL"/>
              </w:rPr>
            </w:pPr>
            <w:r w:rsidRPr="00450BD5">
              <w:rPr>
                <w:i/>
                <w:iCs/>
                <w:lang w:val="nl-NL" w:eastAsia="nl-NL"/>
              </w:rPr>
              <w:t>0.69</w:t>
            </w:r>
            <w:r>
              <w:rPr>
                <w:i/>
                <w:iCs/>
                <w:lang w:val="nl-NL" w:eastAsia="nl-NL"/>
              </w:rPr>
              <w:t>*</w:t>
            </w:r>
          </w:p>
        </w:tc>
        <w:tc>
          <w:tcPr>
            <w:tcW w:w="667" w:type="pct"/>
            <w:noWrap/>
            <w:hideMark/>
          </w:tcPr>
          <w:p w14:paraId="1615CEEA" w14:textId="77777777" w:rsidR="00D275ED" w:rsidRPr="00450BD5" w:rsidRDefault="00D275ED" w:rsidP="00856A06">
            <w:pPr>
              <w:pStyle w:val="Tabletext"/>
              <w:jc w:val="center"/>
              <w:rPr>
                <w:i/>
                <w:iCs/>
                <w:lang w:val="nl-NL" w:eastAsia="nl-NL"/>
              </w:rPr>
            </w:pPr>
          </w:p>
        </w:tc>
      </w:tr>
      <w:tr w:rsidR="00D275ED" w:rsidRPr="00450BD5" w14:paraId="271940AA" w14:textId="77777777" w:rsidTr="00856A06">
        <w:trPr>
          <w:trHeight w:val="288"/>
        </w:trPr>
        <w:tc>
          <w:tcPr>
            <w:tcW w:w="800" w:type="pct"/>
            <w:noWrap/>
            <w:hideMark/>
          </w:tcPr>
          <w:p w14:paraId="34507E06" w14:textId="77777777" w:rsidR="00D275ED" w:rsidRPr="00450BD5" w:rsidRDefault="00D275ED" w:rsidP="00856A06">
            <w:pPr>
              <w:pStyle w:val="Tabletext"/>
              <w:rPr>
                <w:lang w:val="nl-NL" w:eastAsia="nl-NL"/>
              </w:rPr>
            </w:pPr>
            <w:r w:rsidRPr="00450BD5">
              <w:rPr>
                <w:lang w:val="nl-NL" w:eastAsia="nl-NL"/>
              </w:rPr>
              <w:t> </w:t>
            </w:r>
          </w:p>
        </w:tc>
        <w:tc>
          <w:tcPr>
            <w:tcW w:w="478" w:type="pct"/>
            <w:noWrap/>
            <w:hideMark/>
          </w:tcPr>
          <w:p w14:paraId="0EFF6EB8" w14:textId="77777777" w:rsidR="00D275ED" w:rsidRPr="00450BD5" w:rsidRDefault="00D275ED" w:rsidP="00856A06">
            <w:pPr>
              <w:pStyle w:val="Tabletext"/>
              <w:jc w:val="center"/>
              <w:rPr>
                <w:lang w:val="nl-NL" w:eastAsia="nl-NL"/>
              </w:rPr>
            </w:pPr>
          </w:p>
        </w:tc>
        <w:tc>
          <w:tcPr>
            <w:tcW w:w="478" w:type="pct"/>
            <w:noWrap/>
            <w:hideMark/>
          </w:tcPr>
          <w:p w14:paraId="784747B5" w14:textId="77777777" w:rsidR="00D275ED" w:rsidRPr="00450BD5" w:rsidRDefault="00D275ED" w:rsidP="00856A06">
            <w:pPr>
              <w:pStyle w:val="Tabletext"/>
              <w:jc w:val="center"/>
              <w:rPr>
                <w:lang w:val="nl-NL" w:eastAsia="nl-NL"/>
              </w:rPr>
            </w:pPr>
          </w:p>
        </w:tc>
        <w:tc>
          <w:tcPr>
            <w:tcW w:w="478" w:type="pct"/>
            <w:noWrap/>
            <w:hideMark/>
          </w:tcPr>
          <w:p w14:paraId="6196D3CD" w14:textId="77777777" w:rsidR="00D275ED" w:rsidRPr="00450BD5" w:rsidRDefault="00D275ED" w:rsidP="00856A06">
            <w:pPr>
              <w:pStyle w:val="Tabletext"/>
              <w:jc w:val="center"/>
              <w:rPr>
                <w:lang w:val="nl-NL" w:eastAsia="nl-NL"/>
              </w:rPr>
            </w:pPr>
          </w:p>
        </w:tc>
        <w:tc>
          <w:tcPr>
            <w:tcW w:w="478" w:type="pct"/>
            <w:noWrap/>
            <w:hideMark/>
          </w:tcPr>
          <w:p w14:paraId="724852C9" w14:textId="77777777" w:rsidR="00D275ED" w:rsidRPr="00450BD5" w:rsidRDefault="00D275ED" w:rsidP="00856A06">
            <w:pPr>
              <w:pStyle w:val="Tabletext"/>
              <w:jc w:val="center"/>
              <w:rPr>
                <w:lang w:val="nl-NL" w:eastAsia="nl-NL"/>
              </w:rPr>
            </w:pPr>
          </w:p>
        </w:tc>
        <w:tc>
          <w:tcPr>
            <w:tcW w:w="478" w:type="pct"/>
            <w:noWrap/>
            <w:hideMark/>
          </w:tcPr>
          <w:p w14:paraId="5B9CD7C3" w14:textId="77777777" w:rsidR="00D275ED" w:rsidRPr="00450BD5" w:rsidRDefault="00D275ED" w:rsidP="00856A06">
            <w:pPr>
              <w:pStyle w:val="Tabletext"/>
              <w:jc w:val="center"/>
              <w:rPr>
                <w:lang w:val="nl-NL" w:eastAsia="nl-NL"/>
              </w:rPr>
            </w:pPr>
          </w:p>
        </w:tc>
        <w:tc>
          <w:tcPr>
            <w:tcW w:w="478" w:type="pct"/>
            <w:noWrap/>
            <w:hideMark/>
          </w:tcPr>
          <w:p w14:paraId="2B0E3FAA" w14:textId="77777777" w:rsidR="00D275ED" w:rsidRPr="00450BD5" w:rsidRDefault="00D275ED" w:rsidP="00856A06">
            <w:pPr>
              <w:pStyle w:val="Tabletext"/>
              <w:jc w:val="center"/>
              <w:rPr>
                <w:lang w:val="nl-NL" w:eastAsia="nl-NL"/>
              </w:rPr>
            </w:pPr>
          </w:p>
        </w:tc>
        <w:tc>
          <w:tcPr>
            <w:tcW w:w="667" w:type="pct"/>
            <w:noWrap/>
            <w:hideMark/>
          </w:tcPr>
          <w:p w14:paraId="5CAD1ED8" w14:textId="77777777" w:rsidR="00D275ED" w:rsidRPr="00450BD5" w:rsidRDefault="00D275ED" w:rsidP="00856A06">
            <w:pPr>
              <w:pStyle w:val="Tabletext"/>
              <w:jc w:val="center"/>
              <w:rPr>
                <w:lang w:val="nl-NL" w:eastAsia="nl-NL"/>
              </w:rPr>
            </w:pPr>
          </w:p>
        </w:tc>
        <w:tc>
          <w:tcPr>
            <w:tcW w:w="667" w:type="pct"/>
            <w:noWrap/>
            <w:hideMark/>
          </w:tcPr>
          <w:p w14:paraId="7885263F" w14:textId="77777777" w:rsidR="00D275ED" w:rsidRPr="00450BD5" w:rsidRDefault="00D275ED" w:rsidP="00856A06">
            <w:pPr>
              <w:pStyle w:val="Tabletext"/>
              <w:jc w:val="center"/>
              <w:rPr>
                <w:lang w:val="nl-NL" w:eastAsia="nl-NL"/>
              </w:rPr>
            </w:pPr>
          </w:p>
        </w:tc>
      </w:tr>
      <w:tr w:rsidR="00D275ED" w:rsidRPr="00450BD5" w14:paraId="7ABF4D65" w14:textId="77777777" w:rsidTr="00856A06">
        <w:trPr>
          <w:trHeight w:val="288"/>
        </w:trPr>
        <w:tc>
          <w:tcPr>
            <w:tcW w:w="800" w:type="pct"/>
            <w:noWrap/>
            <w:hideMark/>
          </w:tcPr>
          <w:p w14:paraId="0ED28451" w14:textId="77777777" w:rsidR="00D275ED" w:rsidRPr="00403C24" w:rsidRDefault="00D275ED" w:rsidP="00856A06">
            <w:pPr>
              <w:pStyle w:val="Tabletext"/>
              <w:jc w:val="right"/>
              <w:rPr>
                <w:i/>
                <w:iCs/>
                <w:lang w:val="nl-NL" w:eastAsia="nl-NL"/>
              </w:rPr>
            </w:pPr>
            <w:r w:rsidRPr="00403C24">
              <w:rPr>
                <w:i/>
                <w:iCs/>
                <w:lang w:val="nl-NL" w:eastAsia="nl-NL"/>
              </w:rPr>
              <w:t xml:space="preserve">Wastewater </w:t>
            </w:r>
          </w:p>
        </w:tc>
        <w:tc>
          <w:tcPr>
            <w:tcW w:w="478" w:type="pct"/>
            <w:noWrap/>
            <w:hideMark/>
          </w:tcPr>
          <w:p w14:paraId="3D2AC0A3" w14:textId="77777777" w:rsidR="00D275ED" w:rsidRPr="00450BD5" w:rsidRDefault="00D275ED" w:rsidP="00856A06">
            <w:pPr>
              <w:pStyle w:val="Tabletext"/>
              <w:jc w:val="center"/>
              <w:rPr>
                <w:lang w:val="nl-NL" w:eastAsia="nl-NL"/>
              </w:rPr>
            </w:pPr>
          </w:p>
        </w:tc>
        <w:tc>
          <w:tcPr>
            <w:tcW w:w="478" w:type="pct"/>
            <w:noWrap/>
            <w:hideMark/>
          </w:tcPr>
          <w:p w14:paraId="2C2D034F" w14:textId="77777777" w:rsidR="00D275ED" w:rsidRPr="00450BD5" w:rsidRDefault="00D275ED" w:rsidP="00856A06">
            <w:pPr>
              <w:pStyle w:val="Tabletext"/>
              <w:jc w:val="center"/>
              <w:rPr>
                <w:lang w:val="nl-NL" w:eastAsia="nl-NL"/>
              </w:rPr>
            </w:pPr>
          </w:p>
        </w:tc>
        <w:tc>
          <w:tcPr>
            <w:tcW w:w="478" w:type="pct"/>
            <w:noWrap/>
            <w:hideMark/>
          </w:tcPr>
          <w:p w14:paraId="55E4BC39" w14:textId="77777777" w:rsidR="00D275ED" w:rsidRPr="00450BD5" w:rsidRDefault="00D275ED" w:rsidP="00856A06">
            <w:pPr>
              <w:pStyle w:val="Tabletext"/>
              <w:jc w:val="center"/>
              <w:rPr>
                <w:lang w:val="nl-NL" w:eastAsia="nl-NL"/>
              </w:rPr>
            </w:pPr>
          </w:p>
        </w:tc>
        <w:tc>
          <w:tcPr>
            <w:tcW w:w="478" w:type="pct"/>
            <w:noWrap/>
            <w:hideMark/>
          </w:tcPr>
          <w:p w14:paraId="4315BE55" w14:textId="77777777" w:rsidR="00D275ED" w:rsidRPr="00450BD5" w:rsidRDefault="00D275ED" w:rsidP="00856A06">
            <w:pPr>
              <w:pStyle w:val="Tabletext"/>
              <w:jc w:val="center"/>
              <w:rPr>
                <w:lang w:val="nl-NL" w:eastAsia="nl-NL"/>
              </w:rPr>
            </w:pPr>
          </w:p>
        </w:tc>
        <w:tc>
          <w:tcPr>
            <w:tcW w:w="478" w:type="pct"/>
            <w:noWrap/>
            <w:hideMark/>
          </w:tcPr>
          <w:p w14:paraId="3433A4BC" w14:textId="77777777" w:rsidR="00D275ED" w:rsidRPr="00450BD5" w:rsidRDefault="00D275ED" w:rsidP="00856A06">
            <w:pPr>
              <w:pStyle w:val="Tabletext"/>
              <w:jc w:val="center"/>
              <w:rPr>
                <w:lang w:val="nl-NL" w:eastAsia="nl-NL"/>
              </w:rPr>
            </w:pPr>
          </w:p>
        </w:tc>
        <w:tc>
          <w:tcPr>
            <w:tcW w:w="478" w:type="pct"/>
            <w:noWrap/>
            <w:hideMark/>
          </w:tcPr>
          <w:p w14:paraId="3C43A2AE" w14:textId="77777777" w:rsidR="00D275ED" w:rsidRPr="00450BD5" w:rsidRDefault="00D275ED" w:rsidP="00856A06">
            <w:pPr>
              <w:pStyle w:val="Tabletext"/>
              <w:jc w:val="center"/>
              <w:rPr>
                <w:lang w:val="nl-NL" w:eastAsia="nl-NL"/>
              </w:rPr>
            </w:pPr>
          </w:p>
        </w:tc>
        <w:tc>
          <w:tcPr>
            <w:tcW w:w="667" w:type="pct"/>
            <w:noWrap/>
            <w:hideMark/>
          </w:tcPr>
          <w:p w14:paraId="09C4B3A6" w14:textId="77777777" w:rsidR="00D275ED" w:rsidRPr="00450BD5" w:rsidRDefault="00D275ED" w:rsidP="00856A06">
            <w:pPr>
              <w:pStyle w:val="Tabletext"/>
              <w:jc w:val="center"/>
              <w:rPr>
                <w:lang w:val="nl-NL" w:eastAsia="nl-NL"/>
              </w:rPr>
            </w:pPr>
          </w:p>
        </w:tc>
        <w:tc>
          <w:tcPr>
            <w:tcW w:w="667" w:type="pct"/>
            <w:noWrap/>
            <w:hideMark/>
          </w:tcPr>
          <w:p w14:paraId="5A2C90E3" w14:textId="77777777" w:rsidR="00D275ED" w:rsidRPr="00450BD5" w:rsidRDefault="00D275ED" w:rsidP="00856A06">
            <w:pPr>
              <w:pStyle w:val="Tabletext"/>
              <w:jc w:val="center"/>
              <w:rPr>
                <w:lang w:val="nl-NL" w:eastAsia="nl-NL"/>
              </w:rPr>
            </w:pPr>
          </w:p>
        </w:tc>
      </w:tr>
      <w:tr w:rsidR="00D275ED" w:rsidRPr="00450BD5" w14:paraId="12EB8254" w14:textId="77777777" w:rsidTr="00856A06">
        <w:trPr>
          <w:trHeight w:val="288"/>
        </w:trPr>
        <w:tc>
          <w:tcPr>
            <w:tcW w:w="800" w:type="pct"/>
            <w:noWrap/>
            <w:hideMark/>
          </w:tcPr>
          <w:p w14:paraId="18092257" w14:textId="77777777" w:rsidR="00D275ED" w:rsidRPr="00450BD5" w:rsidRDefault="00D275ED" w:rsidP="00856A06">
            <w:pPr>
              <w:pStyle w:val="Tabletext"/>
              <w:rPr>
                <w:lang w:val="nl-NL" w:eastAsia="nl-NL"/>
              </w:rPr>
            </w:pPr>
            <w:r w:rsidRPr="00450BD5">
              <w:rPr>
                <w:lang w:val="nl-NL" w:eastAsia="nl-NL"/>
              </w:rPr>
              <w:t>IIASA</w:t>
            </w:r>
          </w:p>
        </w:tc>
        <w:tc>
          <w:tcPr>
            <w:tcW w:w="478" w:type="pct"/>
            <w:noWrap/>
            <w:hideMark/>
          </w:tcPr>
          <w:p w14:paraId="317726D1" w14:textId="77777777" w:rsidR="00D275ED" w:rsidRPr="00450BD5" w:rsidRDefault="00D275ED" w:rsidP="00856A06">
            <w:pPr>
              <w:pStyle w:val="Tabletext"/>
              <w:jc w:val="center"/>
              <w:rPr>
                <w:lang w:val="nl-NL" w:eastAsia="nl-NL"/>
              </w:rPr>
            </w:pPr>
            <w:r w:rsidRPr="00450BD5">
              <w:rPr>
                <w:lang w:val="nl-NL" w:eastAsia="nl-NL"/>
              </w:rPr>
              <w:t>0.05</w:t>
            </w:r>
          </w:p>
        </w:tc>
        <w:tc>
          <w:tcPr>
            <w:tcW w:w="478" w:type="pct"/>
            <w:noWrap/>
            <w:hideMark/>
          </w:tcPr>
          <w:p w14:paraId="4318F724" w14:textId="77777777" w:rsidR="00D275ED" w:rsidRPr="00450BD5" w:rsidRDefault="00D275ED" w:rsidP="00856A06">
            <w:pPr>
              <w:pStyle w:val="Tabletext"/>
              <w:jc w:val="center"/>
              <w:rPr>
                <w:lang w:val="nl-NL" w:eastAsia="nl-NL"/>
              </w:rPr>
            </w:pPr>
            <w:r w:rsidRPr="00450BD5">
              <w:rPr>
                <w:lang w:val="nl-NL" w:eastAsia="nl-NL"/>
              </w:rPr>
              <w:t>0.05</w:t>
            </w:r>
          </w:p>
        </w:tc>
        <w:tc>
          <w:tcPr>
            <w:tcW w:w="478" w:type="pct"/>
            <w:noWrap/>
            <w:hideMark/>
          </w:tcPr>
          <w:p w14:paraId="2FCE0A67" w14:textId="77777777" w:rsidR="00D275ED" w:rsidRPr="00450BD5" w:rsidRDefault="00D275ED" w:rsidP="00856A06">
            <w:pPr>
              <w:pStyle w:val="Tabletext"/>
              <w:jc w:val="center"/>
              <w:rPr>
                <w:lang w:val="nl-NL" w:eastAsia="nl-NL"/>
              </w:rPr>
            </w:pPr>
            <w:r w:rsidRPr="00450BD5">
              <w:rPr>
                <w:lang w:val="nl-NL" w:eastAsia="nl-NL"/>
              </w:rPr>
              <w:t>0.07</w:t>
            </w:r>
          </w:p>
        </w:tc>
        <w:tc>
          <w:tcPr>
            <w:tcW w:w="478" w:type="pct"/>
            <w:noWrap/>
            <w:hideMark/>
          </w:tcPr>
          <w:p w14:paraId="0E71E198" w14:textId="77777777" w:rsidR="00D275ED" w:rsidRPr="00450BD5" w:rsidRDefault="00D275ED" w:rsidP="00856A06">
            <w:pPr>
              <w:pStyle w:val="Tabletext"/>
              <w:jc w:val="center"/>
              <w:rPr>
                <w:lang w:val="nl-NL" w:eastAsia="nl-NL"/>
              </w:rPr>
            </w:pPr>
            <w:r w:rsidRPr="00450BD5">
              <w:rPr>
                <w:lang w:val="nl-NL" w:eastAsia="nl-NL"/>
              </w:rPr>
              <w:t>0.04</w:t>
            </w:r>
          </w:p>
        </w:tc>
        <w:tc>
          <w:tcPr>
            <w:tcW w:w="478" w:type="pct"/>
            <w:noWrap/>
            <w:hideMark/>
          </w:tcPr>
          <w:p w14:paraId="41E84555" w14:textId="77777777" w:rsidR="00D275ED" w:rsidRPr="00450BD5" w:rsidRDefault="00D275ED" w:rsidP="00856A06">
            <w:pPr>
              <w:pStyle w:val="Tabletext"/>
              <w:jc w:val="center"/>
              <w:rPr>
                <w:lang w:val="nl-NL" w:eastAsia="nl-NL"/>
              </w:rPr>
            </w:pPr>
            <w:r w:rsidRPr="00450BD5">
              <w:rPr>
                <w:lang w:val="nl-NL" w:eastAsia="nl-NL"/>
              </w:rPr>
              <w:t>0.01</w:t>
            </w:r>
          </w:p>
        </w:tc>
        <w:tc>
          <w:tcPr>
            <w:tcW w:w="478" w:type="pct"/>
            <w:noWrap/>
            <w:hideMark/>
          </w:tcPr>
          <w:p w14:paraId="06B8A1CD"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7423F9BB" w14:textId="77777777" w:rsidR="00D275ED" w:rsidRPr="00450BD5" w:rsidRDefault="00D275ED" w:rsidP="00856A06">
            <w:pPr>
              <w:pStyle w:val="Tabletext"/>
              <w:jc w:val="center"/>
              <w:rPr>
                <w:lang w:val="nl-NL" w:eastAsia="nl-NL"/>
              </w:rPr>
            </w:pPr>
            <w:r w:rsidRPr="00450BD5">
              <w:rPr>
                <w:lang w:val="nl-NL" w:eastAsia="nl-NL"/>
              </w:rPr>
              <w:t>0.21</w:t>
            </w:r>
          </w:p>
        </w:tc>
        <w:tc>
          <w:tcPr>
            <w:tcW w:w="667" w:type="pct"/>
            <w:noWrap/>
            <w:hideMark/>
          </w:tcPr>
          <w:p w14:paraId="233066FB" w14:textId="77777777" w:rsidR="00D275ED" w:rsidRPr="00450BD5" w:rsidRDefault="00D275ED" w:rsidP="00856A06">
            <w:pPr>
              <w:pStyle w:val="Tabletext"/>
              <w:jc w:val="center"/>
              <w:rPr>
                <w:lang w:val="nl-NL" w:eastAsia="nl-NL"/>
              </w:rPr>
            </w:pPr>
            <w:r w:rsidRPr="00450BD5">
              <w:rPr>
                <w:lang w:val="nl-NL" w:eastAsia="nl-NL"/>
              </w:rPr>
              <w:t>0.61</w:t>
            </w:r>
          </w:p>
        </w:tc>
      </w:tr>
      <w:tr w:rsidR="00D275ED" w:rsidRPr="00450BD5" w14:paraId="36FD7528" w14:textId="77777777" w:rsidTr="00856A06">
        <w:trPr>
          <w:trHeight w:val="288"/>
        </w:trPr>
        <w:tc>
          <w:tcPr>
            <w:tcW w:w="800" w:type="pct"/>
            <w:noWrap/>
            <w:hideMark/>
          </w:tcPr>
          <w:p w14:paraId="6FF38D81" w14:textId="77777777" w:rsidR="00D275ED" w:rsidRPr="00450BD5" w:rsidRDefault="00D275ED" w:rsidP="00856A06">
            <w:pPr>
              <w:pStyle w:val="Tabletext"/>
              <w:rPr>
                <w:lang w:val="nl-NL" w:eastAsia="nl-NL"/>
              </w:rPr>
            </w:pPr>
            <w:r w:rsidRPr="00450BD5">
              <w:rPr>
                <w:lang w:val="nl-NL" w:eastAsia="nl-NL"/>
              </w:rPr>
              <w:t>EPA</w:t>
            </w:r>
          </w:p>
        </w:tc>
        <w:tc>
          <w:tcPr>
            <w:tcW w:w="478" w:type="pct"/>
            <w:noWrap/>
            <w:hideMark/>
          </w:tcPr>
          <w:p w14:paraId="6D888885" w14:textId="77777777" w:rsidR="00D275ED" w:rsidRPr="00450BD5" w:rsidRDefault="00D275ED" w:rsidP="00856A06">
            <w:pPr>
              <w:pStyle w:val="Tabletext"/>
              <w:jc w:val="center"/>
              <w:rPr>
                <w:lang w:val="nl-NL" w:eastAsia="nl-NL"/>
              </w:rPr>
            </w:pPr>
            <w:r w:rsidRPr="00450BD5">
              <w:rPr>
                <w:lang w:val="nl-NL" w:eastAsia="nl-NL"/>
              </w:rPr>
              <w:t>0.00</w:t>
            </w:r>
          </w:p>
        </w:tc>
        <w:tc>
          <w:tcPr>
            <w:tcW w:w="478" w:type="pct"/>
            <w:noWrap/>
            <w:hideMark/>
          </w:tcPr>
          <w:p w14:paraId="29EA3D7F" w14:textId="77777777" w:rsidR="00D275ED" w:rsidRPr="00450BD5" w:rsidRDefault="00D275ED" w:rsidP="00856A06">
            <w:pPr>
              <w:pStyle w:val="Tabletext"/>
              <w:jc w:val="center"/>
              <w:rPr>
                <w:lang w:val="nl-NL" w:eastAsia="nl-NL"/>
              </w:rPr>
            </w:pPr>
            <w:r w:rsidRPr="00450BD5">
              <w:rPr>
                <w:lang w:val="nl-NL" w:eastAsia="nl-NL"/>
              </w:rPr>
              <w:t>0.04</w:t>
            </w:r>
          </w:p>
        </w:tc>
        <w:tc>
          <w:tcPr>
            <w:tcW w:w="478" w:type="pct"/>
            <w:noWrap/>
            <w:hideMark/>
          </w:tcPr>
          <w:p w14:paraId="1A45E943" w14:textId="77777777" w:rsidR="00D275ED" w:rsidRPr="00450BD5" w:rsidRDefault="00D275ED" w:rsidP="00856A06">
            <w:pPr>
              <w:pStyle w:val="Tabletext"/>
              <w:jc w:val="center"/>
              <w:rPr>
                <w:lang w:val="nl-NL" w:eastAsia="nl-NL"/>
              </w:rPr>
            </w:pPr>
            <w:r w:rsidRPr="00450BD5">
              <w:rPr>
                <w:lang w:val="nl-NL" w:eastAsia="nl-NL"/>
              </w:rPr>
              <w:t>0.03</w:t>
            </w:r>
          </w:p>
        </w:tc>
        <w:tc>
          <w:tcPr>
            <w:tcW w:w="478" w:type="pct"/>
            <w:noWrap/>
            <w:hideMark/>
          </w:tcPr>
          <w:p w14:paraId="071264B1" w14:textId="77777777" w:rsidR="00D275ED" w:rsidRPr="00450BD5" w:rsidRDefault="00D275ED" w:rsidP="00856A06">
            <w:pPr>
              <w:pStyle w:val="Tabletext"/>
              <w:jc w:val="center"/>
              <w:rPr>
                <w:lang w:val="nl-NL" w:eastAsia="nl-NL"/>
              </w:rPr>
            </w:pPr>
            <w:r w:rsidRPr="00450BD5">
              <w:rPr>
                <w:lang w:val="nl-NL" w:eastAsia="nl-NL"/>
              </w:rPr>
              <w:t>0.03</w:t>
            </w:r>
          </w:p>
        </w:tc>
        <w:tc>
          <w:tcPr>
            <w:tcW w:w="478" w:type="pct"/>
            <w:noWrap/>
            <w:hideMark/>
          </w:tcPr>
          <w:p w14:paraId="67AD9A5D" w14:textId="77777777" w:rsidR="00D275ED" w:rsidRPr="00450BD5" w:rsidRDefault="00D275ED" w:rsidP="00856A06">
            <w:pPr>
              <w:pStyle w:val="Tabletext"/>
              <w:jc w:val="center"/>
              <w:rPr>
                <w:lang w:val="nl-NL" w:eastAsia="nl-NL"/>
              </w:rPr>
            </w:pPr>
            <w:r w:rsidRPr="00450BD5">
              <w:rPr>
                <w:lang w:val="nl-NL" w:eastAsia="nl-NL"/>
              </w:rPr>
              <w:t>0.16</w:t>
            </w:r>
          </w:p>
        </w:tc>
        <w:tc>
          <w:tcPr>
            <w:tcW w:w="478" w:type="pct"/>
            <w:noWrap/>
            <w:hideMark/>
          </w:tcPr>
          <w:p w14:paraId="0A07C73E" w14:textId="77777777" w:rsidR="00D275ED" w:rsidRPr="00450BD5" w:rsidRDefault="00D275ED" w:rsidP="00856A06">
            <w:pPr>
              <w:pStyle w:val="Tabletext"/>
              <w:jc w:val="center"/>
              <w:rPr>
                <w:lang w:val="nl-NL" w:eastAsia="nl-NL"/>
              </w:rPr>
            </w:pPr>
            <w:r w:rsidRPr="00450BD5">
              <w:rPr>
                <w:lang w:val="nl-NL" w:eastAsia="nl-NL"/>
              </w:rPr>
              <w:t>0.00</w:t>
            </w:r>
          </w:p>
        </w:tc>
        <w:tc>
          <w:tcPr>
            <w:tcW w:w="667" w:type="pct"/>
            <w:noWrap/>
            <w:hideMark/>
          </w:tcPr>
          <w:p w14:paraId="677346C0" w14:textId="77777777" w:rsidR="00D275ED" w:rsidRPr="00450BD5" w:rsidRDefault="00D275ED" w:rsidP="00856A06">
            <w:pPr>
              <w:pStyle w:val="Tabletext"/>
              <w:jc w:val="center"/>
              <w:rPr>
                <w:lang w:val="nl-NL" w:eastAsia="nl-NL"/>
              </w:rPr>
            </w:pPr>
            <w:r w:rsidRPr="00450BD5">
              <w:rPr>
                <w:lang w:val="nl-NL" w:eastAsia="nl-NL"/>
              </w:rPr>
              <w:t>0.27</w:t>
            </w:r>
          </w:p>
        </w:tc>
        <w:tc>
          <w:tcPr>
            <w:tcW w:w="667" w:type="pct"/>
            <w:noWrap/>
            <w:hideMark/>
          </w:tcPr>
          <w:p w14:paraId="4C6E1A8D" w14:textId="77777777" w:rsidR="00D275ED" w:rsidRPr="00450BD5" w:rsidRDefault="00D275ED" w:rsidP="00856A06">
            <w:pPr>
              <w:pStyle w:val="Tabletext"/>
              <w:jc w:val="center"/>
              <w:rPr>
                <w:lang w:val="nl-NL" w:eastAsia="nl-NL"/>
              </w:rPr>
            </w:pPr>
            <w:r w:rsidRPr="00450BD5">
              <w:rPr>
                <w:lang w:val="nl-NL" w:eastAsia="nl-NL"/>
              </w:rPr>
              <w:t>0.68</w:t>
            </w:r>
          </w:p>
        </w:tc>
      </w:tr>
      <w:tr w:rsidR="00D275ED" w:rsidRPr="00450BD5" w14:paraId="034BDD58" w14:textId="77777777" w:rsidTr="00856A06">
        <w:trPr>
          <w:trHeight w:val="288"/>
        </w:trPr>
        <w:tc>
          <w:tcPr>
            <w:tcW w:w="800" w:type="pct"/>
            <w:noWrap/>
            <w:hideMark/>
          </w:tcPr>
          <w:p w14:paraId="34844285" w14:textId="77777777" w:rsidR="00D275ED" w:rsidRPr="00450BD5" w:rsidRDefault="00D275ED" w:rsidP="00856A06">
            <w:pPr>
              <w:pStyle w:val="Tabletext"/>
              <w:rPr>
                <w:lang w:val="nl-NL" w:eastAsia="nl-NL"/>
              </w:rPr>
            </w:pPr>
            <w:r w:rsidRPr="00450BD5">
              <w:rPr>
                <w:lang w:val="nl-NL" w:eastAsia="nl-NL"/>
              </w:rPr>
              <w:t>PBL</w:t>
            </w:r>
          </w:p>
        </w:tc>
        <w:tc>
          <w:tcPr>
            <w:tcW w:w="478" w:type="pct"/>
            <w:noWrap/>
            <w:hideMark/>
          </w:tcPr>
          <w:p w14:paraId="50F8AAA1" w14:textId="77777777" w:rsidR="00D275ED" w:rsidRPr="00450BD5" w:rsidRDefault="00D275ED" w:rsidP="00856A06">
            <w:pPr>
              <w:pStyle w:val="Tabletext"/>
              <w:jc w:val="center"/>
              <w:rPr>
                <w:lang w:val="nl-NL" w:eastAsia="nl-NL"/>
              </w:rPr>
            </w:pPr>
          </w:p>
        </w:tc>
        <w:tc>
          <w:tcPr>
            <w:tcW w:w="478" w:type="pct"/>
            <w:noWrap/>
            <w:hideMark/>
          </w:tcPr>
          <w:p w14:paraId="6EB6B2CF" w14:textId="77777777" w:rsidR="00D275ED" w:rsidRPr="00450BD5" w:rsidRDefault="00D275ED" w:rsidP="00856A06">
            <w:pPr>
              <w:pStyle w:val="Tabletext"/>
              <w:jc w:val="center"/>
              <w:rPr>
                <w:lang w:val="nl-NL" w:eastAsia="nl-NL"/>
              </w:rPr>
            </w:pPr>
            <w:r w:rsidRPr="00450BD5">
              <w:rPr>
                <w:lang w:val="nl-NL" w:eastAsia="nl-NL"/>
              </w:rPr>
              <w:t>0.01</w:t>
            </w:r>
          </w:p>
        </w:tc>
        <w:tc>
          <w:tcPr>
            <w:tcW w:w="478" w:type="pct"/>
            <w:noWrap/>
            <w:hideMark/>
          </w:tcPr>
          <w:p w14:paraId="71F6A49C" w14:textId="77777777" w:rsidR="00D275ED" w:rsidRPr="00450BD5" w:rsidRDefault="00D275ED" w:rsidP="00856A06">
            <w:pPr>
              <w:pStyle w:val="Tabletext"/>
              <w:jc w:val="center"/>
              <w:rPr>
                <w:lang w:val="nl-NL" w:eastAsia="nl-NL"/>
              </w:rPr>
            </w:pPr>
            <w:r w:rsidRPr="00450BD5">
              <w:rPr>
                <w:lang w:val="nl-NL" w:eastAsia="nl-NL"/>
              </w:rPr>
              <w:t>0.01</w:t>
            </w:r>
          </w:p>
        </w:tc>
        <w:tc>
          <w:tcPr>
            <w:tcW w:w="478" w:type="pct"/>
            <w:noWrap/>
            <w:hideMark/>
          </w:tcPr>
          <w:p w14:paraId="1E15E6CA" w14:textId="77777777" w:rsidR="00D275ED" w:rsidRPr="00450BD5" w:rsidRDefault="00D275ED" w:rsidP="00856A06">
            <w:pPr>
              <w:pStyle w:val="Tabletext"/>
              <w:jc w:val="center"/>
              <w:rPr>
                <w:lang w:val="nl-NL" w:eastAsia="nl-NL"/>
              </w:rPr>
            </w:pPr>
            <w:r w:rsidRPr="00450BD5">
              <w:rPr>
                <w:lang w:val="nl-NL" w:eastAsia="nl-NL"/>
              </w:rPr>
              <w:t>0.02</w:t>
            </w:r>
          </w:p>
        </w:tc>
        <w:tc>
          <w:tcPr>
            <w:tcW w:w="478" w:type="pct"/>
            <w:noWrap/>
            <w:hideMark/>
          </w:tcPr>
          <w:p w14:paraId="49439F6F" w14:textId="77777777" w:rsidR="00D275ED" w:rsidRPr="00450BD5" w:rsidRDefault="00D275ED" w:rsidP="00856A06">
            <w:pPr>
              <w:pStyle w:val="Tabletext"/>
              <w:jc w:val="center"/>
              <w:rPr>
                <w:lang w:val="nl-NL" w:eastAsia="nl-NL"/>
              </w:rPr>
            </w:pPr>
            <w:r w:rsidRPr="00450BD5">
              <w:rPr>
                <w:lang w:val="nl-NL" w:eastAsia="nl-NL"/>
              </w:rPr>
              <w:t>0.03</w:t>
            </w:r>
          </w:p>
        </w:tc>
        <w:tc>
          <w:tcPr>
            <w:tcW w:w="478" w:type="pct"/>
            <w:noWrap/>
            <w:hideMark/>
          </w:tcPr>
          <w:p w14:paraId="42484D2D" w14:textId="77777777" w:rsidR="00D275ED" w:rsidRPr="00450BD5" w:rsidRDefault="00D275ED" w:rsidP="00856A06">
            <w:pPr>
              <w:pStyle w:val="Tabletext"/>
              <w:jc w:val="center"/>
              <w:rPr>
                <w:lang w:val="nl-NL" w:eastAsia="nl-NL"/>
              </w:rPr>
            </w:pPr>
            <w:r w:rsidRPr="00450BD5">
              <w:rPr>
                <w:lang w:val="nl-NL" w:eastAsia="nl-NL"/>
              </w:rPr>
              <w:t>0.07</w:t>
            </w:r>
          </w:p>
        </w:tc>
        <w:tc>
          <w:tcPr>
            <w:tcW w:w="667" w:type="pct"/>
            <w:noWrap/>
            <w:hideMark/>
          </w:tcPr>
          <w:p w14:paraId="6AC587BE" w14:textId="77777777" w:rsidR="00D275ED" w:rsidRPr="00450BD5" w:rsidRDefault="00D275ED" w:rsidP="00856A06">
            <w:pPr>
              <w:pStyle w:val="Tabletext"/>
              <w:jc w:val="center"/>
              <w:rPr>
                <w:lang w:val="nl-NL" w:eastAsia="nl-NL"/>
              </w:rPr>
            </w:pPr>
            <w:r w:rsidRPr="00450BD5">
              <w:rPr>
                <w:lang w:val="nl-NL" w:eastAsia="nl-NL"/>
              </w:rPr>
              <w:t>0.14</w:t>
            </w:r>
          </w:p>
        </w:tc>
        <w:tc>
          <w:tcPr>
            <w:tcW w:w="667" w:type="pct"/>
            <w:noWrap/>
            <w:hideMark/>
          </w:tcPr>
          <w:p w14:paraId="36F58068" w14:textId="77777777" w:rsidR="00D275ED" w:rsidRPr="00450BD5" w:rsidRDefault="00D275ED" w:rsidP="00856A06">
            <w:pPr>
              <w:pStyle w:val="Tabletext"/>
              <w:jc w:val="center"/>
              <w:rPr>
                <w:lang w:val="nl-NL" w:eastAsia="nl-NL"/>
              </w:rPr>
            </w:pPr>
            <w:r w:rsidRPr="00450BD5">
              <w:rPr>
                <w:lang w:val="nl-NL" w:eastAsia="nl-NL"/>
              </w:rPr>
              <w:t>0.84</w:t>
            </w:r>
          </w:p>
        </w:tc>
      </w:tr>
      <w:tr w:rsidR="00D275ED" w:rsidRPr="00450BD5" w14:paraId="618009F2" w14:textId="77777777" w:rsidTr="00856A06">
        <w:trPr>
          <w:trHeight w:val="288"/>
        </w:trPr>
        <w:tc>
          <w:tcPr>
            <w:tcW w:w="800" w:type="pct"/>
            <w:noWrap/>
            <w:hideMark/>
          </w:tcPr>
          <w:p w14:paraId="107717FE" w14:textId="77777777" w:rsidR="00D275ED" w:rsidRPr="00450BD5" w:rsidRDefault="00D275ED" w:rsidP="00856A06">
            <w:pPr>
              <w:pStyle w:val="Tabletext"/>
              <w:rPr>
                <w:i/>
                <w:iCs/>
                <w:lang w:val="nl-NL" w:eastAsia="nl-NL"/>
              </w:rPr>
            </w:pPr>
            <w:r>
              <w:rPr>
                <w:i/>
                <w:iCs/>
                <w:lang w:val="nl-NL" w:eastAsia="nl-NL"/>
              </w:rPr>
              <w:t>Best estimate</w:t>
            </w:r>
          </w:p>
        </w:tc>
        <w:tc>
          <w:tcPr>
            <w:tcW w:w="478" w:type="pct"/>
            <w:noWrap/>
            <w:hideMark/>
          </w:tcPr>
          <w:p w14:paraId="43E02665" w14:textId="77777777" w:rsidR="00D275ED" w:rsidRPr="00450BD5" w:rsidRDefault="00D275ED" w:rsidP="00856A06">
            <w:pPr>
              <w:pStyle w:val="Tabletext"/>
              <w:jc w:val="center"/>
              <w:rPr>
                <w:i/>
                <w:iCs/>
                <w:lang w:val="nl-NL" w:eastAsia="nl-NL"/>
              </w:rPr>
            </w:pPr>
            <w:r w:rsidRPr="00450BD5">
              <w:rPr>
                <w:i/>
                <w:iCs/>
                <w:lang w:val="nl-NL" w:eastAsia="nl-NL"/>
              </w:rPr>
              <w:t>0.02</w:t>
            </w:r>
          </w:p>
        </w:tc>
        <w:tc>
          <w:tcPr>
            <w:tcW w:w="478" w:type="pct"/>
            <w:noWrap/>
            <w:hideMark/>
          </w:tcPr>
          <w:p w14:paraId="092DC73D" w14:textId="77777777" w:rsidR="00D275ED" w:rsidRPr="00450BD5" w:rsidRDefault="00D275ED" w:rsidP="00856A06">
            <w:pPr>
              <w:pStyle w:val="Tabletext"/>
              <w:jc w:val="center"/>
              <w:rPr>
                <w:i/>
                <w:iCs/>
                <w:lang w:val="nl-NL" w:eastAsia="nl-NL"/>
              </w:rPr>
            </w:pPr>
            <w:r w:rsidRPr="00450BD5">
              <w:rPr>
                <w:i/>
                <w:iCs/>
                <w:lang w:val="nl-NL" w:eastAsia="nl-NL"/>
              </w:rPr>
              <w:t>0.03</w:t>
            </w:r>
          </w:p>
        </w:tc>
        <w:tc>
          <w:tcPr>
            <w:tcW w:w="478" w:type="pct"/>
            <w:noWrap/>
            <w:hideMark/>
          </w:tcPr>
          <w:p w14:paraId="3C411AC5" w14:textId="77777777" w:rsidR="00D275ED" w:rsidRPr="00450BD5" w:rsidRDefault="00D275ED" w:rsidP="00856A06">
            <w:pPr>
              <w:pStyle w:val="Tabletext"/>
              <w:jc w:val="center"/>
              <w:rPr>
                <w:i/>
                <w:iCs/>
                <w:lang w:val="nl-NL" w:eastAsia="nl-NL"/>
              </w:rPr>
            </w:pPr>
            <w:r w:rsidRPr="00450BD5">
              <w:rPr>
                <w:i/>
                <w:iCs/>
                <w:lang w:val="nl-NL" w:eastAsia="nl-NL"/>
              </w:rPr>
              <w:t>0.04</w:t>
            </w:r>
          </w:p>
        </w:tc>
        <w:tc>
          <w:tcPr>
            <w:tcW w:w="478" w:type="pct"/>
            <w:noWrap/>
            <w:hideMark/>
          </w:tcPr>
          <w:p w14:paraId="28ACC678" w14:textId="77777777" w:rsidR="00D275ED" w:rsidRPr="00450BD5" w:rsidRDefault="00D275ED" w:rsidP="00856A06">
            <w:pPr>
              <w:pStyle w:val="Tabletext"/>
              <w:jc w:val="center"/>
              <w:rPr>
                <w:i/>
                <w:iCs/>
                <w:lang w:val="nl-NL" w:eastAsia="nl-NL"/>
              </w:rPr>
            </w:pPr>
            <w:r w:rsidRPr="00450BD5">
              <w:rPr>
                <w:i/>
                <w:iCs/>
                <w:lang w:val="nl-NL" w:eastAsia="nl-NL"/>
              </w:rPr>
              <w:t>0.03</w:t>
            </w:r>
          </w:p>
        </w:tc>
        <w:tc>
          <w:tcPr>
            <w:tcW w:w="478" w:type="pct"/>
            <w:noWrap/>
            <w:hideMark/>
          </w:tcPr>
          <w:p w14:paraId="0746A757" w14:textId="77777777" w:rsidR="00D275ED" w:rsidRPr="00450BD5" w:rsidRDefault="00D275ED" w:rsidP="00856A06">
            <w:pPr>
              <w:pStyle w:val="Tabletext"/>
              <w:jc w:val="center"/>
              <w:rPr>
                <w:i/>
                <w:iCs/>
                <w:lang w:val="nl-NL" w:eastAsia="nl-NL"/>
              </w:rPr>
            </w:pPr>
            <w:r w:rsidRPr="00450BD5">
              <w:rPr>
                <w:i/>
                <w:iCs/>
                <w:lang w:val="nl-NL" w:eastAsia="nl-NL"/>
              </w:rPr>
              <w:t>0.07</w:t>
            </w:r>
          </w:p>
        </w:tc>
        <w:tc>
          <w:tcPr>
            <w:tcW w:w="478" w:type="pct"/>
            <w:noWrap/>
            <w:hideMark/>
          </w:tcPr>
          <w:p w14:paraId="3C8E5B7E" w14:textId="77777777" w:rsidR="00D275ED" w:rsidRPr="00450BD5" w:rsidRDefault="00D275ED" w:rsidP="00856A06">
            <w:pPr>
              <w:pStyle w:val="Tabletext"/>
              <w:jc w:val="center"/>
              <w:rPr>
                <w:i/>
                <w:iCs/>
                <w:lang w:val="nl-NL" w:eastAsia="nl-NL"/>
              </w:rPr>
            </w:pPr>
            <w:r w:rsidRPr="00450BD5">
              <w:rPr>
                <w:i/>
                <w:iCs/>
                <w:lang w:val="nl-NL" w:eastAsia="nl-NL"/>
              </w:rPr>
              <w:t>0.02</w:t>
            </w:r>
          </w:p>
        </w:tc>
        <w:tc>
          <w:tcPr>
            <w:tcW w:w="667" w:type="pct"/>
            <w:noWrap/>
            <w:hideMark/>
          </w:tcPr>
          <w:p w14:paraId="3C58D507" w14:textId="77777777" w:rsidR="00D275ED" w:rsidRPr="00450BD5" w:rsidRDefault="00D275ED" w:rsidP="00856A06">
            <w:pPr>
              <w:pStyle w:val="Tabletext"/>
              <w:jc w:val="center"/>
              <w:rPr>
                <w:i/>
                <w:iCs/>
                <w:lang w:val="nl-NL" w:eastAsia="nl-NL"/>
              </w:rPr>
            </w:pPr>
            <w:r w:rsidRPr="00450BD5">
              <w:rPr>
                <w:i/>
                <w:iCs/>
                <w:lang w:val="nl-NL" w:eastAsia="nl-NL"/>
              </w:rPr>
              <w:t>0.22</w:t>
            </w:r>
          </w:p>
        </w:tc>
        <w:tc>
          <w:tcPr>
            <w:tcW w:w="667" w:type="pct"/>
            <w:noWrap/>
            <w:hideMark/>
          </w:tcPr>
          <w:p w14:paraId="36F148BB" w14:textId="77777777" w:rsidR="00D275ED" w:rsidRPr="00450BD5" w:rsidRDefault="00D275ED" w:rsidP="00856A06">
            <w:pPr>
              <w:pStyle w:val="Tabletext"/>
              <w:jc w:val="center"/>
              <w:rPr>
                <w:i/>
                <w:iCs/>
                <w:lang w:val="nl-NL" w:eastAsia="nl-NL"/>
              </w:rPr>
            </w:pPr>
          </w:p>
        </w:tc>
      </w:tr>
    </w:tbl>
    <w:p w14:paraId="080A64DB" w14:textId="77777777" w:rsidR="00D275ED" w:rsidRPr="002941C2" w:rsidRDefault="00D275ED" w:rsidP="00D275ED">
      <w:pPr>
        <w:shd w:val="clear" w:color="auto" w:fill="FFFFFF" w:themeFill="background1"/>
        <w:rPr>
          <w:rFonts w:cs="Times New Roman"/>
          <w:sz w:val="20"/>
        </w:rPr>
      </w:pPr>
      <w:r w:rsidRPr="002941C2">
        <w:rPr>
          <w:rFonts w:cs="Times New Roman"/>
          <w:sz w:val="20"/>
        </w:rPr>
        <w:t>*) This number is the summation over the cost bins and</w:t>
      </w:r>
      <w:r>
        <w:rPr>
          <w:rFonts w:cs="Times New Roman"/>
          <w:sz w:val="20"/>
        </w:rPr>
        <w:t xml:space="preserve"> can be</w:t>
      </w:r>
      <w:r w:rsidRPr="002941C2">
        <w:rPr>
          <w:rFonts w:cs="Times New Roman"/>
          <w:sz w:val="20"/>
        </w:rPr>
        <w:t xml:space="preserve"> higher than all the values per institute because PBL is not taken into account for the negative-bin.</w:t>
      </w:r>
    </w:p>
    <w:p w14:paraId="11CBD42B" w14:textId="77777777" w:rsidR="00D275ED" w:rsidRDefault="00D275ED" w:rsidP="00D275ED">
      <w:pPr>
        <w:shd w:val="clear" w:color="auto" w:fill="FFFFFF" w:themeFill="background1"/>
        <w:rPr>
          <w:rFonts w:cs="Times New Roman"/>
          <w:b/>
          <w:i/>
        </w:rPr>
      </w:pPr>
    </w:p>
    <w:p w14:paraId="53972859" w14:textId="77777777" w:rsidR="00D275ED" w:rsidRPr="00A561CB" w:rsidRDefault="00D275ED" w:rsidP="00D275ED">
      <w:pPr>
        <w:shd w:val="clear" w:color="auto" w:fill="FFFFFF" w:themeFill="background1"/>
        <w:rPr>
          <w:rFonts w:cs="Times New Roman"/>
          <w:b/>
          <w:i/>
        </w:rPr>
      </w:pPr>
      <w:r w:rsidRPr="00A561CB">
        <w:rPr>
          <w:rFonts w:cs="Times New Roman"/>
          <w:b/>
          <w:i/>
        </w:rPr>
        <w:t>A</w:t>
      </w:r>
      <w:r>
        <w:rPr>
          <w:rFonts w:cs="Times New Roman"/>
          <w:b/>
          <w:i/>
        </w:rPr>
        <w:t>griculture, forestry and land-use change (AFOLU)</w:t>
      </w:r>
    </w:p>
    <w:p w14:paraId="68F3B70C" w14:textId="77777777" w:rsidR="00D275ED" w:rsidRDefault="00D275ED" w:rsidP="00D275ED">
      <w:pPr>
        <w:shd w:val="clear" w:color="auto" w:fill="FFFFFF" w:themeFill="background1"/>
        <w:rPr>
          <w:rFonts w:cs="Times New Roman"/>
        </w:rPr>
      </w:pPr>
      <w:r w:rsidRPr="00A561CB">
        <w:rPr>
          <w:rFonts w:cs="Times New Roman"/>
        </w:rPr>
        <w:t>Th</w:t>
      </w:r>
      <w:r>
        <w:rPr>
          <w:rFonts w:cs="Times New Roman"/>
        </w:rPr>
        <w:t>e data for agriculture, forestry and land-use c</w:t>
      </w:r>
      <w:r w:rsidRPr="00471DA5">
        <w:rPr>
          <w:rFonts w:cs="Times New Roman"/>
        </w:rPr>
        <w:t>hange were ob</w:t>
      </w:r>
      <w:r>
        <w:rPr>
          <w:rFonts w:cs="Times New Roman"/>
        </w:rPr>
        <w:t>tained from Chapter 7 (Table 7.3</w:t>
      </w:r>
      <w:r w:rsidRPr="00471DA5">
        <w:rPr>
          <w:rFonts w:cs="Times New Roman"/>
        </w:rPr>
        <w:t>)</w:t>
      </w:r>
      <w:r>
        <w:rPr>
          <w:rFonts w:cs="Times New Roman"/>
        </w:rPr>
        <w:t>, where</w:t>
      </w:r>
      <w:r w:rsidRPr="00471DA5">
        <w:rPr>
          <w:rFonts w:cs="Times New Roman"/>
        </w:rPr>
        <w:t xml:space="preserve"> potentials below a certain cost level</w:t>
      </w:r>
      <w:r>
        <w:rPr>
          <w:rFonts w:cs="Times New Roman"/>
        </w:rPr>
        <w:t xml:space="preserve"> are provided</w:t>
      </w:r>
      <w:r w:rsidRPr="00471DA5">
        <w:rPr>
          <w:rFonts w:cs="Times New Roman"/>
        </w:rPr>
        <w:t xml:space="preserve">. </w:t>
      </w:r>
      <w:r>
        <w:rPr>
          <w:rFonts w:cs="Times New Roman"/>
        </w:rPr>
        <w:t>These values</w:t>
      </w:r>
      <w:r w:rsidRPr="00471DA5">
        <w:rPr>
          <w:rFonts w:cs="Times New Roman"/>
        </w:rPr>
        <w:t xml:space="preserve"> were converted into cost bins in Table 12.</w:t>
      </w:r>
      <w:r>
        <w:rPr>
          <w:rFonts w:cs="Times New Roman"/>
        </w:rPr>
        <w:t>3</w:t>
      </w:r>
      <w:r w:rsidRPr="00471DA5">
        <w:rPr>
          <w:rFonts w:cs="Times New Roman"/>
        </w:rPr>
        <w:t xml:space="preserve"> by calculating the additional potential when going from one cost level to the next. The uncertainty ranges of the cost bin were scaled down proportionally from the cumulative values.</w:t>
      </w:r>
    </w:p>
    <w:p w14:paraId="68C22398" w14:textId="77777777" w:rsidR="00D275ED" w:rsidRDefault="00D275ED" w:rsidP="00D275ED">
      <w:pPr>
        <w:shd w:val="clear" w:color="auto" w:fill="FFFFFF" w:themeFill="background1"/>
        <w:rPr>
          <w:rFonts w:cs="Times New Roman"/>
          <w:b/>
        </w:rPr>
      </w:pPr>
    </w:p>
    <w:p w14:paraId="7ADC6F0F" w14:textId="77777777" w:rsidR="00D275ED" w:rsidRPr="00B41D4E" w:rsidRDefault="00D275ED" w:rsidP="00D275ED">
      <w:pPr>
        <w:shd w:val="clear" w:color="auto" w:fill="FFFFFF" w:themeFill="background1"/>
        <w:rPr>
          <w:rFonts w:cs="Times New Roman"/>
          <w:b/>
          <w:i/>
        </w:rPr>
      </w:pPr>
      <w:r w:rsidRPr="00B41D4E">
        <w:rPr>
          <w:rFonts w:cs="Times New Roman"/>
          <w:b/>
          <w:i/>
        </w:rPr>
        <w:t>Buildings</w:t>
      </w:r>
    </w:p>
    <w:p w14:paraId="759D816A" w14:textId="77777777" w:rsidR="00D275ED" w:rsidRDefault="00D275ED" w:rsidP="00D275ED">
      <w:pPr>
        <w:shd w:val="clear" w:color="auto" w:fill="FFFFFF" w:themeFill="background1"/>
        <w:rPr>
          <w:rFonts w:cs="Times New Roman"/>
        </w:rPr>
      </w:pPr>
      <w:r w:rsidRPr="00471DA5">
        <w:rPr>
          <w:rFonts w:cs="Times New Roman"/>
        </w:rPr>
        <w:t>The data for Buildings were obtained from Chapter 9. A more extended overview</w:t>
      </w:r>
      <w:r>
        <w:rPr>
          <w:rFonts w:cs="Times New Roman"/>
        </w:rPr>
        <w:t xml:space="preserve"> than in Table 12.3</w:t>
      </w:r>
      <w:r w:rsidRPr="00471DA5">
        <w:rPr>
          <w:rFonts w:cs="Times New Roman"/>
        </w:rPr>
        <w:t xml:space="preserve">, with </w:t>
      </w:r>
      <w:r>
        <w:rPr>
          <w:rFonts w:cs="Times New Roman"/>
        </w:rPr>
        <w:t xml:space="preserve">a </w:t>
      </w:r>
      <w:r w:rsidRPr="00471DA5">
        <w:rPr>
          <w:rFonts w:cs="Times New Roman"/>
        </w:rPr>
        <w:t>breakdown</w:t>
      </w:r>
      <w:r>
        <w:rPr>
          <w:rFonts w:cs="Times New Roman"/>
        </w:rPr>
        <w:t xml:space="preserve"> for developing and developed countries</w:t>
      </w:r>
      <w:r w:rsidRPr="00471DA5">
        <w:rPr>
          <w:rFonts w:cs="Times New Roman"/>
        </w:rPr>
        <w:t>, can be found in Table</w:t>
      </w:r>
      <w:r>
        <w:rPr>
          <w:rFonts w:cs="Times New Roman"/>
        </w:rPr>
        <w:t>s</w:t>
      </w:r>
      <w:r w:rsidRPr="00471DA5">
        <w:rPr>
          <w:rFonts w:cs="Times New Roman"/>
        </w:rPr>
        <w:t xml:space="preserve"> SM</w:t>
      </w:r>
      <w:r w:rsidRPr="00471DA5">
        <w:rPr>
          <w:rFonts w:cs="Times New Roman"/>
          <w:shd w:val="clear" w:color="auto" w:fill="FFFFFF" w:themeFill="background1"/>
        </w:rPr>
        <w:t>9.2 and SM9.3</w:t>
      </w:r>
      <w:r>
        <w:rPr>
          <w:rFonts w:cs="Times New Roman"/>
          <w:shd w:val="clear" w:color="auto" w:fill="FFFFFF" w:themeFill="background1"/>
        </w:rPr>
        <w:t>.</w:t>
      </w:r>
      <w:r w:rsidRPr="00471DA5">
        <w:rPr>
          <w:rFonts w:cs="Times New Roman"/>
        </w:rPr>
        <w:t xml:space="preserve"> </w:t>
      </w:r>
    </w:p>
    <w:p w14:paraId="367AC029" w14:textId="77777777" w:rsidR="00D275ED" w:rsidRDefault="00D275ED" w:rsidP="00D275ED">
      <w:pPr>
        <w:shd w:val="clear" w:color="auto" w:fill="FFFFFF" w:themeFill="background1"/>
        <w:rPr>
          <w:rFonts w:cs="Times New Roman"/>
          <w:b/>
        </w:rPr>
      </w:pPr>
    </w:p>
    <w:p w14:paraId="1E2ABA17" w14:textId="77777777" w:rsidR="00D275ED" w:rsidRPr="00B41D4E" w:rsidRDefault="00D275ED" w:rsidP="00D275ED">
      <w:pPr>
        <w:shd w:val="clear" w:color="auto" w:fill="FFFFFF" w:themeFill="background1"/>
        <w:rPr>
          <w:rFonts w:cs="Times New Roman"/>
          <w:b/>
          <w:i/>
        </w:rPr>
      </w:pPr>
      <w:r w:rsidRPr="00B41D4E">
        <w:rPr>
          <w:rFonts w:cs="Times New Roman"/>
          <w:b/>
          <w:i/>
        </w:rPr>
        <w:t>Transport</w:t>
      </w:r>
    </w:p>
    <w:p w14:paraId="6831CBFC" w14:textId="77777777" w:rsidR="00D275ED" w:rsidRPr="00471DA5" w:rsidRDefault="00D275ED" w:rsidP="00D275ED">
      <w:pPr>
        <w:shd w:val="clear" w:color="auto" w:fill="FFFFFF" w:themeFill="background1"/>
        <w:rPr>
          <w:rFonts w:cs="Times New Roman"/>
        </w:rPr>
      </w:pPr>
      <w:r>
        <w:rPr>
          <w:rFonts w:cs="Times New Roman"/>
        </w:rPr>
        <w:t>F</w:t>
      </w:r>
      <w:r w:rsidRPr="00471DA5">
        <w:rPr>
          <w:rFonts w:cs="Times New Roman"/>
        </w:rPr>
        <w:t>or the transport sector, a</w:t>
      </w:r>
      <w:r>
        <w:rPr>
          <w:rFonts w:cs="Times New Roman"/>
        </w:rPr>
        <w:t>n</w:t>
      </w:r>
      <w:r w:rsidRPr="00471DA5">
        <w:rPr>
          <w:rFonts w:cs="Times New Roman"/>
        </w:rPr>
        <w:t xml:space="preserve"> assessment was made by Chapter 12, partly based on infor</w:t>
      </w:r>
      <w:r>
        <w:rPr>
          <w:rFonts w:cs="Times New Roman"/>
        </w:rPr>
        <w:t>mation from Chapter 10.</w:t>
      </w:r>
    </w:p>
    <w:p w14:paraId="596B7543" w14:textId="77777777" w:rsidR="00D275ED" w:rsidRPr="00C0393E" w:rsidRDefault="00D275ED" w:rsidP="00D275ED">
      <w:pPr>
        <w:shd w:val="clear" w:color="auto" w:fill="FFFFFF" w:themeFill="background1"/>
        <w:rPr>
          <w:rFonts w:cs="Times New Roman"/>
        </w:rPr>
      </w:pPr>
      <w:r w:rsidRPr="00C0393E">
        <w:rPr>
          <w:rFonts w:cs="Times New Roman"/>
        </w:rPr>
        <w:t xml:space="preserve">Data for the technical options for passenger cars were taken from </w:t>
      </w:r>
      <w:r w:rsidRPr="00C0393E">
        <w:rPr>
          <w:rFonts w:cs="Times New Roman"/>
        </w:rPr>
        <w:fldChar w:fldCharType="begin" w:fldLock="1"/>
      </w:r>
      <w:r w:rsidRPr="00C0393E">
        <w:rPr>
          <w:rFonts w:cs="Times New Roman"/>
        </w:rPr>
        <w:instrText>ADDIN CSL_CITATION {"citationItems":[{"id":"ITEM-1","itemData":{"abstract":"This publication was prepared by Drew Kodjak of the ICCT and Dan Meszler of Meszler Engineering Services. The manuscript was shared for review with the following representatives of the GFEI partner organizations: Sheila Watson, Richard Clarke, and John Pap of the FIA Foundation; Rob De Jong of UN Environment; Lew Fulton of UC Davis; Pierpaolo Cazzola, Timur Gül, Jacob Teter, and Sacha Scheffer of the IEA; Anup Bandivadekar, Joshua Miller, Rachel Muncrief, and Nic Lutsey of the ICCT; and Stephen Perkins and Wei-Shiuen Ng of the International Transport Forum. The FIA Foundation and the ICCT provided funding for the development of this work.","author":[{"dropping-particle":"","family":"ICCT","given":"","non-dropping-particle":"","parse-names":false,"suffix":""}],"id":"ITEM-1","issued":{"date-parts":[["2019"]]},"number-of-pages":"31","publisher-place":"London, UK","title":"Prospects for fuel efficiency, electrification and fleet decarbonisation","type":"report"},"uris":["http://www.mendeley.com/documents/?uuid=369a0424-93e8-4e42-9f60-4d3d1e4e3b42"]}],"mendeley":{"formattedCitation":"(ICCT 2019)","manualFormatting":"ICCT (2019)","plainTextFormattedCitation":"(ICCT 2019)","previouslyFormattedCitation":"(ICCT 2019)"},"properties":{"noteIndex":0},"schema":"https://github.com/citation-style-language/schema/raw/master/csl-citation.json"}</w:instrText>
      </w:r>
      <w:r w:rsidRPr="00C0393E">
        <w:rPr>
          <w:rFonts w:cs="Times New Roman"/>
        </w:rPr>
        <w:fldChar w:fldCharType="separate"/>
      </w:r>
      <w:r w:rsidRPr="00C0393E">
        <w:rPr>
          <w:rFonts w:cs="Times New Roman"/>
          <w:noProof/>
        </w:rPr>
        <w:t>ICCT (2019)</w:t>
      </w:r>
      <w:r w:rsidRPr="00C0393E">
        <w:rPr>
          <w:rFonts w:cs="Times New Roman"/>
        </w:rPr>
        <w:fldChar w:fldCharType="end"/>
      </w:r>
      <w:r w:rsidRPr="00C0393E">
        <w:rPr>
          <w:rFonts w:cs="Times New Roman"/>
        </w:rPr>
        <w:t>. The authors explore the potential of rapid further fuel economy technologies (50% reduction in new passenger vehicle per kilometre CO</w:t>
      </w:r>
      <w:r w:rsidRPr="00C0393E">
        <w:rPr>
          <w:rFonts w:cs="Times New Roman"/>
          <w:vertAlign w:val="subscript"/>
        </w:rPr>
        <w:t>2</w:t>
      </w:r>
      <w:r w:rsidRPr="00C0393E">
        <w:rPr>
          <w:rFonts w:cs="Times New Roman"/>
        </w:rPr>
        <w:t xml:space="preserve"> emissions in 2030 compared to 2005) and fast adoption of electric vehicles (35% of sales in 2030). This share in new vehicle sales is comparable with what is assumed in Chapter 10 (30%) and estimated in </w:t>
      </w:r>
      <w:r w:rsidRPr="00C0393E">
        <w:rPr>
          <w:rFonts w:cs="Times New Roman"/>
        </w:rPr>
        <w:fldChar w:fldCharType="begin" w:fldLock="1"/>
      </w:r>
      <w:r w:rsidRPr="00C0393E">
        <w:rPr>
          <w:rFonts w:cs="Times New Roman"/>
        </w:rPr>
        <w:instrText>ADDIN CSL_CITATION {"citationItems":[{"id":"ITEM-1","itemData":{"author":[{"dropping-particle":"","family":"BNEF","given":"","non-dropping-particle":"","parse-names":false,"suffix":""}],"id":"ITEM-1","issued":{"date-parts":[["2020"]]},"publisher":"BloombergNEF","publisher-place":"London, UK","title":"Electric Vehicle Outlook 2020","type":"report"},"uris":["http://www.mendeley.com/documents/?uuid=3fea200e-ae48-44f6-85a0-40c0dfd26ef0"]}],"mendeley":{"formattedCitation":"(BNEF 2020)","manualFormatting":"BNEF (2020)","plainTextFormattedCitation":"(BNEF 2020)","previouslyFormattedCitation":"(BNEF 2020)"},"properties":{"noteIndex":0},"schema":"https://github.com/citation-style-language/schema/raw/master/csl-citation.json"}</w:instrText>
      </w:r>
      <w:r w:rsidRPr="00C0393E">
        <w:rPr>
          <w:rFonts w:cs="Times New Roman"/>
        </w:rPr>
        <w:fldChar w:fldCharType="separate"/>
      </w:r>
      <w:r w:rsidRPr="00C0393E">
        <w:rPr>
          <w:rFonts w:cs="Times New Roman"/>
          <w:noProof/>
        </w:rPr>
        <w:t>BNEF (2020)</w:t>
      </w:r>
      <w:r w:rsidRPr="00C0393E">
        <w:rPr>
          <w:rFonts w:cs="Times New Roman"/>
        </w:rPr>
        <w:fldChar w:fldCharType="end"/>
      </w:r>
      <w:r w:rsidRPr="00C0393E">
        <w:rPr>
          <w:rFonts w:cs="Times New Roman"/>
        </w:rPr>
        <w:t xml:space="preserve">. For heavy duty trucks the reduction </w:t>
      </w:r>
      <w:r>
        <w:rPr>
          <w:rFonts w:cs="Times New Roman"/>
        </w:rPr>
        <w:t>in</w:t>
      </w:r>
      <w:r w:rsidRPr="00C0393E">
        <w:rPr>
          <w:rFonts w:cs="Times New Roman"/>
        </w:rPr>
        <w:t xml:space="preserve"> new per kilometre CO</w:t>
      </w:r>
      <w:r w:rsidRPr="00C0393E">
        <w:rPr>
          <w:rFonts w:cs="Times New Roman"/>
          <w:vertAlign w:val="subscript"/>
        </w:rPr>
        <w:t>2</w:t>
      </w:r>
      <w:r w:rsidRPr="00C0393E">
        <w:rPr>
          <w:rFonts w:cs="Times New Roman"/>
        </w:rPr>
        <w:t xml:space="preserve"> emissions is 35% in 2035 compared to 2005, and </w:t>
      </w:r>
      <w:r>
        <w:rPr>
          <w:rFonts w:cs="Times New Roman"/>
        </w:rPr>
        <w:t>the</w:t>
      </w:r>
      <w:r w:rsidRPr="00C0393E">
        <w:rPr>
          <w:rFonts w:cs="Times New Roman"/>
        </w:rPr>
        <w:t xml:space="preserve"> share of electric vehicles sales </w:t>
      </w:r>
      <w:r>
        <w:rPr>
          <w:rFonts w:cs="Times New Roman"/>
        </w:rPr>
        <w:t xml:space="preserve">is </w:t>
      </w:r>
      <w:r w:rsidRPr="00C0393E">
        <w:rPr>
          <w:rFonts w:cs="Times New Roman"/>
        </w:rPr>
        <w:t xml:space="preserve">19% in 2030. The emission reduction in freight transport is comparable to the potential calculated in </w:t>
      </w:r>
      <w:r w:rsidRPr="00C0393E">
        <w:rPr>
          <w:rFonts w:cs="Times New Roman"/>
        </w:rPr>
        <w:fldChar w:fldCharType="begin" w:fldLock="1"/>
      </w:r>
      <w:r w:rsidRPr="00C0393E">
        <w:rPr>
          <w:rFonts w:cs="Times New Roman"/>
        </w:rPr>
        <w:instrText>ADDIN CSL_CITATION {"citationItems":[{"id":"ITEM-1","itemData":{"DOI":"10.1787/208b66f4-en","abstract":"Buildings sector is particularly important in EE and Climate Scenarios; Accounts for 38% of TFC and slightly lower share of CO2 emissions (when elec emissions allocated to end-uses); But surprisingly little analysis at a global level on EE potential, in an integrated context. Are the current results circulating robust?; A challenge for modellers due to a number of reasons (lack of data, poor data, complex regional differences etc.).","author":[{"dropping-particle":"","family":"IEA","given":"","non-dropping-particle":"","parse-names":false,"suffix":""}],"id":"ITEM-1","issued":{"date-parts":[["2020"]]},"number-of-pages":"397","publisher":"International Energy Agency (IEA)","publisher-place":"Paris, France","title":"Energy Technology Perspectives 2020","type":"report"},"uris":["http://www.mendeley.com/documents/?uuid=5492ba06-5e05-403b-8ef6-d2db9f6660c8"]}],"mendeley":{"formattedCitation":"(IEA 2020)","manualFormatting":"IEA (2020b)","plainTextFormattedCitation":"(IEA 2020)","previouslyFormattedCitation":"(IEA 2020)"},"properties":{"noteIndex":0},"schema":"https://github.com/citation-style-language/schema/raw/master/csl-citation.json"}</w:instrText>
      </w:r>
      <w:r w:rsidRPr="00C0393E">
        <w:rPr>
          <w:rFonts w:cs="Times New Roman"/>
        </w:rPr>
        <w:fldChar w:fldCharType="separate"/>
      </w:r>
      <w:r w:rsidRPr="00C0393E">
        <w:rPr>
          <w:rFonts w:cs="Times New Roman"/>
          <w:noProof/>
        </w:rPr>
        <w:t>IEA (2020b)</w:t>
      </w:r>
      <w:r w:rsidRPr="00C0393E">
        <w:rPr>
          <w:rFonts w:cs="Times New Roman"/>
        </w:rPr>
        <w:fldChar w:fldCharType="end"/>
      </w:r>
      <w:r w:rsidRPr="00C0393E">
        <w:rPr>
          <w:rFonts w:cs="Times New Roman"/>
        </w:rPr>
        <w:t xml:space="preserve">. According to </w:t>
      </w:r>
      <w:r w:rsidRPr="00C0393E">
        <w:rPr>
          <w:rFonts w:cs="Times New Roman"/>
        </w:rPr>
        <w:fldChar w:fldCharType="begin" w:fldLock="1"/>
      </w:r>
      <w:r w:rsidRPr="00C0393E">
        <w:rPr>
          <w:rFonts w:cs="Times New Roman"/>
        </w:rPr>
        <w:instrText>ADDIN CSL_CITATION {"citationItems":[{"id":"ITEM-1","itemData":{"abstract":"This publication was prepared by Drew Kodjak of the ICCT and Dan Meszler of Meszler Engineering Services. The manuscript was shared for review with the following representatives of the GFEI partner organizations: Sheila Watson, Richard Clarke, and John Pap of the FIA Foundation; Rob De Jong of UN Environment; Lew Fulton of UC Davis; Pierpaolo Cazzola, Timur Gül, Jacob Teter, and Sacha Scheffer of the IEA; Anup Bandivadekar, Joshua Miller, Rachel Muncrief, and Nic Lutsey of the ICCT; and Stephen Perkins and Wei-Shiuen Ng of the International Transport Forum. The FIA Foundation and the ICCT provided funding for the development of this work.","author":[{"dropping-particle":"","family":"ICCT","given":"","non-dropping-particle":"","parse-names":false,"suffix":""}],"id":"ITEM-1","issued":{"date-parts":[["2019"]]},"number-of-pages":"31","publisher-place":"London, UK","title":"Prospects for fuel efficiency, electrification and fleet decarbonisation","type":"report"},"uris":["http://www.mendeley.com/documents/?uuid=369a0424-93e8-4e42-9f60-4d3d1e4e3b42"]}],"mendeley":{"formattedCitation":"(ICCT 2019)","manualFormatting":"ICCT (2019)","plainTextFormattedCitation":"(ICCT 2019)","previouslyFormattedCitation":"(ICCT 2019)"},"properties":{"noteIndex":0},"schema":"https://github.com/citation-style-language/schema/raw/master/csl-citation.json"}</w:instrText>
      </w:r>
      <w:r w:rsidRPr="00C0393E">
        <w:rPr>
          <w:rFonts w:cs="Times New Roman"/>
        </w:rPr>
        <w:fldChar w:fldCharType="separate"/>
      </w:r>
      <w:r w:rsidRPr="00C0393E">
        <w:rPr>
          <w:rFonts w:cs="Times New Roman"/>
          <w:noProof/>
        </w:rPr>
        <w:t>ICCT (2019)</w:t>
      </w:r>
      <w:r w:rsidRPr="00C0393E">
        <w:rPr>
          <w:rFonts w:cs="Times New Roman"/>
        </w:rPr>
        <w:fldChar w:fldCharType="end"/>
      </w:r>
      <w:r w:rsidRPr="00C0393E">
        <w:rPr>
          <w:rFonts w:cs="Times New Roman"/>
        </w:rPr>
        <w:t xml:space="preserve"> the fuel economy measures are cost-effective, i.e. negative costs per tonne of CO</w:t>
      </w:r>
      <w:r w:rsidRPr="00C0393E">
        <w:rPr>
          <w:rFonts w:cs="Times New Roman"/>
          <w:vertAlign w:val="subscript"/>
        </w:rPr>
        <w:t>2</w:t>
      </w:r>
      <w:r w:rsidRPr="00C0393E">
        <w:rPr>
          <w:rFonts w:cs="Times New Roman"/>
        </w:rPr>
        <w:t xml:space="preserve"> avoided. </w:t>
      </w:r>
      <w:r>
        <w:rPr>
          <w:rFonts w:cs="Times New Roman"/>
        </w:rPr>
        <w:t>Electric light duty vehicles currently still are often more expensive over the lifetime than vehicles with internal combustion engines. Costs of batteries are falling rapidly, and</w:t>
      </w:r>
      <w:r w:rsidRPr="00C0393E">
        <w:rPr>
          <w:rFonts w:cs="Times New Roman"/>
        </w:rPr>
        <w:t xml:space="preserve"> it is expected that price-parity with conventional vehicles is reached in the mid-2020s </w:t>
      </w:r>
      <w:r w:rsidRPr="00C0393E">
        <w:rPr>
          <w:rFonts w:cs="Times New Roman"/>
        </w:rPr>
        <w:fldChar w:fldCharType="begin" w:fldLock="1"/>
      </w:r>
      <w:r w:rsidRPr="00C0393E">
        <w:rPr>
          <w:rFonts w:cs="Times New Roman"/>
        </w:rPr>
        <w:instrText>ADDIN CSL_CITATION {"citationItems":[{"id":"ITEM-1","itemData":{"author":[{"dropping-particle":"","family":"BNEF","given":"","non-dropping-particle":"","parse-names":false,"suffix":""}],"id":"ITEM-1","issued":{"date-parts":[["2020"]]},"publisher":"BloombergNEF","publisher-place":"London, UK","title":"Electric Vehicle Outlook 2020","type":"report"},"uris":["http://www.mendeley.com/documents/?uuid=3fea200e-ae48-44f6-85a0-40c0dfd26ef0"]}],"mendeley":{"formattedCitation":"(BNEF 2020)","plainTextFormattedCitation":"(BNEF 2020)","previouslyFormattedCitation":"(BNEF 2020)"},"properties":{"noteIndex":0},"schema":"https://github.com/citation-style-language/schema/raw/master/csl-citation.json"}</w:instrText>
      </w:r>
      <w:r w:rsidRPr="00C0393E">
        <w:rPr>
          <w:rFonts w:cs="Times New Roman"/>
        </w:rPr>
        <w:fldChar w:fldCharType="separate"/>
      </w:r>
      <w:r w:rsidRPr="00C0393E">
        <w:rPr>
          <w:rFonts w:cs="Times New Roman"/>
          <w:noProof/>
        </w:rPr>
        <w:t>(BNEF 2020)</w:t>
      </w:r>
      <w:r w:rsidRPr="00C0393E">
        <w:rPr>
          <w:rFonts w:cs="Times New Roman"/>
        </w:rPr>
        <w:fldChar w:fldCharType="end"/>
      </w:r>
      <w:r w:rsidRPr="00C0393E">
        <w:rPr>
          <w:rFonts w:cs="Times New Roman"/>
        </w:rPr>
        <w:t xml:space="preserve">, meaning that life-cycle benefits will already exceed costs </w:t>
      </w:r>
      <w:r>
        <w:rPr>
          <w:rFonts w:cs="Times New Roman"/>
        </w:rPr>
        <w:t>prior to that date</w:t>
      </w:r>
      <w:r w:rsidRPr="00C0393E">
        <w:rPr>
          <w:rFonts w:cs="Times New Roman"/>
        </w:rPr>
        <w:t>.</w:t>
      </w:r>
      <w:r>
        <w:rPr>
          <w:rFonts w:cs="Times New Roman"/>
        </w:rPr>
        <w:t xml:space="preserve"> This means that mitigation costs will be highly variable until 2030, so not mitigation costs could be assigned to this technology. The same is valid for electric heavy duty vehicles.</w:t>
      </w:r>
      <w:r w:rsidRPr="00C0393E">
        <w:rPr>
          <w:rFonts w:cs="Times New Roman"/>
        </w:rPr>
        <w:t xml:space="preserve"> </w:t>
      </w:r>
    </w:p>
    <w:p w14:paraId="0A7E68B4" w14:textId="77777777" w:rsidR="00D275ED" w:rsidRPr="00C0393E" w:rsidRDefault="00D275ED" w:rsidP="00D275ED">
      <w:pPr>
        <w:shd w:val="clear" w:color="auto" w:fill="FFFFFF" w:themeFill="background1"/>
        <w:rPr>
          <w:rFonts w:cs="Times New Roman"/>
        </w:rPr>
      </w:pPr>
      <w:r w:rsidRPr="00C0393E">
        <w:rPr>
          <w:rFonts w:cs="Times New Roman"/>
        </w:rPr>
        <w:t xml:space="preserve">Data for the impact of modal shifts in passenger transport are taken from </w:t>
      </w:r>
      <w:r w:rsidRPr="00C0393E">
        <w:rPr>
          <w:rFonts w:cs="Times New Roman"/>
        </w:rPr>
        <w:fldChar w:fldCharType="begin" w:fldLock="1"/>
      </w:r>
      <w:r w:rsidRPr="00C0393E">
        <w:rPr>
          <w:rFonts w:cs="Times New Roman"/>
        </w:rPr>
        <w:instrText>ADDIN CSL_CITATION {"citationItems":[{"id":"ITEM-1","itemData":{"author":[{"dropping-particle":"","family":"ITDP","given":"","non-dropping-particle":"","parse-names":false,"suffix":""},{"dropping-particle":"","family":"UC Davis","given":"","non-dropping-particle":"","parse-names":false,"suffix":""}],"id":"ITEM-1","issued":{"date-parts":[["2015"]]},"number-of-pages":"41","publisher":"Institute for Transportation and Development Policy (ITDP) and University of California, Davis (UC Davis)","title":"A Global High Shift Cycling Scenario: The Potential for Dramatically Increasing Bycle and E-bike Use in Cities Around the World, with Estimated Energy, CO2, and Cost Impacts","type":"report"},"uris":["http://www.mendeley.com/documents/?uuid=2af544fa-e4bf-440e-a0d8-482c27adf708"]}],"mendeley":{"formattedCitation":"(ITDP and UC Davis 2015)","manualFormatting":"ITDP and UC Davis (2015)","plainTextFormattedCitation":"(ITDP and UC Davis 2015)","previouslyFormattedCitation":"(ITDP and UC Davis 2015)"},"properties":{"noteIndex":0},"schema":"https://github.com/citation-style-language/schema/raw/master/csl-citation.json"}</w:instrText>
      </w:r>
      <w:r w:rsidRPr="00C0393E">
        <w:rPr>
          <w:rFonts w:cs="Times New Roman"/>
        </w:rPr>
        <w:fldChar w:fldCharType="separate"/>
      </w:r>
      <w:r w:rsidRPr="00C0393E">
        <w:rPr>
          <w:rFonts w:cs="Times New Roman"/>
          <w:noProof/>
        </w:rPr>
        <w:t>ITDP and UC Davis (2015)</w:t>
      </w:r>
      <w:r w:rsidRPr="00C0393E">
        <w:rPr>
          <w:rFonts w:cs="Times New Roman"/>
        </w:rPr>
        <w:fldChar w:fldCharType="end"/>
      </w:r>
      <w:r w:rsidRPr="00C0393E">
        <w:rPr>
          <w:rFonts w:cs="Times New Roman"/>
        </w:rPr>
        <w:t xml:space="preserve">. They calculate that costs, both for the shift to public transport and the shift to cycling, are lower than for transport by passenger cars. </w:t>
      </w:r>
    </w:p>
    <w:p w14:paraId="2E83814E" w14:textId="77777777" w:rsidR="00D275ED" w:rsidRPr="00C0393E" w:rsidRDefault="00D275ED" w:rsidP="00D275ED">
      <w:pPr>
        <w:shd w:val="clear" w:color="auto" w:fill="FFFFFF" w:themeFill="background1"/>
        <w:rPr>
          <w:rFonts w:cs="Times New Roman"/>
        </w:rPr>
      </w:pPr>
      <w:r w:rsidRPr="00C0393E">
        <w:rPr>
          <w:rFonts w:cs="Times New Roman"/>
        </w:rPr>
        <w:t>For aviation, limited estimates are available. Emission reduction potential</w:t>
      </w:r>
      <w:r>
        <w:rPr>
          <w:rFonts w:cs="Times New Roman"/>
        </w:rPr>
        <w:t>s</w:t>
      </w:r>
      <w:r w:rsidRPr="00C0393E">
        <w:rPr>
          <w:rFonts w:cs="Times New Roman"/>
        </w:rPr>
        <w:t xml:space="preserve"> (excluding biofuels) in the range of 0.12</w:t>
      </w:r>
      <w:r>
        <w:rPr>
          <w:rFonts w:cs="Times New Roman"/>
        </w:rPr>
        <w:t xml:space="preserve"> to </w:t>
      </w:r>
      <w:r w:rsidRPr="00C0393E">
        <w:rPr>
          <w:rFonts w:cs="Times New Roman"/>
        </w:rPr>
        <w:t>0.32 GtCO</w:t>
      </w:r>
      <w:r w:rsidRPr="00C0393E">
        <w:rPr>
          <w:rFonts w:cs="Times New Roman"/>
          <w:vertAlign w:val="subscript"/>
        </w:rPr>
        <w:t>2</w:t>
      </w:r>
      <w:r w:rsidRPr="00C0393E">
        <w:rPr>
          <w:rFonts w:cs="Times New Roman"/>
        </w:rPr>
        <w:t xml:space="preserve"> are reported </w:t>
      </w:r>
      <w:r w:rsidRPr="00C0393E">
        <w:rPr>
          <w:rFonts w:cs="Times New Roman"/>
        </w:rPr>
        <w:fldChar w:fldCharType="begin" w:fldLock="1"/>
      </w:r>
      <w:r w:rsidRPr="00C0393E">
        <w:rPr>
          <w:rFonts w:cs="Times New Roman"/>
        </w:rPr>
        <w:instrText>ADDIN CSL_CITATION {"citationItems":[{"id":"ITEM-1","itemData":{"author":[{"dropping-particle":"","family":"ICAO","given":"","non-dropping-particle":"","parse-names":false,"suffix":""}],"chapter-number":"1","container-title":"2019 Environmental Report: Aviation and Environment","id":"ITEM-1","issued":{"date-parts":[["2019"]]},"page":"13-38","publisher":"International Civil Aviation Organization (ICAO)","publisher-place":"Montreal, Canada","title":"Aviation and Environment Outlook","type":"chapter"},"uris":["http://www.mendeley.com/documents/?uuid=f08b6523-4f6e-46c8-bfab-a2aa265c3b46"]},{"id":"ITEM-2","itemData":{"author":[{"dropping-particle":"","family":"ICCT","given":"","non-dropping-particle":"","parse-names":false,"suffix":""}],"id":"ITEM-2","issued":{"date-parts":[["2020"]]},"number-of-pages":"30","title":"Vision 2050: A strategy to decarbonize the global transport sector by mid-century","type":"report"},"uris":["http://www.mendeley.com/documents/?uuid=7d6a4efe-7467-48bc-81f3-1d12f345b4e9"]},{"id":"ITEM-3","itemData":{"DOI":"10.1787/208b66f4-en","abstract":"Buildings sector is particularly important in EE and Climate Scenarios; Accounts for 38% of TFC and slightly lower share of CO2 emissions (when elec emissions allocated to end-uses); But surprisingly little analysis at a global level on EE potential, in an integrated context. Are the current results circulating robust?; A challenge for modellers due to a number of reasons (lack of data, poor data, complex regional differences etc.).","author":[{"dropping-particle":"","family":"IEA","given":"","non-dropping-particle":"","parse-names":false,"suffix":""}],"id":"ITEM-3","issued":{"date-parts":[["2020"]]},"number-of-pages":"397","publisher":"International Energy Agency (IEA)","publisher-place":"Paris, France","title":"Energy Technology Perspectives 2020","type":"report"},"uris":["http://www.mendeley.com/documents/?uuid=5492ba06-5e05-403b-8ef6-d2db9f6660c8"]}],"mendeley":{"formattedCitation":"(ICAO 2019; ICCT 2020; IEA 2020)","plainTextFormattedCitation":"(ICAO 2019; ICCT 2020; IEA 2020)","previouslyFormattedCitation":"(ICAO 2019; ICCT 2020; IEA 2020)"},"properties":{"noteIndex":0},"schema":"https://github.com/citation-style-language/schema/raw/master/csl-citation.json"}</w:instrText>
      </w:r>
      <w:r w:rsidRPr="00C0393E">
        <w:rPr>
          <w:rFonts w:cs="Times New Roman"/>
        </w:rPr>
        <w:fldChar w:fldCharType="separate"/>
      </w:r>
      <w:r w:rsidRPr="00C0393E">
        <w:rPr>
          <w:rFonts w:cs="Times New Roman"/>
          <w:noProof/>
        </w:rPr>
        <w:t>(ICAO 2019; ICCT 2020; IEA 2020)</w:t>
      </w:r>
      <w:r w:rsidRPr="00C0393E">
        <w:rPr>
          <w:rFonts w:cs="Times New Roman"/>
        </w:rPr>
        <w:fldChar w:fldCharType="end"/>
      </w:r>
      <w:r w:rsidRPr="00C0393E">
        <w:rPr>
          <w:rFonts w:cs="Times New Roman"/>
        </w:rPr>
        <w:t xml:space="preserve">, but underlying assumptions are not very well documented. </w:t>
      </w:r>
    </w:p>
    <w:p w14:paraId="060464DB" w14:textId="77777777" w:rsidR="00D275ED" w:rsidRPr="00C0393E" w:rsidRDefault="00D275ED" w:rsidP="00D275ED">
      <w:pPr>
        <w:shd w:val="clear" w:color="auto" w:fill="FFFFFF" w:themeFill="background1"/>
        <w:rPr>
          <w:rFonts w:cs="Times New Roman"/>
        </w:rPr>
      </w:pPr>
      <w:r w:rsidRPr="00C0393E">
        <w:rPr>
          <w:rFonts w:cs="Times New Roman"/>
        </w:rPr>
        <w:t>For shipping, in Chapter 10 an emission reduction potential of 39% (range 30</w:t>
      </w:r>
      <w:r>
        <w:rPr>
          <w:rFonts w:cs="Times New Roman"/>
        </w:rPr>
        <w:t xml:space="preserve"> to </w:t>
      </w:r>
      <w:r w:rsidRPr="00C0393E">
        <w:rPr>
          <w:rFonts w:cs="Times New Roman"/>
        </w:rPr>
        <w:t>56%) compared to business-as-usual is quoted (Section 10.6.4), which translates to 0.7 GtCO</w:t>
      </w:r>
      <w:r w:rsidRPr="00C0393E">
        <w:rPr>
          <w:rFonts w:cs="Times New Roman"/>
          <w:vertAlign w:val="subscript"/>
        </w:rPr>
        <w:t>2</w:t>
      </w:r>
      <w:r w:rsidRPr="00C0393E">
        <w:rPr>
          <w:rFonts w:cs="Times New Roman"/>
        </w:rPr>
        <w:t>, using an average business-as-usual emissions of approx</w:t>
      </w:r>
      <w:r>
        <w:rPr>
          <w:rFonts w:cs="Times New Roman"/>
        </w:rPr>
        <w:t xml:space="preserve">imately </w:t>
      </w:r>
      <w:r w:rsidRPr="00C0393E">
        <w:rPr>
          <w:rFonts w:cs="Times New Roman"/>
        </w:rPr>
        <w:t>1.8 GtCO</w:t>
      </w:r>
      <w:r w:rsidRPr="00C0393E">
        <w:rPr>
          <w:rFonts w:cs="Times New Roman"/>
          <w:vertAlign w:val="subscript"/>
        </w:rPr>
        <w:t>2</w:t>
      </w:r>
      <w:r w:rsidRPr="00C0393E">
        <w:rPr>
          <w:rFonts w:cs="Times New Roman"/>
        </w:rPr>
        <w:t xml:space="preserve"> (Bouman et al. 2017). It is assumed that one-third of the potential is for biofuels, which are excluded here, as this is a separate category in this overview. The review study by </w:t>
      </w:r>
      <w:r w:rsidRPr="00C0393E">
        <w:rPr>
          <w:rFonts w:cs="Times New Roman"/>
        </w:rPr>
        <w:fldChar w:fldCharType="begin" w:fldLock="1"/>
      </w:r>
      <w:r w:rsidRPr="00C0393E">
        <w:rPr>
          <w:rFonts w:cs="Times New Roman"/>
        </w:rPr>
        <w:instrText>ADDIN CSL_CITATION {"citationItems":[{"id":"ITEM-1","itemData":{"DOI":"10.1016/j.trd.2017.03.022","ISSN":"1361-9209","abstract":"Abstract CO2 emissions from maritime transport represent around 3% of total annual anthropogenic greenhouse gas (GHG) emissions. These emissions are assumed to increase by 150–250% in 2050 in business-as-usual scenarios with a tripling of world trade, while achieving a 1.5–2°C climate target requires net zero GHG emissions across all economic sectors. Consequentially, the maritime sector is facing the challenge to significantly reduce its GHG emissions as contribution to the international ambition to limit the effects of climate change. This article presents the results of a review of around 150 studies, to provide a comprehensive overview of the CO2 emissions reduction potentials and measures published in literature. It aims to identify the most promising areas, i.e. technologies and operational practices, and quantify the combined mitigation potential. Results show a significant variation in reported CO2 reduction potentials across reviewed studies. In addition, no single measure is sufficient to achieve meaningful GHG reductions. Emissions can be reduced by more than 75%, based on current technologies and by 2050, through a combination of measures if policies and regulations are focused on achieving these reductions. In terms of emissions per freight unit transported, it is possible to reduce emissions by a factor of 4–6.","author":[{"dropping-particle":"","family":"Bouman","given":"Evert A.","non-dropping-particle":"","parse-names":false,"suffix":""},{"dropping-particle":"","family":"Lindstad","given":"Elizabeth","non-dropping-particle":"","parse-names":false,"suffix":""},{"dropping-particle":"","family":"Rialland","given":"Agathe I.","non-dropping-particle":"","parse-names":false,"suffix":""},{"dropping-particle":"","family":"Strømman","given":"Anders H.","non-dropping-particle":"","parse-names":false,"suffix":""}],"container-title":"Transportation Research Part D: Transport and Environment","id":"ITEM-1","issue":"Part A","issued":{"date-parts":[["2017","5"]]},"page":"408-421","title":"State-of-the-art technologies, measures, and potential for reducing GHG emissions from shipping – A review","translator":[{"dropping-particle":"","family":"D378","given":"","non-dropping-particle":"","parse-names":false,"suffix":""},{"dropping-particle":"","family":"D5312","given":"","non-dropping-particle":"","parse-names":false,"suffix":""}],"type":"article-journal","volume":"52"},"uris":["http://www.mendeley.com/documents/?uuid=c6cec84b-8ce4-437e-8c64-d8d588515a12"]}],"mendeley":{"formattedCitation":"(Bouman et al. 2017)","manualFormatting":"Bouman et al. (2017)","plainTextFormattedCitation":"(Bouman et al. 2017)","previouslyFormattedCitation":"(Bouman et al. 2017)"},"properties":{"noteIndex":0},"schema":"https://github.com/citation-style-language/schema/raw/master/csl-citation.json"}</w:instrText>
      </w:r>
      <w:r w:rsidRPr="00C0393E">
        <w:rPr>
          <w:rFonts w:cs="Times New Roman"/>
        </w:rPr>
        <w:fldChar w:fldCharType="separate"/>
      </w:r>
      <w:r w:rsidRPr="00C0393E">
        <w:rPr>
          <w:rFonts w:cs="Times New Roman"/>
          <w:noProof/>
        </w:rPr>
        <w:t>Bouman et al. (2017)</w:t>
      </w:r>
      <w:r w:rsidRPr="00C0393E">
        <w:rPr>
          <w:rFonts w:cs="Times New Roman"/>
        </w:rPr>
        <w:fldChar w:fldCharType="end"/>
      </w:r>
      <w:r w:rsidRPr="00C0393E">
        <w:rPr>
          <w:rFonts w:cs="Times New Roman"/>
        </w:rPr>
        <w:t xml:space="preserve"> quotes earlier studies “that it is possible to improve energy efficiency and reduce emissions in a cost effective manner, either with zero costs or with net cost savings”,</w:t>
      </w:r>
      <w:r>
        <w:rPr>
          <w:rFonts w:cs="Times New Roman"/>
        </w:rPr>
        <w:t xml:space="preserve"> and</w:t>
      </w:r>
      <w:r w:rsidRPr="00C0393E">
        <w:rPr>
          <w:rFonts w:cs="Times New Roman"/>
        </w:rPr>
        <w:t xml:space="preserve"> so it is assumed that the potential will </w:t>
      </w:r>
      <w:r>
        <w:rPr>
          <w:rFonts w:cs="Times New Roman"/>
        </w:rPr>
        <w:t xml:space="preserve">mostly </w:t>
      </w:r>
      <w:r w:rsidRPr="00C0393E">
        <w:rPr>
          <w:rFonts w:cs="Times New Roman"/>
        </w:rPr>
        <w:t xml:space="preserve">be in the below-zero cost bin. </w:t>
      </w:r>
    </w:p>
    <w:p w14:paraId="719DDF07" w14:textId="77777777" w:rsidR="00D275ED" w:rsidRDefault="00D275ED" w:rsidP="00D275ED">
      <w:pPr>
        <w:shd w:val="clear" w:color="auto" w:fill="FFFFFF" w:themeFill="background1"/>
        <w:rPr>
          <w:rFonts w:cs="Times New Roman"/>
        </w:rPr>
      </w:pPr>
      <w:r w:rsidRPr="00C0393E">
        <w:rPr>
          <w:rFonts w:cs="Times New Roman"/>
        </w:rPr>
        <w:fldChar w:fldCharType="begin" w:fldLock="1"/>
      </w:r>
      <w:r w:rsidRPr="00C0393E">
        <w:rPr>
          <w:rFonts w:cs="Times New Roman"/>
        </w:rPr>
        <w:instrText>ADDIN CSL_CITATION {"citationItems":[{"id":"ITEM-1","itemData":{"abstract":"Doubling renewables in the global energy mix by 2030 is not only feasible, but cheaper than not doing so. Economic savings would far exceed the costs. It would create more jobs, boost economic growth and save millions of lives annually through reduced air pollution. It would also, when coupled with greater energy efficiency, put the world on track to keep the rise of temperatures within 2°C, in line with the 2015 Paris Agreement. But to meet that goal, renewable energy deployment must happen six times faster than current rates.","author":[{"dropping-particle":"","family":"IRENA","given":"","non-dropping-particle":"","parse-names":false,"suffix":""}],"id":"ITEM-1","issued":{"date-parts":[["2016"]]},"number-of-pages":"170","publisher":"International Renewable Energy Agency (IRENA)","publisher-place":"Abu Dhabi, United Arab Emirates","title":"REmap: Roadmap for A Renewable Energy Future, 2016 edition","type":"report"},"uris":["http://www.mendeley.com/documents/?uuid=fafcae55-03c2-4898-bb73-9468dfa40b4c"]}],"mendeley":{"formattedCitation":"(IRENA 2016)","manualFormatting":"IRENA (2016)","plainTextFormattedCitation":"(IRENA 2016)","previouslyFormattedCitation":"(IRENA 2016)"},"properties":{"noteIndex":0},"schema":"https://github.com/citation-style-language/schema/raw/master/csl-citation.json"}</w:instrText>
      </w:r>
      <w:r w:rsidRPr="00C0393E">
        <w:rPr>
          <w:rFonts w:cs="Times New Roman"/>
        </w:rPr>
        <w:fldChar w:fldCharType="separate"/>
      </w:r>
      <w:r w:rsidRPr="00C0393E">
        <w:rPr>
          <w:rFonts w:cs="Times New Roman"/>
          <w:noProof/>
        </w:rPr>
        <w:t>IRENA (2016)</w:t>
      </w:r>
      <w:r w:rsidRPr="00C0393E">
        <w:rPr>
          <w:rFonts w:cs="Times New Roman"/>
        </w:rPr>
        <w:fldChar w:fldCharType="end"/>
      </w:r>
      <w:r w:rsidRPr="00C0393E">
        <w:rPr>
          <w:rFonts w:cs="Times New Roman"/>
        </w:rPr>
        <w:t xml:space="preserve"> estimate</w:t>
      </w:r>
      <w:r>
        <w:rPr>
          <w:rFonts w:cs="Times New Roman"/>
        </w:rPr>
        <w:t>s</w:t>
      </w:r>
      <w:r w:rsidRPr="00C0393E">
        <w:rPr>
          <w:rFonts w:cs="Times New Roman"/>
        </w:rPr>
        <w:t xml:space="preserve"> that 10% of the fuels for the transport sector can be </w:t>
      </w:r>
      <w:r>
        <w:rPr>
          <w:rFonts w:cs="Times New Roman"/>
        </w:rPr>
        <w:t xml:space="preserve">in the form of  </w:t>
      </w:r>
      <w:r w:rsidRPr="00C0393E">
        <w:rPr>
          <w:rFonts w:cs="Times New Roman"/>
        </w:rPr>
        <w:t>biofuels in 2030</w:t>
      </w:r>
      <w:r>
        <w:rPr>
          <w:rFonts w:cs="Times New Roman"/>
        </w:rPr>
        <w:t xml:space="preserve">. </w:t>
      </w:r>
      <w:r w:rsidRPr="00C0393E">
        <w:rPr>
          <w:rFonts w:cs="Times New Roman"/>
        </w:rPr>
        <w:t>For the calculation of avoided CO</w:t>
      </w:r>
      <w:r w:rsidRPr="00C0393E">
        <w:rPr>
          <w:rFonts w:cs="Times New Roman"/>
          <w:vertAlign w:val="subscript"/>
        </w:rPr>
        <w:t>2</w:t>
      </w:r>
      <w:r w:rsidRPr="00C0393E">
        <w:rPr>
          <w:rFonts w:cs="Times New Roman"/>
        </w:rPr>
        <w:t xml:space="preserve"> emissions, the </w:t>
      </w:r>
      <w:r>
        <w:rPr>
          <w:rFonts w:cs="Times New Roman"/>
        </w:rPr>
        <w:t xml:space="preserve">approach </w:t>
      </w:r>
      <w:r w:rsidRPr="00C0393E">
        <w:rPr>
          <w:rFonts w:cs="Times New Roman"/>
        </w:rPr>
        <w:t xml:space="preserve">in UNEP </w:t>
      </w:r>
      <w:r w:rsidRPr="00C0393E">
        <w:rPr>
          <w:rFonts w:cs="Times New Roman"/>
        </w:rPr>
        <w:fldChar w:fldCharType="begin" w:fldLock="1"/>
      </w:r>
      <w:r w:rsidRPr="00C0393E">
        <w:rPr>
          <w:rFonts w:cs="Times New Roman"/>
        </w:rPr>
        <w:instrText>ADDIN CSL_CITATION {"citationItems":[{"id":"ITEM-1","itemData":{"DOI":"10.18356/1cf881fb-en","ISBN":"9789210479691","author":[{"dropping-particle":"","family":"UNEP","given":"","non-dropping-particle":"","parse-names":false,"suffix":""}],"id":"ITEM-1","issued":{"date-parts":[["2017"]]},"number-of-pages":"112","publisher":"United Nations Environment Programme (UNEP)","publisher-place":"Nairobi, Kenya","title":"The Emissions Gap Report 2017","type":"book"},"suppress-author":1,"uris":["http://www.mendeley.com/documents/?uuid=83062ce1-ef24-4cfe-9862-8f6298c4efa2"]}],"mendeley":{"formattedCitation":"(2017)","plainTextFormattedCitation":"(2017)","previouslyFormattedCitation":"(2017)"},"properties":{"noteIndex":0},"schema":"https://github.com/citation-style-language/schema/raw/master/csl-citation.json"}</w:instrText>
      </w:r>
      <w:r w:rsidRPr="00C0393E">
        <w:rPr>
          <w:rFonts w:cs="Times New Roman"/>
        </w:rPr>
        <w:fldChar w:fldCharType="separate"/>
      </w:r>
      <w:r w:rsidRPr="00C0393E">
        <w:rPr>
          <w:rFonts w:cs="Times New Roman"/>
          <w:noProof/>
        </w:rPr>
        <w:t>(2017)</w:t>
      </w:r>
      <w:r w:rsidRPr="00C0393E">
        <w:rPr>
          <w:rFonts w:cs="Times New Roman"/>
        </w:rPr>
        <w:fldChar w:fldCharType="end"/>
      </w:r>
      <w:r w:rsidRPr="00C0393E">
        <w:rPr>
          <w:rFonts w:cs="Times New Roman"/>
        </w:rPr>
        <w:t xml:space="preserve"> is used. Mitigation costs for transportation biofuels are uncertain. </w:t>
      </w:r>
      <w:r>
        <w:rPr>
          <w:rFonts w:cs="Times New Roman"/>
        </w:rPr>
        <w:t>T</w:t>
      </w:r>
      <w:r w:rsidRPr="00C0393E">
        <w:rPr>
          <w:rFonts w:cs="Times New Roman"/>
        </w:rPr>
        <w:t xml:space="preserve">ransportation </w:t>
      </w:r>
      <w:r>
        <w:rPr>
          <w:rFonts w:cs="Times New Roman"/>
        </w:rPr>
        <w:t>biofuels</w:t>
      </w:r>
      <w:r w:rsidRPr="00C0393E">
        <w:rPr>
          <w:rFonts w:cs="Times New Roman"/>
        </w:rPr>
        <w:t xml:space="preserve"> are </w:t>
      </w:r>
      <w:r>
        <w:rPr>
          <w:rFonts w:cs="Times New Roman"/>
        </w:rPr>
        <w:t xml:space="preserve">currently </w:t>
      </w:r>
      <w:r w:rsidRPr="00C0393E">
        <w:rPr>
          <w:rFonts w:cs="Times New Roman"/>
        </w:rPr>
        <w:t xml:space="preserve">mostly </w:t>
      </w:r>
      <w:r>
        <w:rPr>
          <w:rFonts w:cs="Times New Roman"/>
        </w:rPr>
        <w:t xml:space="preserve">more expensive </w:t>
      </w:r>
      <w:r w:rsidRPr="00C0393E">
        <w:rPr>
          <w:rFonts w:cs="Times New Roman"/>
        </w:rPr>
        <w:t xml:space="preserve">than regular fuels, but they could </w:t>
      </w:r>
      <w:r>
        <w:rPr>
          <w:rFonts w:cs="Times New Roman"/>
        </w:rPr>
        <w:t xml:space="preserve">move </w:t>
      </w:r>
      <w:r w:rsidRPr="00C0393E">
        <w:rPr>
          <w:rFonts w:cs="Times New Roman"/>
        </w:rPr>
        <w:t>closer to parity with regular fuels, especially if next generation biofuels are applie</w:t>
      </w:r>
      <w:r>
        <w:rPr>
          <w:rFonts w:cs="Times New Roman"/>
        </w:rPr>
        <w:t xml:space="preserve">d </w:t>
      </w:r>
      <w:r>
        <w:rPr>
          <w:rFonts w:cs="Times New Roman"/>
        </w:rPr>
        <w:fldChar w:fldCharType="begin" w:fldLock="1"/>
      </w:r>
      <w:r>
        <w:rPr>
          <w:rFonts w:cs="Times New Roman"/>
        </w:rPr>
        <w:instrText>ADDIN CSL_CITATION {"citationItems":[{"id":"ITEM-1","itemData":{"DOI":"10.1186/s13068-017-0722-3","ISSN":"1754-6834","abstract":"Ethanol production from lignocellulosic feedstocks (also known as 2nd generation or 2G ethanol process) presents a great potential for reducing both ethanol production costs and climate change impacts since agricultural residues and dedicated energy crops are used as feedstock. This study aimed at the quantification of the economic and environmental impacts considering the current and future scenarios of sugarcane biorefineries taking into account not only the improvements of the industrial process but also of biomass production systems. Technology assumptions and scenarios setup were supported by main companies and stakeholders, involved in the lignocellulosic ethanol production chain from Brazil and abroad. For instance, scenarios considered higher efficiencies and lower residence times for pretreatment, enzymatic hydrolysis, and fermentation (including pentoses fermentation); higher sugarcane yields; and introduction of energy cane (a high fiber variety of cane).","author":[{"dropping-particle":"","family":"Junqueira","given":"Tassia L","non-dropping-particle":"","parse-names":false,"suffix":""},{"dropping-particle":"","family":"Chagas","given":"Mateus F","non-dropping-particle":"","parse-names":false,"suffix":""},{"dropping-particle":"","family":"Gouveia","given":"Vera L R","non-dropping-particle":"","parse-names":false,"suffix":""},{"dropping-particle":"","family":"Rezende","given":"Mylene C A F","non-dropping-particle":"","parse-names":false,"suffix":""},{"dropping-particle":"","family":"Watanabe","given":"Marcos D B","non-dropping-particle":"","parse-names":false,"suffix":""},{"dropping-particle":"","family":"Jesus","given":"Charles D F","non-dropping-particle":"","parse-names":false,"suffix":""},{"dropping-particle":"","family":"Cavalett","given":"Otavio","non-dropping-particle":"","parse-names":false,"suffix":""},{"dropping-particle":"","family":"Milanez","given":"Artur Y","non-dropping-particle":"","parse-names":false,"suffix":""},{"dropping-particle":"","family":"Bonomi","given":"Antonio","non-dropping-particle":"","parse-names":false,"suffix":""}],"container-title":"Biotechnology for Biofuels","id":"ITEM-1","issue":"1","issued":{"date-parts":[["2017"]]},"page":"50","title":"Techno-economic analysis and climate change impacts of sugarcane biorefineries considering different time horizons","type":"article-journal","volume":"10"},"uris":["http://www.mendeley.com/documents/?uuid=7788989f-be80-4a30-a8ac-84965b86071f"]},{"id":"ITEM-2","itemData":{"author":[{"dropping-particle":"","family":"IEA Bioenergy","given":"","non-dropping-particle":"","parse-names":false,"suffix":""}],"id":"ITEM-2","issued":{"date-parts":[["2020"]]},"number-of-pages":"88","title":"Advanced Biofuels - Potential for Cost Reduction","type":"report"},"uris":["http://www.mendeley.com/documents/?uuid=323b9be5-2c5a-41ad-a55b-196da1dbdbe4"]}],"mendeley":{"formattedCitation":"(Junqueira et al. 2017; IEA Bioenergy 2020)","plainTextFormattedCitation":"(Junqueira et al. 2017; IEA Bioenergy 2020)","previouslyFormattedCitation":"(Junqueira et al. 2017; IEA Bioenergy 2020)"},"properties":{"noteIndex":0},"schema":"https://github.com/citation-style-language/schema/raw/master/csl-citation.json"}</w:instrText>
      </w:r>
      <w:r>
        <w:rPr>
          <w:rFonts w:cs="Times New Roman"/>
        </w:rPr>
        <w:fldChar w:fldCharType="separate"/>
      </w:r>
      <w:r w:rsidRPr="00700160">
        <w:rPr>
          <w:rFonts w:cs="Times New Roman"/>
          <w:noProof/>
        </w:rPr>
        <w:t>(Junqueira et al. 2017; IEA Bioenergy 2020)</w:t>
      </w:r>
      <w:r>
        <w:rPr>
          <w:rFonts w:cs="Times New Roman"/>
        </w:rPr>
        <w:fldChar w:fldCharType="end"/>
      </w:r>
      <w:r w:rsidRPr="00C0393E">
        <w:rPr>
          <w:rFonts w:cs="Times New Roman"/>
        </w:rPr>
        <w:t>. Given this uncertainty, it can be expected that costs will end up in the range of 0</w:t>
      </w:r>
      <w:r>
        <w:rPr>
          <w:rFonts w:cs="Times New Roman"/>
        </w:rPr>
        <w:t xml:space="preserve"> to </w:t>
      </w:r>
      <w:r w:rsidRPr="00C0393E">
        <w:rPr>
          <w:rFonts w:cs="Times New Roman"/>
        </w:rPr>
        <w:t>100 USD tCO</w:t>
      </w:r>
      <w:r w:rsidRPr="00C0393E">
        <w:rPr>
          <w:rFonts w:cs="Times New Roman"/>
          <w:vertAlign w:val="subscript"/>
        </w:rPr>
        <w:t>2</w:t>
      </w:r>
      <w:r w:rsidRPr="00C0393E">
        <w:rPr>
          <w:rFonts w:cs="Times New Roman"/>
        </w:rPr>
        <w:t>eq</w:t>
      </w:r>
      <w:r w:rsidRPr="00C0393E">
        <w:rPr>
          <w:rFonts w:cs="Times New Roman"/>
          <w:vertAlign w:val="superscript"/>
        </w:rPr>
        <w:t>-1</w:t>
      </w:r>
      <w:r w:rsidRPr="00C0393E">
        <w:rPr>
          <w:rFonts w:cs="Times New Roman"/>
        </w:rPr>
        <w:t xml:space="preserve">, </w:t>
      </w:r>
      <w:r>
        <w:rPr>
          <w:rFonts w:cs="Times New Roman"/>
        </w:rPr>
        <w:t>although</w:t>
      </w:r>
      <w:r w:rsidRPr="00C0393E">
        <w:rPr>
          <w:rFonts w:cs="Times New Roman"/>
        </w:rPr>
        <w:t xml:space="preserve"> the distribution over the cost bins is uncertain.</w:t>
      </w:r>
    </w:p>
    <w:p w14:paraId="5081F598" w14:textId="77777777" w:rsidR="00D275ED" w:rsidRPr="00C0393E" w:rsidRDefault="00D275ED" w:rsidP="00D275ED">
      <w:pPr>
        <w:shd w:val="clear" w:color="auto" w:fill="FFFFFF" w:themeFill="background1"/>
        <w:rPr>
          <w:rFonts w:cs="Times New Roman"/>
        </w:rPr>
      </w:pPr>
    </w:p>
    <w:p w14:paraId="24B7B158" w14:textId="77777777" w:rsidR="00D275ED" w:rsidRPr="00B41D4E" w:rsidRDefault="00D275ED" w:rsidP="00D275ED">
      <w:pPr>
        <w:rPr>
          <w:rFonts w:cs="Times New Roman"/>
          <w:b/>
          <w:i/>
        </w:rPr>
      </w:pPr>
      <w:r w:rsidRPr="00B41D4E">
        <w:rPr>
          <w:rFonts w:cs="Times New Roman"/>
          <w:b/>
          <w:i/>
        </w:rPr>
        <w:t>Industry</w:t>
      </w:r>
    </w:p>
    <w:p w14:paraId="361B50BD" w14:textId="77777777" w:rsidR="00D275ED" w:rsidRPr="00471DA5" w:rsidRDefault="00D275ED" w:rsidP="00D275ED">
      <w:pPr>
        <w:rPr>
          <w:rFonts w:cs="Times New Roman"/>
        </w:rPr>
      </w:pPr>
      <w:r w:rsidRPr="00471DA5">
        <w:rPr>
          <w:rFonts w:cs="Times New Roman"/>
        </w:rPr>
        <w:lastRenderedPageBreak/>
        <w:t xml:space="preserve">The data for </w:t>
      </w:r>
      <w:r>
        <w:rPr>
          <w:rFonts w:cs="Times New Roman"/>
        </w:rPr>
        <w:t>i</w:t>
      </w:r>
      <w:r w:rsidRPr="00471DA5">
        <w:rPr>
          <w:rFonts w:cs="Times New Roman"/>
        </w:rPr>
        <w:t xml:space="preserve">ndustry were </w:t>
      </w:r>
      <w:r>
        <w:rPr>
          <w:rFonts w:cs="Times New Roman"/>
        </w:rPr>
        <w:t>obtained from Chapter 11</w:t>
      </w:r>
      <w:r w:rsidRPr="00471DA5">
        <w:rPr>
          <w:rFonts w:cs="Times New Roman"/>
        </w:rPr>
        <w:t xml:space="preserve">. The </w:t>
      </w:r>
      <w:r>
        <w:rPr>
          <w:rFonts w:cs="Times New Roman"/>
        </w:rPr>
        <w:t xml:space="preserve">reference </w:t>
      </w:r>
      <w:r w:rsidRPr="00471DA5">
        <w:rPr>
          <w:rFonts w:cs="Times New Roman"/>
        </w:rPr>
        <w:t>shows an increase in CO</w:t>
      </w:r>
      <w:r w:rsidRPr="00471DA5">
        <w:rPr>
          <w:rFonts w:cs="Times New Roman"/>
          <w:vertAlign w:val="subscript"/>
        </w:rPr>
        <w:t>2</w:t>
      </w:r>
      <w:r w:rsidRPr="00471DA5">
        <w:rPr>
          <w:rFonts w:cs="Times New Roman"/>
        </w:rPr>
        <w:t xml:space="preserve"> emissions from 2017 to 2030 of 28%. For comparison, industrial final energy use increases by 24% in the Current Policies scenario of the World Energy Outlook 2019 </w:t>
      </w:r>
      <w:r w:rsidRPr="00471DA5">
        <w:rPr>
          <w:rFonts w:cs="Times New Roman"/>
        </w:rPr>
        <w:fldChar w:fldCharType="begin" w:fldLock="1"/>
      </w:r>
      <w:r>
        <w:rPr>
          <w:rFonts w:cs="Times New Roman"/>
        </w:rPr>
        <w:instrText>ADDIN CSL_CITATION {"citationItems":[{"id":"ITEM-1","itemData":{"ISBN":"978-92-64-97300-8","author":[{"dropping-particle":"","family":"IEA","given":"","non-dropping-particle":"","parse-names":false,"suffix":""}],"id":"ITEM-1","issued":{"date-parts":[["2019"]]},"number-of-pages":"810","publisher":"International Energy Agency (IEA)","publisher-place":"Paris, France","title":"World Energy Outlook 2019","type":"report"},"uris":["http://www.mendeley.com/documents/?uuid=92b03938-9a89-4f14-9b82-53e78b794766"]}],"mendeley":{"formattedCitation":"(IEA 2019b)","plainTextFormattedCitation":"(IEA 2019b)","previouslyFormattedCitation":"(IEA 2019b)"},"properties":{"noteIndex":0},"schema":"https://github.com/citation-style-language/schema/raw/master/csl-citation.json"}</w:instrText>
      </w:r>
      <w:r w:rsidRPr="00471DA5">
        <w:rPr>
          <w:rFonts w:cs="Times New Roman"/>
        </w:rPr>
        <w:fldChar w:fldCharType="separate"/>
      </w:r>
      <w:r w:rsidRPr="008E7893">
        <w:rPr>
          <w:rFonts w:cs="Times New Roman"/>
          <w:noProof/>
        </w:rPr>
        <w:t>(IEA 2019b)</w:t>
      </w:r>
      <w:r w:rsidRPr="00471DA5">
        <w:rPr>
          <w:rFonts w:cs="Times New Roman"/>
        </w:rPr>
        <w:fldChar w:fldCharType="end"/>
      </w:r>
      <w:r w:rsidRPr="00471DA5">
        <w:rPr>
          <w:rFonts w:cs="Times New Roman"/>
        </w:rPr>
        <w:t xml:space="preserve"> (no data on CO</w:t>
      </w:r>
      <w:r w:rsidRPr="00471DA5">
        <w:rPr>
          <w:rFonts w:cs="Times New Roman"/>
          <w:vertAlign w:val="subscript"/>
        </w:rPr>
        <w:t>2</w:t>
      </w:r>
      <w:r w:rsidRPr="00471DA5">
        <w:rPr>
          <w:rFonts w:cs="Times New Roman"/>
        </w:rPr>
        <w:t xml:space="preserve"> emissions </w:t>
      </w:r>
      <w:r>
        <w:rPr>
          <w:rFonts w:cs="Times New Roman"/>
        </w:rPr>
        <w:t xml:space="preserve">is </w:t>
      </w:r>
      <w:r w:rsidRPr="00471DA5">
        <w:rPr>
          <w:rFonts w:cs="Times New Roman"/>
        </w:rPr>
        <w:t xml:space="preserve">available for </w:t>
      </w:r>
      <w:r>
        <w:rPr>
          <w:rFonts w:cs="Times New Roman"/>
        </w:rPr>
        <w:t>the World Energy Outlook scenario</w:t>
      </w:r>
      <w:r w:rsidRPr="00471DA5">
        <w:rPr>
          <w:rFonts w:cs="Times New Roman"/>
        </w:rPr>
        <w:t xml:space="preserve">). This suggests that the Chapter 11 </w:t>
      </w:r>
      <w:r>
        <w:rPr>
          <w:rFonts w:cs="Times New Roman"/>
        </w:rPr>
        <w:t>reference</w:t>
      </w:r>
      <w:r w:rsidRPr="00471DA5">
        <w:rPr>
          <w:rFonts w:cs="Times New Roman"/>
        </w:rPr>
        <w:t xml:space="preserve"> emissions are slightly higher than in the World Energy Outlook (assuming no major fuel shifts in the Current Policies scenario).</w:t>
      </w:r>
    </w:p>
    <w:p w14:paraId="50F53F59" w14:textId="77777777" w:rsidR="00D275ED" w:rsidRPr="00B41D4E" w:rsidRDefault="00D275ED" w:rsidP="00D275ED">
      <w:pPr>
        <w:rPr>
          <w:rFonts w:cs="Times New Roman"/>
          <w:i/>
        </w:rPr>
      </w:pPr>
    </w:p>
    <w:p w14:paraId="6B8C0741" w14:textId="77777777" w:rsidR="00D275ED" w:rsidRPr="00B41D4E" w:rsidRDefault="00D275ED" w:rsidP="00D275ED">
      <w:pPr>
        <w:shd w:val="clear" w:color="auto" w:fill="FFFFFF" w:themeFill="background1"/>
        <w:rPr>
          <w:rFonts w:cs="Times New Roman"/>
          <w:b/>
          <w:i/>
        </w:rPr>
      </w:pPr>
      <w:r w:rsidRPr="00B41D4E">
        <w:rPr>
          <w:rFonts w:cs="Times New Roman"/>
          <w:b/>
          <w:i/>
        </w:rPr>
        <w:t>Fluorinated gases</w:t>
      </w:r>
    </w:p>
    <w:p w14:paraId="75FF4537" w14:textId="77777777" w:rsidR="00D275ED" w:rsidRDefault="00D275ED" w:rsidP="00D275ED">
      <w:pPr>
        <w:shd w:val="clear" w:color="auto" w:fill="FFFFFF" w:themeFill="background1"/>
        <w:rPr>
          <w:rFonts w:cs="Times New Roman"/>
        </w:rPr>
      </w:pPr>
      <w:r w:rsidRPr="00471DA5">
        <w:rPr>
          <w:rFonts w:cs="Times New Roman"/>
        </w:rPr>
        <w:t xml:space="preserve">Data for </w:t>
      </w:r>
      <w:r>
        <w:rPr>
          <w:rFonts w:cs="Times New Roman"/>
        </w:rPr>
        <w:t xml:space="preserve">fluorinated gas </w:t>
      </w:r>
      <w:r w:rsidRPr="00471DA5">
        <w:rPr>
          <w:rFonts w:cs="Times New Roman"/>
        </w:rPr>
        <w:t>emission reduction</w:t>
      </w:r>
      <w:r>
        <w:rPr>
          <w:rFonts w:cs="Times New Roman"/>
        </w:rPr>
        <w:t>s</w:t>
      </w:r>
      <w:r w:rsidRPr="00471DA5">
        <w:rPr>
          <w:rFonts w:cs="Times New Roman"/>
        </w:rPr>
        <w:t xml:space="preserve"> were taken from</w:t>
      </w:r>
      <w:r>
        <w:rPr>
          <w:rFonts w:cs="Times New Roman"/>
        </w:rPr>
        <w:t xml:space="preserve"> three sources. Data from IIASA are taken directly from </w:t>
      </w:r>
      <w:r w:rsidRPr="00471DA5">
        <w:rPr>
          <w:rFonts w:cs="Times New Roman"/>
        </w:rPr>
        <w:fldChar w:fldCharType="begin" w:fldLock="1"/>
      </w:r>
      <w:r>
        <w:rPr>
          <w:rFonts w:cs="Times New Roman"/>
        </w:rPr>
        <w:instrText>ADDIN CSL_CITATION {"citationItems":[{"id":"ITEM-1","itemData":{"DOI":"10.5194/acp-17-2795-2017","ISSN":"1680-7324","abstract":"Abstract. This study uses the GAINS model framework to estimate current and future emissions of fluorinated greenhouse gases (F-gases), their abatement potentials, and costs for twenty source sectors and 162 countries and regions, which are aggregated to produce global estimates. Global F-gas (HFCs, PFCs, and SF6) emissions are estimated at 0.7 Pg CO2 eq. in 2005 with an expected increase to 3.7 Pg CO2 eq. in 2050 if application of control technology remains at the current level. There are extensive opportunities to reduce emissions using existing technology and alternative substances with low global warming potential. Estimates show that it would be technically feasible to reduce cumulative F-gas emissions from 81 to 11 Pg CO2 eq. between 2018 and 2050. A reduction in cumulative emissions to 23 Pg CO2 eq. is estimated to be possible at a marginal abatement cost below 10 EUR t−1 CO2 eq. We also find that future F-gas abatement is expected to become relatively more costly for developing than developed countries due to differences in the sector contribution to emissions and abatement potentials.","author":[{"dropping-particle":"","family":"Purohit","given":"Pallav","non-dropping-particle":"","parse-names":false,"suffix":""},{"dropping-particle":"","family":"Höglund-Isaksson","given":"Lena","non-dropping-particle":"","parse-names":false,"suffix":""}],"container-title":"Atmospheric Chemistry and Physics","id":"ITEM-1","issue":"4","issued":{"date-parts":[["2017","2"]]},"page":"2795-2816","publisher":"Copernicus GmbH","title":"Global emissions of fluorinated greenhouse gases 2005–2050 with abatement potentials and costs","type":"article-journal","volume":"17"},"uris":["http://www.mendeley.com/documents/?uuid=85b151d0-bc91-4e01-8a62-1a78b321acd5"]}],"mendeley":{"formattedCitation":"(Purohit and Höglund-Isaksson 2017)","manualFormatting":"Purohit and Höglund-Isaksson (2017)","plainTextFormattedCitation":"(Purohit and Höglund-Isaksson 2017)","previouslyFormattedCitation":"(Purohit and Höglund-Isaksson 2017)"},"properties":{"noteIndex":0},"schema":"https://github.com/citation-style-language/schema/raw/master/csl-citation.json"}</w:instrText>
      </w:r>
      <w:r w:rsidRPr="00471DA5">
        <w:rPr>
          <w:rFonts w:cs="Times New Roman"/>
        </w:rPr>
        <w:fldChar w:fldCharType="separate"/>
      </w:r>
      <w:r w:rsidRPr="00471DA5">
        <w:rPr>
          <w:rFonts w:cs="Times New Roman"/>
          <w:noProof/>
        </w:rPr>
        <w:t>Purohit and Höglund-Isaksson (2017)</w:t>
      </w:r>
      <w:r w:rsidRPr="00471DA5">
        <w:rPr>
          <w:rFonts w:cs="Times New Roman"/>
        </w:rPr>
        <w:fldChar w:fldCharType="end"/>
      </w:r>
      <w:r>
        <w:rPr>
          <w:rFonts w:cs="Times New Roman"/>
        </w:rPr>
        <w:t xml:space="preserve">. The analysis by the United States Environmental Protection Agency is reported in </w:t>
      </w:r>
      <w:r>
        <w:rPr>
          <w:rFonts w:cs="Times New Roman"/>
        </w:rPr>
        <w:fldChar w:fldCharType="begin" w:fldLock="1"/>
      </w:r>
      <w:r>
        <w:rPr>
          <w:rFonts w:cs="Times New Roman"/>
        </w:rPr>
        <w:instrText>ADDIN CSL_CITATION {"citationItems":[{"id":"ITEM-1","itemData":{"author":[{"dropping-particle":"","family":"US EPA","given":"","non-dropping-particle":"","parse-names":false,"suffix":""}],"id":"ITEM-1","issued":{"date-parts":[["2019"]]},"number-of-pages":"78","publisher":"United States Environmental Protection Agency","publisher-place":"Washingto, D.C.","title":"Global Non-CO2 Greenhouse Gas Emission Projections &amp; Mitigation 2015-2050","type":"report"},"uris":["http://www.mendeley.com/documents/?uuid=1da2de30-7085-4dd4-86a2-81223848d606"]}],"mendeley":{"formattedCitation":"(US EPA 2019)","manualFormatting":"US EPA (2019)","plainTextFormattedCitation":"(US EPA 2019)","previouslyFormattedCitation":"(US EPA 2019)"},"properties":{"noteIndex":0},"schema":"https://github.com/citation-style-language/schema/raw/master/csl-citation.json"}</w:instrText>
      </w:r>
      <w:r>
        <w:rPr>
          <w:rFonts w:cs="Times New Roman"/>
        </w:rPr>
        <w:fldChar w:fldCharType="separate"/>
      </w:r>
      <w:r w:rsidRPr="00883625">
        <w:rPr>
          <w:rFonts w:cs="Times New Roman"/>
          <w:noProof/>
        </w:rPr>
        <w:t>US EPA (2019)</w:t>
      </w:r>
      <w:r>
        <w:rPr>
          <w:rFonts w:cs="Times New Roman"/>
        </w:rPr>
        <w:fldChar w:fldCharType="end"/>
      </w:r>
      <w:r>
        <w:rPr>
          <w:rFonts w:cs="Times New Roman"/>
        </w:rPr>
        <w:t>. Data were downloaded via the Non-CO</w:t>
      </w:r>
      <w:r w:rsidRPr="006E42BB">
        <w:rPr>
          <w:rFonts w:cs="Times New Roman"/>
          <w:vertAlign w:val="subscript"/>
        </w:rPr>
        <w:t>2</w:t>
      </w:r>
      <w:r>
        <w:rPr>
          <w:rFonts w:cs="Times New Roman"/>
        </w:rPr>
        <w:t xml:space="preserve"> Greenhouse Gas Data Tool </w:t>
      </w:r>
      <w:r>
        <w:rPr>
          <w:rFonts w:cs="Times New Roman"/>
        </w:rPr>
        <w:fldChar w:fldCharType="begin" w:fldLock="1"/>
      </w:r>
      <w:r>
        <w:rPr>
          <w:rFonts w:cs="Times New Roman"/>
        </w:rPr>
        <w:instrText>ADDIN CSL_CITATION {"citationItems":[{"id":"ITEM-1","itemData":{"URL":"https://cfpub.epa.gov/ghgdata/nonco2/","abstract":"A data exploration tool for viewing non-CO2 GHG projections and mitigation assessments as compiled in the EPA Global Mitigation of Non-CO2 Greenhouse Gases (EPA 2013) and Global Anthropogenic Non-CO2 Greenhouse Gas Emissions (EPA 2019) Reports","accessed":{"date-parts":[["2021","9","20"]]},"author":[{"dropping-particle":"","family":"US EPA","given":"","non-dropping-particle":"","parse-names":false,"suffix":""}],"id":"ITEM-1","issued":{"date-parts":[["2021"]]},"publisher":"United States Environmental Protection Agency","title":"Non-CO2 Greenhouse Gas Data Tool","type":"webpage"},"uris":["http://www.mendeley.com/documents/?uuid=866bb2dd-fc0c-4fb1-9dc2-a8d58f5a2592"]}],"mendeley":{"formattedCitation":"(US EPA 2021)","plainTextFormattedCitation":"(US EPA 2021)","previouslyFormattedCitation":"(US EPA 2021)"},"properties":{"noteIndex":0},"schema":"https://github.com/citation-style-language/schema/raw/master/csl-citation.json"}</w:instrText>
      </w:r>
      <w:r>
        <w:rPr>
          <w:rFonts w:cs="Times New Roman"/>
        </w:rPr>
        <w:fldChar w:fldCharType="separate"/>
      </w:r>
      <w:r w:rsidRPr="008D6A25">
        <w:rPr>
          <w:rFonts w:cs="Times New Roman"/>
          <w:noProof/>
        </w:rPr>
        <w:t>(US EPA 2021)</w:t>
      </w:r>
      <w:r>
        <w:rPr>
          <w:rFonts w:cs="Times New Roman"/>
        </w:rPr>
        <w:fldChar w:fldCharType="end"/>
      </w:r>
      <w:r>
        <w:rPr>
          <w:rFonts w:cs="Times New Roman"/>
        </w:rPr>
        <w:t xml:space="preserve">, which provides cumulative cost data, which were subsequently organized in cost bins. The analysis by the Netherlands Environmental Assessment Agency PBL is reported in </w:t>
      </w:r>
      <w:r>
        <w:rPr>
          <w:rFonts w:cs="Times New Roman"/>
        </w:rPr>
        <w:fldChar w:fldCharType="begin" w:fldLock="1"/>
      </w:r>
      <w:r>
        <w:rPr>
          <w:rFonts w:cs="Times New Roman"/>
        </w:rPr>
        <w:instrText>ADDIN CSL_CITATION {"citationItems":[{"id":"ITEM-1","itemData":{"DOI":"10.1016/j.envsci.2019.05.013","ISSN":"1462-9011","abstract":"This study presents a new comprehensive set of long-term Marginal Abatement Cost (MAC) curves of all major non-CO2 greenhouse gas emission sources. The work builds on existing short-term MAC curve datasets and recent literature on individual mitigation measures. The new MAC curves include current technology and costs information as well as estimates of technology development and removal of implementation barriers to capture long-term dynamics. Compared to earlier work, we find a higher projected maximum reduction potential (MRP) of nitrous oxide (N2O) and a lower MRP of methane (CH4). The combined MRP for all non-CO2 gases is similar but has been extended to also capture mitigation measures that can be realized at higher implementation costs. When applying the new MAC curves in a cost-optimal, integrated assessment model-based 2.6 W/m2 scenario, the total non-CO2 mitigation is projected to be 10.9 Mt CO2 equivalents in 2050 (i.e. 58% reduction compared to baseline emissions) and 15.6 Mt CO2equivalents in 2100 (i.e. a 71% reduction). In applying the new MAC curves, we account for inertia in thline implementation speed of mitigation measures. Although this does not strongly impact results in an optimal strategy, it means that the contribution of non-CO2 mitigation could be more limited if ambitious climate policy is delayed.","author":[{"dropping-particle":"","family":"Harmsen","given":"J H M","non-dropping-particle":"","parse-names":false,"suffix":""},{"dropping-particle":"","family":"Vuuren","given":"Detlef P","non-dropping-particle":"van","parse-names":false,"suffix":""},{"dropping-particle":"","family":"Nayak","given":"Dali R","non-dropping-particle":"","parse-names":false,"suffix":""},{"dropping-particle":"","family":"Hof","given":"Andries F","non-dropping-particle":"","parse-names":false,"suffix":""},{"dropping-particle":"","family":"Höglund-Isaksson","given":"Lena","non-dropping-particle":"","parse-names":false,"suffix":""},{"dropping-particle":"","family":"Lucas","given":"Paul L","non-dropping-particle":"","parse-names":false,"suffix":""},{"dropping-particle":"","family":"Nielsen","given":"Jens B","non-dropping-particle":"","parse-names":false,"suffix":""},{"dropping-particle":"","family":"Smith","given":"Pete","non-dropping-particle":"","parse-names":false,"suffix":""},{"dropping-particle":"","family":"Stehfest","given":"Elke","non-dropping-particle":"","parse-names":false,"suffix":""}],"container-title":"Environmental Science &amp; Policy","id":"ITEM-1","issued":{"date-parts":[["2019"]]},"page":"136-149","title":"Long-term marginal abatement cost curves of non-CO2 greenhouse gases","type":"article-journal","volume":"99"},"uris":["http://www.mendeley.com/documents/?uuid=c2b11225-0552-4bcf-b09c-8ae79fbc23fb"]}],"mendeley":{"formattedCitation":"(Harmsen et al. 2019a)","plainTextFormattedCitation":"(Harmsen et al. 2019a)","previouslyFormattedCitation":"(Harmsen et al. 2019a)"},"properties":{"noteIndex":0},"schema":"https://github.com/citation-style-language/schema/raw/master/csl-citation.json"}</w:instrText>
      </w:r>
      <w:r>
        <w:rPr>
          <w:rFonts w:cs="Times New Roman"/>
        </w:rPr>
        <w:fldChar w:fldCharType="separate"/>
      </w:r>
      <w:r w:rsidRPr="005C4128">
        <w:rPr>
          <w:rFonts w:cs="Times New Roman"/>
          <w:noProof/>
        </w:rPr>
        <w:t>(Harmsen et al. 2019a)</w:t>
      </w:r>
      <w:r>
        <w:rPr>
          <w:rFonts w:cs="Times New Roman"/>
        </w:rPr>
        <w:fldChar w:fldCharType="end"/>
      </w:r>
      <w:r>
        <w:rPr>
          <w:rFonts w:cs="Times New Roman"/>
        </w:rPr>
        <w:t xml:space="preserve">, Data were provided by Mr. Mathijs Harmsen in Excel format (1 Feb. 2021), see also </w:t>
      </w:r>
      <w:r>
        <w:rPr>
          <w:rFonts w:cs="Times New Roman"/>
        </w:rPr>
        <w:fldChar w:fldCharType="begin" w:fldLock="1"/>
      </w:r>
      <w:r>
        <w:rPr>
          <w:rFonts w:cs="Times New Roman"/>
        </w:rPr>
        <w:instrText>ADDIN CSL_CITATION {"citationItems":[{"id":"ITEM-1","itemData":{"DOI":"10.1016/j.dib.2019.104334","ISSN":"2352-3409","abstract":"This dataset represents long-term marginal abatement cost (MAC) curves of all major emission sources of non-CO2 greenhouse gases (GHGs); methane (CH4), nitrous oxide (N2O) and fluorinated gases (HFCs, PFCs and SF6). The work is based on existing short-term MAC curve datasets and recent literature on individual mitigation measures. The data represent a comprehensive set of MAC curves, covering all major non-CO2 emission sources for 26 aggregated world regions. They are suitable for long-term global mitigation scenario development, as dynamical elements (technological progress, removal of implementation barriers) are included. The data is related to the research article: “Long-term marginal abatement cost curves of non-CO2 greenhouse gases” [1].","author":[{"dropping-particle":"","family":"Harmsen","given":"Mathijs J H M","non-dropping-particle":"","parse-names":false,"suffix":""},{"dropping-particle":"","family":"Vuuren","given":"Detlef P","non-dropping-particle":"van","parse-names":false,"suffix":""},{"dropping-particle":"","family":"Nayak","given":"Dali R","non-dropping-particle":"","parse-names":false,"suffix":""},{"dropping-particle":"","family":"Hof","given":"Andries F","non-dropping-particle":"","parse-names":false,"suffix":""},{"dropping-particle":"","family":"Höglund-Isaksson","given":"Lena","non-dropping-particle":"","parse-names":false,"suffix":""},{"dropping-particle":"","family":"Lucas","given":"Paul L","non-dropping-particle":"","parse-names":false,"suffix":""},{"dropping-particle":"","family":"Nielsen","given":"Jens B","non-dropping-particle":"","parse-names":false,"suffix":""},{"dropping-particle":"","family":"Smith","given":"Pete","non-dropping-particle":"","parse-names":false,"suffix":""},{"dropping-particle":"","family":"Stehfest","given":"Elke","non-dropping-particle":"","parse-names":false,"suffix":""}],"container-title":"Data in Brief","id":"ITEM-1","issued":{"date-parts":[["2019"]]},"page":"104334","title":"Data for long-term marginal abatement cost curves of non-CO2 greenhouse gases","type":"article-journal","volume":"25"},"uris":["http://www.mendeley.com/documents/?uuid=f2f1d08e-cb0b-4794-970d-99c947af020e"]}],"mendeley":{"formattedCitation":"(Harmsen et al. 2019b)","plainTextFormattedCitation":"(Harmsen et al. 2019b)","previouslyFormattedCitation":"(Harmsen et al. 2019b)"},"properties":{"noteIndex":0},"schema":"https://github.com/citation-style-language/schema/raw/master/csl-citation.json"}</w:instrText>
      </w:r>
      <w:r>
        <w:rPr>
          <w:rFonts w:cs="Times New Roman"/>
        </w:rPr>
        <w:fldChar w:fldCharType="separate"/>
      </w:r>
      <w:r w:rsidRPr="00033F66">
        <w:rPr>
          <w:rFonts w:cs="Times New Roman"/>
          <w:noProof/>
        </w:rPr>
        <w:t>(Harmsen et al. 2019b)</w:t>
      </w:r>
      <w:r>
        <w:rPr>
          <w:rFonts w:cs="Times New Roman"/>
        </w:rPr>
        <w:fldChar w:fldCharType="end"/>
      </w:r>
      <w:r>
        <w:rPr>
          <w:rFonts w:cs="Times New Roman"/>
        </w:rPr>
        <w:t>. Cumulative relative emission reductions were provided. The emission reduction potentials for the various gases were summed together and subsequently organised in cost bins.</w:t>
      </w:r>
    </w:p>
    <w:p w14:paraId="5D0F51E1" w14:textId="77777777" w:rsidR="00D275ED" w:rsidRPr="00FF450A" w:rsidRDefault="00D275ED" w:rsidP="00D275ED">
      <w:pPr>
        <w:shd w:val="clear" w:color="auto" w:fill="FFFFFF" w:themeFill="background1"/>
        <w:rPr>
          <w:rFonts w:cs="Times New Roman"/>
        </w:rPr>
      </w:pPr>
      <w:r>
        <w:rPr>
          <w:rFonts w:cs="Times New Roman"/>
        </w:rPr>
        <w:t xml:space="preserve">The results are presented in Table SM 12.A.2. There are notable differences between the sources in mitigation potentials. There is, however, a fair agreement that most of the potential appears in the lower cost ranges. </w:t>
      </w:r>
      <w:r w:rsidRPr="00FF450A">
        <w:rPr>
          <w:rFonts w:cs="Times New Roman"/>
        </w:rPr>
        <w:t>In th</w:t>
      </w:r>
      <w:r>
        <w:rPr>
          <w:rFonts w:cs="Times New Roman"/>
        </w:rPr>
        <w:t>e</w:t>
      </w:r>
      <w:r w:rsidRPr="00FF450A">
        <w:rPr>
          <w:rFonts w:cs="Times New Roman"/>
        </w:rPr>
        <w:t xml:space="preserve"> table, a ‘best estimate’ per cost bin is </w:t>
      </w:r>
      <w:r>
        <w:rPr>
          <w:rFonts w:cs="Times New Roman"/>
        </w:rPr>
        <w:t xml:space="preserve">also </w:t>
      </w:r>
      <w:r w:rsidRPr="00FF450A">
        <w:rPr>
          <w:rFonts w:cs="Times New Roman"/>
        </w:rPr>
        <w:t>presented</w:t>
      </w:r>
      <w:r>
        <w:rPr>
          <w:rFonts w:cs="Times New Roman"/>
        </w:rPr>
        <w:t>, using an average value per cost bin</w:t>
      </w:r>
      <w:r w:rsidRPr="00FF450A">
        <w:rPr>
          <w:rFonts w:cs="Times New Roman"/>
        </w:rPr>
        <w:t>. For the ‘less than zero’ cost bin</w:t>
      </w:r>
      <w:r>
        <w:rPr>
          <w:rFonts w:cs="Times New Roman"/>
        </w:rPr>
        <w:t>,</w:t>
      </w:r>
      <w:r w:rsidRPr="00FF450A">
        <w:rPr>
          <w:rFonts w:cs="Times New Roman"/>
        </w:rPr>
        <w:t xml:space="preserve"> data from PBL were not taken into account as these potentials are already included in the baseline.</w:t>
      </w:r>
      <w:r>
        <w:rPr>
          <w:rFonts w:cs="Times New Roman"/>
        </w:rPr>
        <w:t xml:space="preserve"> The uncertainty ranges are determined by the lowest and highest value per cost bin. Cumulative uncertainty ranges are based on cumulative values and are, in relative terms, substantially smaller. </w:t>
      </w:r>
    </w:p>
    <w:p w14:paraId="2FC50B2B" w14:textId="77777777" w:rsidR="00D275ED" w:rsidRDefault="00D275ED" w:rsidP="00D275ED">
      <w:pPr>
        <w:shd w:val="clear" w:color="auto" w:fill="FFFFFF" w:themeFill="background1"/>
        <w:rPr>
          <w:rFonts w:cs="Times New Roman"/>
        </w:rPr>
      </w:pPr>
    </w:p>
    <w:p w14:paraId="354A2FB6" w14:textId="77777777" w:rsidR="00D275ED" w:rsidRDefault="00D275ED" w:rsidP="00D275ED">
      <w:pPr>
        <w:pStyle w:val="TableFigurecaption"/>
        <w:rPr>
          <w:rFonts w:cs="Times New Roman"/>
        </w:rPr>
      </w:pPr>
      <w:r w:rsidRPr="00021982">
        <w:t>Table SM 12.A.</w:t>
      </w:r>
      <w:r>
        <w:t>2:</w:t>
      </w:r>
      <w:r w:rsidRPr="00021982">
        <w:t xml:space="preserve"> Methane mitigation potentials for </w:t>
      </w:r>
      <w:r>
        <w:t xml:space="preserve">fluorinated gases for 2030 </w:t>
      </w:r>
      <w:r w:rsidRPr="00021982">
        <w:t xml:space="preserve">from </w:t>
      </w:r>
      <w:r>
        <w:t>three</w:t>
      </w:r>
      <w:r w:rsidRPr="00021982">
        <w:t xml:space="preserve"> different sources. For comparison, the reference emissions are </w:t>
      </w:r>
      <w:r>
        <w:t xml:space="preserve">also </w:t>
      </w:r>
      <w:r w:rsidRPr="00021982">
        <w:t xml:space="preserve">given. </w:t>
      </w:r>
      <w:r>
        <w:t>A ‘best estimate’ per source is given in italics. Sources: see text.</w:t>
      </w:r>
      <w:r>
        <w:rPr>
          <w:rFonts w:cs="Times New Roman"/>
        </w:rPr>
        <w:t xml:space="preserve"> </w:t>
      </w:r>
    </w:p>
    <w:tbl>
      <w:tblPr>
        <w:tblStyle w:val="TableGrid"/>
        <w:tblW w:w="92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960"/>
        <w:gridCol w:w="960"/>
        <w:gridCol w:w="960"/>
        <w:gridCol w:w="960"/>
        <w:gridCol w:w="960"/>
        <w:gridCol w:w="960"/>
        <w:gridCol w:w="1389"/>
      </w:tblGrid>
      <w:tr w:rsidR="00D275ED" w:rsidRPr="009A6A53" w14:paraId="61643C4D" w14:textId="77777777" w:rsidTr="00856A06">
        <w:trPr>
          <w:trHeight w:val="432"/>
        </w:trPr>
        <w:tc>
          <w:tcPr>
            <w:tcW w:w="2060" w:type="dxa"/>
            <w:vMerge w:val="restart"/>
            <w:tcBorders>
              <w:top w:val="single" w:sz="4" w:space="0" w:color="auto"/>
              <w:bottom w:val="single" w:sz="4" w:space="0" w:color="auto"/>
            </w:tcBorders>
            <w:noWrap/>
          </w:tcPr>
          <w:p w14:paraId="7A1530B5" w14:textId="77777777" w:rsidR="00D275ED" w:rsidRPr="00E41EA6" w:rsidRDefault="00D275ED" w:rsidP="00856A06">
            <w:pPr>
              <w:pStyle w:val="Tabletext"/>
              <w:jc w:val="center"/>
              <w:rPr>
                <w:lang w:eastAsia="nl-NL"/>
              </w:rPr>
            </w:pPr>
            <w:r w:rsidRPr="00E41EA6">
              <w:rPr>
                <w:lang w:eastAsia="nl-NL"/>
              </w:rPr>
              <w:t>Data source</w:t>
            </w:r>
          </w:p>
        </w:tc>
        <w:tc>
          <w:tcPr>
            <w:tcW w:w="5760" w:type="dxa"/>
            <w:gridSpan w:val="6"/>
            <w:tcBorders>
              <w:top w:val="single" w:sz="4" w:space="0" w:color="auto"/>
              <w:bottom w:val="nil"/>
            </w:tcBorders>
            <w:noWrap/>
          </w:tcPr>
          <w:p w14:paraId="19FA768F" w14:textId="77777777" w:rsidR="00D275ED" w:rsidRPr="00E41EA6" w:rsidRDefault="00D275ED" w:rsidP="00856A06">
            <w:pPr>
              <w:pStyle w:val="Tabletext"/>
              <w:jc w:val="center"/>
              <w:rPr>
                <w:lang w:eastAsia="nl-NL"/>
              </w:rPr>
            </w:pPr>
            <w:r w:rsidRPr="00E41EA6">
              <w:rPr>
                <w:lang w:eastAsia="nl-NL"/>
              </w:rPr>
              <w:t>Cost ranges (USD tCO</w:t>
            </w:r>
            <w:r w:rsidRPr="00E41EA6">
              <w:rPr>
                <w:vertAlign w:val="subscript"/>
                <w:lang w:eastAsia="nl-NL"/>
              </w:rPr>
              <w:t>2</w:t>
            </w:r>
            <w:r w:rsidRPr="00E41EA6">
              <w:rPr>
                <w:lang w:eastAsia="nl-NL"/>
              </w:rPr>
              <w:t>-eq</w:t>
            </w:r>
            <w:r w:rsidRPr="00E41EA6">
              <w:rPr>
                <w:vertAlign w:val="superscript"/>
                <w:lang w:eastAsia="nl-NL"/>
              </w:rPr>
              <w:t>-1</w:t>
            </w:r>
            <w:r w:rsidRPr="00E41EA6">
              <w:rPr>
                <w:lang w:eastAsia="nl-NL"/>
              </w:rPr>
              <w:t>)</w:t>
            </w:r>
          </w:p>
        </w:tc>
        <w:tc>
          <w:tcPr>
            <w:tcW w:w="1389" w:type="dxa"/>
            <w:vMerge w:val="restart"/>
            <w:tcBorders>
              <w:top w:val="single" w:sz="4" w:space="0" w:color="auto"/>
              <w:bottom w:val="nil"/>
            </w:tcBorders>
          </w:tcPr>
          <w:p w14:paraId="38A30785" w14:textId="77777777" w:rsidR="00D275ED" w:rsidRPr="00E41EA6" w:rsidRDefault="00D275ED" w:rsidP="00856A06">
            <w:pPr>
              <w:pStyle w:val="Tabletext"/>
              <w:jc w:val="center"/>
              <w:rPr>
                <w:lang w:eastAsia="nl-NL"/>
              </w:rPr>
            </w:pPr>
            <w:r w:rsidRPr="00E41EA6">
              <w:rPr>
                <w:lang w:eastAsia="nl-NL"/>
              </w:rPr>
              <w:t>Total emission reduction potential (GtCO</w:t>
            </w:r>
            <w:r w:rsidRPr="00E41EA6">
              <w:rPr>
                <w:vertAlign w:val="subscript"/>
                <w:lang w:eastAsia="nl-NL"/>
              </w:rPr>
              <w:t>2</w:t>
            </w:r>
            <w:r>
              <w:rPr>
                <w:lang w:eastAsia="nl-NL"/>
              </w:rPr>
              <w:t>-eq</w:t>
            </w:r>
            <w:r w:rsidRPr="00E41EA6">
              <w:rPr>
                <w:lang w:eastAsia="nl-NL"/>
              </w:rPr>
              <w:t>)</w:t>
            </w:r>
          </w:p>
        </w:tc>
      </w:tr>
      <w:tr w:rsidR="00D275ED" w:rsidRPr="009A6A53" w14:paraId="6D541234" w14:textId="77777777" w:rsidTr="00856A06">
        <w:trPr>
          <w:trHeight w:val="432"/>
        </w:trPr>
        <w:tc>
          <w:tcPr>
            <w:tcW w:w="2060" w:type="dxa"/>
            <w:vMerge/>
            <w:tcBorders>
              <w:top w:val="nil"/>
              <w:bottom w:val="single" w:sz="4" w:space="0" w:color="auto"/>
            </w:tcBorders>
            <w:noWrap/>
            <w:hideMark/>
          </w:tcPr>
          <w:p w14:paraId="5D6A3EA5" w14:textId="77777777" w:rsidR="00D275ED" w:rsidRPr="00E41EA6" w:rsidRDefault="00D275ED" w:rsidP="00856A06">
            <w:pPr>
              <w:pStyle w:val="Tabletext"/>
              <w:jc w:val="center"/>
              <w:rPr>
                <w:lang w:eastAsia="nl-NL"/>
              </w:rPr>
            </w:pPr>
          </w:p>
        </w:tc>
        <w:tc>
          <w:tcPr>
            <w:tcW w:w="960" w:type="dxa"/>
            <w:tcBorders>
              <w:top w:val="nil"/>
              <w:bottom w:val="single" w:sz="4" w:space="0" w:color="auto"/>
            </w:tcBorders>
            <w:noWrap/>
            <w:hideMark/>
          </w:tcPr>
          <w:p w14:paraId="4FF236A1" w14:textId="77777777" w:rsidR="00D275ED" w:rsidRPr="00E41EA6" w:rsidRDefault="00D275ED" w:rsidP="00856A06">
            <w:pPr>
              <w:pStyle w:val="Tabletext"/>
              <w:jc w:val="center"/>
              <w:rPr>
                <w:lang w:eastAsia="nl-NL"/>
              </w:rPr>
            </w:pPr>
            <w:r w:rsidRPr="00E41EA6">
              <w:rPr>
                <w:lang w:eastAsia="nl-NL"/>
              </w:rPr>
              <w:t>&lt;0</w:t>
            </w:r>
          </w:p>
        </w:tc>
        <w:tc>
          <w:tcPr>
            <w:tcW w:w="960" w:type="dxa"/>
            <w:tcBorders>
              <w:top w:val="nil"/>
              <w:bottom w:val="single" w:sz="4" w:space="0" w:color="auto"/>
            </w:tcBorders>
            <w:noWrap/>
            <w:hideMark/>
          </w:tcPr>
          <w:p w14:paraId="1A268D8A" w14:textId="77777777" w:rsidR="00D275ED" w:rsidRPr="00E41EA6" w:rsidRDefault="00D275ED" w:rsidP="00856A06">
            <w:pPr>
              <w:pStyle w:val="Tabletext"/>
              <w:jc w:val="center"/>
              <w:rPr>
                <w:lang w:eastAsia="nl-NL"/>
              </w:rPr>
            </w:pPr>
            <w:r w:rsidRPr="00E41EA6">
              <w:rPr>
                <w:lang w:eastAsia="nl-NL"/>
              </w:rPr>
              <w:t>0–20</w:t>
            </w:r>
          </w:p>
        </w:tc>
        <w:tc>
          <w:tcPr>
            <w:tcW w:w="960" w:type="dxa"/>
            <w:tcBorders>
              <w:top w:val="nil"/>
              <w:bottom w:val="single" w:sz="4" w:space="0" w:color="auto"/>
            </w:tcBorders>
            <w:noWrap/>
            <w:hideMark/>
          </w:tcPr>
          <w:p w14:paraId="5410B2CF" w14:textId="77777777" w:rsidR="00D275ED" w:rsidRPr="00E41EA6" w:rsidRDefault="00D275ED" w:rsidP="00856A06">
            <w:pPr>
              <w:pStyle w:val="Tabletext"/>
              <w:jc w:val="center"/>
              <w:rPr>
                <w:lang w:eastAsia="nl-NL"/>
              </w:rPr>
            </w:pPr>
            <w:r w:rsidRPr="00E41EA6">
              <w:rPr>
                <w:lang w:eastAsia="nl-NL"/>
              </w:rPr>
              <w:t>20–50</w:t>
            </w:r>
          </w:p>
        </w:tc>
        <w:tc>
          <w:tcPr>
            <w:tcW w:w="960" w:type="dxa"/>
            <w:tcBorders>
              <w:top w:val="nil"/>
              <w:bottom w:val="single" w:sz="4" w:space="0" w:color="auto"/>
            </w:tcBorders>
            <w:noWrap/>
            <w:hideMark/>
          </w:tcPr>
          <w:p w14:paraId="1FA89A93" w14:textId="77777777" w:rsidR="00D275ED" w:rsidRPr="00E41EA6" w:rsidRDefault="00D275ED" w:rsidP="00856A06">
            <w:pPr>
              <w:pStyle w:val="Tabletext"/>
              <w:jc w:val="center"/>
              <w:rPr>
                <w:lang w:eastAsia="nl-NL"/>
              </w:rPr>
            </w:pPr>
            <w:r w:rsidRPr="00E41EA6">
              <w:rPr>
                <w:lang w:eastAsia="nl-NL"/>
              </w:rPr>
              <w:t>50–100</w:t>
            </w:r>
          </w:p>
        </w:tc>
        <w:tc>
          <w:tcPr>
            <w:tcW w:w="960" w:type="dxa"/>
            <w:tcBorders>
              <w:top w:val="nil"/>
              <w:bottom w:val="single" w:sz="4" w:space="0" w:color="auto"/>
            </w:tcBorders>
            <w:noWrap/>
            <w:hideMark/>
          </w:tcPr>
          <w:p w14:paraId="223EB80B" w14:textId="77777777" w:rsidR="00D275ED" w:rsidRPr="00E41EA6" w:rsidRDefault="00D275ED" w:rsidP="00856A06">
            <w:pPr>
              <w:pStyle w:val="Tabletext"/>
              <w:jc w:val="center"/>
              <w:rPr>
                <w:lang w:eastAsia="nl-NL"/>
              </w:rPr>
            </w:pPr>
            <w:r w:rsidRPr="00E41EA6">
              <w:rPr>
                <w:lang w:eastAsia="nl-NL"/>
              </w:rPr>
              <w:t>100–200</w:t>
            </w:r>
          </w:p>
        </w:tc>
        <w:tc>
          <w:tcPr>
            <w:tcW w:w="960" w:type="dxa"/>
            <w:tcBorders>
              <w:top w:val="nil"/>
              <w:bottom w:val="single" w:sz="4" w:space="0" w:color="auto"/>
            </w:tcBorders>
            <w:noWrap/>
            <w:hideMark/>
          </w:tcPr>
          <w:p w14:paraId="5B275224" w14:textId="77777777" w:rsidR="00D275ED" w:rsidRPr="00E41EA6" w:rsidRDefault="00D275ED" w:rsidP="00856A06">
            <w:pPr>
              <w:pStyle w:val="Tabletext"/>
              <w:jc w:val="center"/>
              <w:rPr>
                <w:lang w:eastAsia="nl-NL"/>
              </w:rPr>
            </w:pPr>
            <w:r w:rsidRPr="00E41EA6">
              <w:rPr>
                <w:lang w:eastAsia="nl-NL"/>
              </w:rPr>
              <w:t>&gt;200</w:t>
            </w:r>
          </w:p>
        </w:tc>
        <w:tc>
          <w:tcPr>
            <w:tcW w:w="1389" w:type="dxa"/>
            <w:vMerge/>
            <w:tcBorders>
              <w:top w:val="nil"/>
              <w:bottom w:val="single" w:sz="4" w:space="0" w:color="auto"/>
            </w:tcBorders>
          </w:tcPr>
          <w:p w14:paraId="0E87083F" w14:textId="77777777" w:rsidR="00D275ED" w:rsidRPr="00E41EA6" w:rsidRDefault="00D275ED" w:rsidP="00856A06">
            <w:pPr>
              <w:pStyle w:val="Tabletext"/>
              <w:jc w:val="center"/>
              <w:rPr>
                <w:lang w:eastAsia="nl-NL"/>
              </w:rPr>
            </w:pPr>
          </w:p>
        </w:tc>
      </w:tr>
      <w:tr w:rsidR="00D275ED" w:rsidRPr="009A6A53" w14:paraId="6736E32A" w14:textId="77777777" w:rsidTr="00856A06">
        <w:trPr>
          <w:trHeight w:val="288"/>
        </w:trPr>
        <w:tc>
          <w:tcPr>
            <w:tcW w:w="2060" w:type="dxa"/>
            <w:tcBorders>
              <w:top w:val="single" w:sz="4" w:space="0" w:color="auto"/>
            </w:tcBorders>
            <w:noWrap/>
            <w:hideMark/>
          </w:tcPr>
          <w:p w14:paraId="4D4B535E" w14:textId="77777777" w:rsidR="00D275ED" w:rsidRPr="00E41EA6" w:rsidRDefault="00D275ED" w:rsidP="00856A06">
            <w:pPr>
              <w:pStyle w:val="Tabletext"/>
              <w:jc w:val="left"/>
              <w:rPr>
                <w:lang w:eastAsia="nl-NL"/>
              </w:rPr>
            </w:pPr>
            <w:r w:rsidRPr="00E41EA6">
              <w:rPr>
                <w:lang w:eastAsia="nl-NL"/>
              </w:rPr>
              <w:t>IIASA</w:t>
            </w:r>
          </w:p>
        </w:tc>
        <w:tc>
          <w:tcPr>
            <w:tcW w:w="960" w:type="dxa"/>
            <w:tcBorders>
              <w:top w:val="single" w:sz="4" w:space="0" w:color="auto"/>
            </w:tcBorders>
            <w:noWrap/>
            <w:hideMark/>
          </w:tcPr>
          <w:p w14:paraId="5DCA2E5D" w14:textId="77777777" w:rsidR="00D275ED" w:rsidRPr="00E41EA6" w:rsidRDefault="00D275ED" w:rsidP="00856A06">
            <w:pPr>
              <w:pStyle w:val="Tabletext"/>
              <w:jc w:val="center"/>
              <w:rPr>
                <w:lang w:eastAsia="nl-NL"/>
              </w:rPr>
            </w:pPr>
            <w:r w:rsidRPr="00E41EA6">
              <w:rPr>
                <w:lang w:eastAsia="nl-NL"/>
              </w:rPr>
              <w:t>0.50</w:t>
            </w:r>
          </w:p>
        </w:tc>
        <w:tc>
          <w:tcPr>
            <w:tcW w:w="960" w:type="dxa"/>
            <w:tcBorders>
              <w:top w:val="single" w:sz="4" w:space="0" w:color="auto"/>
            </w:tcBorders>
            <w:noWrap/>
            <w:hideMark/>
          </w:tcPr>
          <w:p w14:paraId="3061913C" w14:textId="77777777" w:rsidR="00D275ED" w:rsidRPr="00E41EA6" w:rsidRDefault="00D275ED" w:rsidP="00856A06">
            <w:pPr>
              <w:pStyle w:val="Tabletext"/>
              <w:jc w:val="center"/>
              <w:rPr>
                <w:lang w:val="nl-NL" w:eastAsia="nl-NL"/>
              </w:rPr>
            </w:pPr>
            <w:r w:rsidRPr="00E41EA6">
              <w:rPr>
                <w:lang w:eastAsia="nl-NL"/>
              </w:rPr>
              <w:t>0.9</w:t>
            </w:r>
            <w:r w:rsidRPr="00E41EA6">
              <w:rPr>
                <w:lang w:val="nl-NL" w:eastAsia="nl-NL"/>
              </w:rPr>
              <w:t>0</w:t>
            </w:r>
          </w:p>
        </w:tc>
        <w:tc>
          <w:tcPr>
            <w:tcW w:w="960" w:type="dxa"/>
            <w:tcBorders>
              <w:top w:val="single" w:sz="4" w:space="0" w:color="auto"/>
            </w:tcBorders>
            <w:noWrap/>
            <w:hideMark/>
          </w:tcPr>
          <w:p w14:paraId="2A0D7068" w14:textId="77777777" w:rsidR="00D275ED" w:rsidRPr="00E41EA6" w:rsidRDefault="00D275ED" w:rsidP="00856A06">
            <w:pPr>
              <w:pStyle w:val="Tabletext"/>
              <w:jc w:val="center"/>
              <w:rPr>
                <w:lang w:val="nl-NL" w:eastAsia="nl-NL"/>
              </w:rPr>
            </w:pPr>
            <w:r w:rsidRPr="00E41EA6">
              <w:rPr>
                <w:lang w:val="nl-NL" w:eastAsia="nl-NL"/>
              </w:rPr>
              <w:t>0.10</w:t>
            </w:r>
          </w:p>
        </w:tc>
        <w:tc>
          <w:tcPr>
            <w:tcW w:w="960" w:type="dxa"/>
            <w:tcBorders>
              <w:top w:val="single" w:sz="4" w:space="0" w:color="auto"/>
            </w:tcBorders>
            <w:noWrap/>
            <w:hideMark/>
          </w:tcPr>
          <w:p w14:paraId="609E15CE" w14:textId="77777777" w:rsidR="00D275ED" w:rsidRPr="00E41EA6" w:rsidRDefault="00D275ED" w:rsidP="00856A06">
            <w:pPr>
              <w:pStyle w:val="Tabletext"/>
              <w:jc w:val="center"/>
              <w:rPr>
                <w:lang w:val="nl-NL" w:eastAsia="nl-NL"/>
              </w:rPr>
            </w:pPr>
            <w:r w:rsidRPr="00E41EA6">
              <w:rPr>
                <w:lang w:val="nl-NL" w:eastAsia="nl-NL"/>
              </w:rPr>
              <w:t>0.00</w:t>
            </w:r>
          </w:p>
        </w:tc>
        <w:tc>
          <w:tcPr>
            <w:tcW w:w="960" w:type="dxa"/>
            <w:tcBorders>
              <w:top w:val="single" w:sz="4" w:space="0" w:color="auto"/>
            </w:tcBorders>
            <w:noWrap/>
            <w:hideMark/>
          </w:tcPr>
          <w:p w14:paraId="2BB75960" w14:textId="77777777" w:rsidR="00D275ED" w:rsidRPr="00E41EA6" w:rsidRDefault="00D275ED" w:rsidP="00856A06">
            <w:pPr>
              <w:pStyle w:val="Tabletext"/>
              <w:jc w:val="center"/>
              <w:rPr>
                <w:lang w:val="nl-NL" w:eastAsia="nl-NL"/>
              </w:rPr>
            </w:pPr>
            <w:r w:rsidRPr="00E41EA6">
              <w:rPr>
                <w:lang w:val="nl-NL" w:eastAsia="nl-NL"/>
              </w:rPr>
              <w:t>0.00</w:t>
            </w:r>
          </w:p>
        </w:tc>
        <w:tc>
          <w:tcPr>
            <w:tcW w:w="960" w:type="dxa"/>
            <w:tcBorders>
              <w:top w:val="single" w:sz="4" w:space="0" w:color="auto"/>
            </w:tcBorders>
            <w:noWrap/>
            <w:hideMark/>
          </w:tcPr>
          <w:p w14:paraId="33EC940A" w14:textId="77777777" w:rsidR="00D275ED" w:rsidRPr="00E41EA6" w:rsidRDefault="00D275ED" w:rsidP="00856A06">
            <w:pPr>
              <w:pStyle w:val="Tabletext"/>
              <w:jc w:val="center"/>
              <w:rPr>
                <w:lang w:val="nl-NL" w:eastAsia="nl-NL"/>
              </w:rPr>
            </w:pPr>
            <w:r w:rsidRPr="00E41EA6">
              <w:rPr>
                <w:lang w:val="nl-NL" w:eastAsia="nl-NL"/>
              </w:rPr>
              <w:t>0.00</w:t>
            </w:r>
          </w:p>
        </w:tc>
        <w:tc>
          <w:tcPr>
            <w:tcW w:w="1389" w:type="dxa"/>
            <w:tcBorders>
              <w:top w:val="single" w:sz="4" w:space="0" w:color="auto"/>
            </w:tcBorders>
          </w:tcPr>
          <w:p w14:paraId="15F80725" w14:textId="77777777" w:rsidR="00D275ED" w:rsidRPr="00E41EA6" w:rsidRDefault="00D275ED" w:rsidP="00856A06">
            <w:pPr>
              <w:pStyle w:val="Tabletext"/>
              <w:jc w:val="center"/>
              <w:rPr>
                <w:lang w:val="nl-NL" w:eastAsia="nl-NL"/>
              </w:rPr>
            </w:pPr>
            <w:r w:rsidRPr="00E41EA6">
              <w:rPr>
                <w:lang w:val="nl-NL" w:eastAsia="nl-NL"/>
              </w:rPr>
              <w:t>1.50</w:t>
            </w:r>
          </w:p>
        </w:tc>
      </w:tr>
      <w:tr w:rsidR="00D275ED" w:rsidRPr="009A6A53" w14:paraId="40768082" w14:textId="77777777" w:rsidTr="00856A06">
        <w:trPr>
          <w:trHeight w:val="288"/>
        </w:trPr>
        <w:tc>
          <w:tcPr>
            <w:tcW w:w="2060" w:type="dxa"/>
            <w:noWrap/>
            <w:hideMark/>
          </w:tcPr>
          <w:p w14:paraId="3FB5C276" w14:textId="77777777" w:rsidR="00D275ED" w:rsidRPr="00E41EA6" w:rsidRDefault="00D275ED" w:rsidP="00856A06">
            <w:pPr>
              <w:pStyle w:val="Tabletext"/>
              <w:jc w:val="left"/>
              <w:rPr>
                <w:lang w:val="nl-NL" w:eastAsia="nl-NL"/>
              </w:rPr>
            </w:pPr>
            <w:r w:rsidRPr="00E41EA6">
              <w:rPr>
                <w:lang w:val="nl-NL" w:eastAsia="nl-NL"/>
              </w:rPr>
              <w:t>EPA</w:t>
            </w:r>
          </w:p>
        </w:tc>
        <w:tc>
          <w:tcPr>
            <w:tcW w:w="960" w:type="dxa"/>
            <w:noWrap/>
            <w:hideMark/>
          </w:tcPr>
          <w:p w14:paraId="3AF1FA8A" w14:textId="77777777" w:rsidR="00D275ED" w:rsidRPr="00E41EA6" w:rsidRDefault="00D275ED" w:rsidP="00856A06">
            <w:pPr>
              <w:pStyle w:val="Tabletext"/>
              <w:jc w:val="center"/>
              <w:rPr>
                <w:lang w:val="nl-NL" w:eastAsia="nl-NL"/>
              </w:rPr>
            </w:pPr>
            <w:r w:rsidRPr="00E41EA6">
              <w:rPr>
                <w:lang w:val="nl-NL" w:eastAsia="nl-NL"/>
              </w:rPr>
              <w:t>0.01</w:t>
            </w:r>
          </w:p>
        </w:tc>
        <w:tc>
          <w:tcPr>
            <w:tcW w:w="960" w:type="dxa"/>
            <w:noWrap/>
            <w:hideMark/>
          </w:tcPr>
          <w:p w14:paraId="70255985" w14:textId="77777777" w:rsidR="00D275ED" w:rsidRPr="00E41EA6" w:rsidRDefault="00D275ED" w:rsidP="00856A06">
            <w:pPr>
              <w:pStyle w:val="Tabletext"/>
              <w:jc w:val="center"/>
              <w:rPr>
                <w:lang w:val="nl-NL" w:eastAsia="nl-NL"/>
              </w:rPr>
            </w:pPr>
            <w:r w:rsidRPr="00E41EA6">
              <w:rPr>
                <w:lang w:val="nl-NL" w:eastAsia="nl-NL"/>
              </w:rPr>
              <w:t>0.55</w:t>
            </w:r>
          </w:p>
        </w:tc>
        <w:tc>
          <w:tcPr>
            <w:tcW w:w="960" w:type="dxa"/>
            <w:noWrap/>
            <w:hideMark/>
          </w:tcPr>
          <w:p w14:paraId="63E837E7" w14:textId="77777777" w:rsidR="00D275ED" w:rsidRPr="00E41EA6" w:rsidRDefault="00D275ED" w:rsidP="00856A06">
            <w:pPr>
              <w:pStyle w:val="Tabletext"/>
              <w:jc w:val="center"/>
              <w:rPr>
                <w:lang w:val="nl-NL" w:eastAsia="nl-NL"/>
              </w:rPr>
            </w:pPr>
            <w:r w:rsidRPr="00E41EA6">
              <w:rPr>
                <w:lang w:val="nl-NL" w:eastAsia="nl-NL"/>
              </w:rPr>
              <w:t>0.01</w:t>
            </w:r>
          </w:p>
        </w:tc>
        <w:tc>
          <w:tcPr>
            <w:tcW w:w="960" w:type="dxa"/>
            <w:noWrap/>
            <w:hideMark/>
          </w:tcPr>
          <w:p w14:paraId="5EB58B08" w14:textId="77777777" w:rsidR="00D275ED" w:rsidRPr="00E41EA6" w:rsidRDefault="00D275ED" w:rsidP="00856A06">
            <w:pPr>
              <w:pStyle w:val="Tabletext"/>
              <w:jc w:val="center"/>
              <w:rPr>
                <w:lang w:val="nl-NL" w:eastAsia="nl-NL"/>
              </w:rPr>
            </w:pPr>
            <w:r w:rsidRPr="00E41EA6">
              <w:rPr>
                <w:lang w:val="nl-NL" w:eastAsia="nl-NL"/>
              </w:rPr>
              <w:t>0.07</w:t>
            </w:r>
          </w:p>
        </w:tc>
        <w:tc>
          <w:tcPr>
            <w:tcW w:w="960" w:type="dxa"/>
            <w:noWrap/>
            <w:hideMark/>
          </w:tcPr>
          <w:p w14:paraId="75A3A43E" w14:textId="77777777" w:rsidR="00D275ED" w:rsidRPr="00E41EA6" w:rsidRDefault="00D275ED" w:rsidP="00856A06">
            <w:pPr>
              <w:pStyle w:val="Tabletext"/>
              <w:jc w:val="center"/>
              <w:rPr>
                <w:lang w:val="nl-NL" w:eastAsia="nl-NL"/>
              </w:rPr>
            </w:pPr>
            <w:r w:rsidRPr="00E41EA6">
              <w:rPr>
                <w:lang w:val="nl-NL" w:eastAsia="nl-NL"/>
              </w:rPr>
              <w:t>0.05</w:t>
            </w:r>
          </w:p>
        </w:tc>
        <w:tc>
          <w:tcPr>
            <w:tcW w:w="960" w:type="dxa"/>
            <w:noWrap/>
            <w:hideMark/>
          </w:tcPr>
          <w:p w14:paraId="21E0E5C5" w14:textId="77777777" w:rsidR="00D275ED" w:rsidRPr="00E41EA6" w:rsidRDefault="00D275ED" w:rsidP="00856A06">
            <w:pPr>
              <w:pStyle w:val="Tabletext"/>
              <w:jc w:val="center"/>
              <w:rPr>
                <w:lang w:val="nl-NL" w:eastAsia="nl-NL"/>
              </w:rPr>
            </w:pPr>
            <w:r w:rsidRPr="00E41EA6">
              <w:rPr>
                <w:lang w:val="nl-NL" w:eastAsia="nl-NL"/>
              </w:rPr>
              <w:t>0.00</w:t>
            </w:r>
          </w:p>
        </w:tc>
        <w:tc>
          <w:tcPr>
            <w:tcW w:w="1389" w:type="dxa"/>
          </w:tcPr>
          <w:p w14:paraId="4BDB8B29" w14:textId="77777777" w:rsidR="00D275ED" w:rsidRPr="00E41EA6" w:rsidRDefault="00D275ED" w:rsidP="00856A06">
            <w:pPr>
              <w:pStyle w:val="Tabletext"/>
              <w:jc w:val="center"/>
              <w:rPr>
                <w:lang w:val="nl-NL" w:eastAsia="nl-NL"/>
              </w:rPr>
            </w:pPr>
            <w:r w:rsidRPr="00E41EA6">
              <w:rPr>
                <w:lang w:val="nl-NL" w:eastAsia="nl-NL"/>
              </w:rPr>
              <w:t>0.70</w:t>
            </w:r>
          </w:p>
        </w:tc>
      </w:tr>
      <w:tr w:rsidR="00D275ED" w:rsidRPr="009A6A53" w14:paraId="4179E710" w14:textId="77777777" w:rsidTr="00856A06">
        <w:trPr>
          <w:trHeight w:val="288"/>
        </w:trPr>
        <w:tc>
          <w:tcPr>
            <w:tcW w:w="2060" w:type="dxa"/>
            <w:noWrap/>
            <w:hideMark/>
          </w:tcPr>
          <w:p w14:paraId="1D2CC230" w14:textId="77777777" w:rsidR="00D275ED" w:rsidRPr="00E41EA6" w:rsidRDefault="00D275ED" w:rsidP="00856A06">
            <w:pPr>
              <w:pStyle w:val="Tabletext"/>
              <w:jc w:val="left"/>
              <w:rPr>
                <w:lang w:val="nl-NL" w:eastAsia="nl-NL"/>
              </w:rPr>
            </w:pPr>
            <w:r w:rsidRPr="00E41EA6">
              <w:rPr>
                <w:lang w:val="nl-NL" w:eastAsia="nl-NL"/>
              </w:rPr>
              <w:t>PBL</w:t>
            </w:r>
          </w:p>
        </w:tc>
        <w:tc>
          <w:tcPr>
            <w:tcW w:w="960" w:type="dxa"/>
            <w:noWrap/>
            <w:hideMark/>
          </w:tcPr>
          <w:p w14:paraId="59225F70" w14:textId="77777777" w:rsidR="00D275ED" w:rsidRPr="00E41EA6" w:rsidRDefault="00D275ED" w:rsidP="00856A06">
            <w:pPr>
              <w:pStyle w:val="Tabletext"/>
              <w:jc w:val="center"/>
              <w:rPr>
                <w:lang w:val="nl-NL" w:eastAsia="nl-NL"/>
              </w:rPr>
            </w:pPr>
          </w:p>
        </w:tc>
        <w:tc>
          <w:tcPr>
            <w:tcW w:w="960" w:type="dxa"/>
            <w:noWrap/>
            <w:hideMark/>
          </w:tcPr>
          <w:p w14:paraId="16B427C7" w14:textId="77777777" w:rsidR="00D275ED" w:rsidRPr="00E41EA6" w:rsidRDefault="00D275ED" w:rsidP="00856A06">
            <w:pPr>
              <w:pStyle w:val="Tabletext"/>
              <w:jc w:val="center"/>
              <w:rPr>
                <w:lang w:val="nl-NL" w:eastAsia="nl-NL"/>
              </w:rPr>
            </w:pPr>
            <w:r w:rsidRPr="00E41EA6">
              <w:rPr>
                <w:lang w:val="nl-NL" w:eastAsia="nl-NL"/>
              </w:rPr>
              <w:t>0.58</w:t>
            </w:r>
          </w:p>
        </w:tc>
        <w:tc>
          <w:tcPr>
            <w:tcW w:w="960" w:type="dxa"/>
            <w:noWrap/>
            <w:hideMark/>
          </w:tcPr>
          <w:p w14:paraId="1866B9D6" w14:textId="77777777" w:rsidR="00D275ED" w:rsidRPr="00E41EA6" w:rsidRDefault="00D275ED" w:rsidP="00856A06">
            <w:pPr>
              <w:pStyle w:val="Tabletext"/>
              <w:jc w:val="center"/>
              <w:rPr>
                <w:lang w:val="nl-NL" w:eastAsia="nl-NL"/>
              </w:rPr>
            </w:pPr>
            <w:r w:rsidRPr="00E41EA6">
              <w:rPr>
                <w:lang w:val="nl-NL" w:eastAsia="nl-NL"/>
              </w:rPr>
              <w:t>0.42</w:t>
            </w:r>
          </w:p>
        </w:tc>
        <w:tc>
          <w:tcPr>
            <w:tcW w:w="960" w:type="dxa"/>
            <w:noWrap/>
            <w:hideMark/>
          </w:tcPr>
          <w:p w14:paraId="37F41797" w14:textId="77777777" w:rsidR="00D275ED" w:rsidRPr="00E41EA6" w:rsidRDefault="00D275ED" w:rsidP="00856A06">
            <w:pPr>
              <w:pStyle w:val="Tabletext"/>
              <w:jc w:val="center"/>
              <w:rPr>
                <w:lang w:val="nl-NL" w:eastAsia="nl-NL"/>
              </w:rPr>
            </w:pPr>
            <w:r w:rsidRPr="00E41EA6">
              <w:rPr>
                <w:lang w:val="nl-NL" w:eastAsia="nl-NL"/>
              </w:rPr>
              <w:t>0.20</w:t>
            </w:r>
          </w:p>
        </w:tc>
        <w:tc>
          <w:tcPr>
            <w:tcW w:w="960" w:type="dxa"/>
            <w:noWrap/>
            <w:hideMark/>
          </w:tcPr>
          <w:p w14:paraId="2A39D552" w14:textId="77777777" w:rsidR="00D275ED" w:rsidRPr="00E41EA6" w:rsidRDefault="00D275ED" w:rsidP="00856A06">
            <w:pPr>
              <w:pStyle w:val="Tabletext"/>
              <w:jc w:val="center"/>
              <w:rPr>
                <w:lang w:val="nl-NL" w:eastAsia="nl-NL"/>
              </w:rPr>
            </w:pPr>
            <w:r w:rsidRPr="00E41EA6">
              <w:rPr>
                <w:lang w:val="nl-NL" w:eastAsia="nl-NL"/>
              </w:rPr>
              <w:t>0.05</w:t>
            </w:r>
          </w:p>
        </w:tc>
        <w:tc>
          <w:tcPr>
            <w:tcW w:w="960" w:type="dxa"/>
            <w:noWrap/>
            <w:hideMark/>
          </w:tcPr>
          <w:p w14:paraId="07B97FFC" w14:textId="77777777" w:rsidR="00D275ED" w:rsidRPr="00E41EA6" w:rsidRDefault="00D275ED" w:rsidP="00856A06">
            <w:pPr>
              <w:pStyle w:val="Tabletext"/>
              <w:jc w:val="center"/>
              <w:rPr>
                <w:lang w:val="nl-NL" w:eastAsia="nl-NL"/>
              </w:rPr>
            </w:pPr>
            <w:r w:rsidRPr="00E41EA6">
              <w:rPr>
                <w:lang w:val="nl-NL" w:eastAsia="nl-NL"/>
              </w:rPr>
              <w:t>0.00</w:t>
            </w:r>
          </w:p>
        </w:tc>
        <w:tc>
          <w:tcPr>
            <w:tcW w:w="1389" w:type="dxa"/>
          </w:tcPr>
          <w:p w14:paraId="726FAE2D" w14:textId="77777777" w:rsidR="00D275ED" w:rsidRPr="00E41EA6" w:rsidRDefault="00D275ED" w:rsidP="00856A06">
            <w:pPr>
              <w:pStyle w:val="Tabletext"/>
              <w:jc w:val="center"/>
              <w:rPr>
                <w:lang w:val="nl-NL" w:eastAsia="nl-NL"/>
              </w:rPr>
            </w:pPr>
            <w:r w:rsidRPr="00E41EA6">
              <w:rPr>
                <w:lang w:val="nl-NL" w:eastAsia="nl-NL"/>
              </w:rPr>
              <w:t>1.25</w:t>
            </w:r>
          </w:p>
        </w:tc>
      </w:tr>
      <w:tr w:rsidR="00D275ED" w:rsidRPr="009A6A53" w14:paraId="010E590B" w14:textId="77777777" w:rsidTr="00856A06">
        <w:trPr>
          <w:trHeight w:val="288"/>
        </w:trPr>
        <w:tc>
          <w:tcPr>
            <w:tcW w:w="2060" w:type="dxa"/>
            <w:noWrap/>
            <w:hideMark/>
          </w:tcPr>
          <w:p w14:paraId="7CA22E3F" w14:textId="77777777" w:rsidR="00D275ED" w:rsidRPr="00E41EA6" w:rsidRDefault="00D275ED" w:rsidP="00856A06">
            <w:pPr>
              <w:pStyle w:val="Tabletext"/>
              <w:jc w:val="left"/>
              <w:rPr>
                <w:i/>
                <w:iCs/>
                <w:lang w:val="nl-NL" w:eastAsia="nl-NL"/>
              </w:rPr>
            </w:pPr>
            <w:r w:rsidRPr="00E41EA6">
              <w:rPr>
                <w:i/>
                <w:iCs/>
                <w:lang w:val="nl-NL" w:eastAsia="nl-NL"/>
              </w:rPr>
              <w:t>Best estimate</w:t>
            </w:r>
          </w:p>
        </w:tc>
        <w:tc>
          <w:tcPr>
            <w:tcW w:w="960" w:type="dxa"/>
            <w:noWrap/>
            <w:hideMark/>
          </w:tcPr>
          <w:p w14:paraId="74D51421" w14:textId="77777777" w:rsidR="00D275ED" w:rsidRPr="00E41EA6" w:rsidRDefault="00D275ED" w:rsidP="00856A06">
            <w:pPr>
              <w:pStyle w:val="Tabletext"/>
              <w:jc w:val="center"/>
              <w:rPr>
                <w:i/>
                <w:iCs/>
                <w:lang w:val="nl-NL" w:eastAsia="nl-NL"/>
              </w:rPr>
            </w:pPr>
            <w:r w:rsidRPr="00E41EA6">
              <w:rPr>
                <w:i/>
                <w:iCs/>
                <w:lang w:val="nl-NL" w:eastAsia="nl-NL"/>
              </w:rPr>
              <w:t>0.26</w:t>
            </w:r>
          </w:p>
        </w:tc>
        <w:tc>
          <w:tcPr>
            <w:tcW w:w="960" w:type="dxa"/>
            <w:noWrap/>
            <w:hideMark/>
          </w:tcPr>
          <w:p w14:paraId="2D722FE6" w14:textId="77777777" w:rsidR="00D275ED" w:rsidRPr="00E41EA6" w:rsidRDefault="00D275ED" w:rsidP="00856A06">
            <w:pPr>
              <w:pStyle w:val="Tabletext"/>
              <w:jc w:val="center"/>
              <w:rPr>
                <w:i/>
                <w:iCs/>
                <w:lang w:val="nl-NL" w:eastAsia="nl-NL"/>
              </w:rPr>
            </w:pPr>
            <w:r w:rsidRPr="00E41EA6">
              <w:rPr>
                <w:i/>
                <w:iCs/>
                <w:lang w:val="nl-NL" w:eastAsia="nl-NL"/>
              </w:rPr>
              <w:t>0.68</w:t>
            </w:r>
          </w:p>
        </w:tc>
        <w:tc>
          <w:tcPr>
            <w:tcW w:w="960" w:type="dxa"/>
            <w:noWrap/>
            <w:hideMark/>
          </w:tcPr>
          <w:p w14:paraId="10A4526A" w14:textId="77777777" w:rsidR="00D275ED" w:rsidRPr="00E41EA6" w:rsidRDefault="00D275ED" w:rsidP="00856A06">
            <w:pPr>
              <w:pStyle w:val="Tabletext"/>
              <w:jc w:val="center"/>
              <w:rPr>
                <w:i/>
                <w:iCs/>
                <w:lang w:val="nl-NL" w:eastAsia="nl-NL"/>
              </w:rPr>
            </w:pPr>
            <w:r w:rsidRPr="00E41EA6">
              <w:rPr>
                <w:i/>
                <w:iCs/>
                <w:lang w:val="nl-NL" w:eastAsia="nl-NL"/>
              </w:rPr>
              <w:t>0.18</w:t>
            </w:r>
          </w:p>
        </w:tc>
        <w:tc>
          <w:tcPr>
            <w:tcW w:w="960" w:type="dxa"/>
            <w:noWrap/>
            <w:hideMark/>
          </w:tcPr>
          <w:p w14:paraId="0AFA6768" w14:textId="77777777" w:rsidR="00D275ED" w:rsidRPr="00E41EA6" w:rsidRDefault="00D275ED" w:rsidP="00856A06">
            <w:pPr>
              <w:pStyle w:val="Tabletext"/>
              <w:jc w:val="center"/>
              <w:rPr>
                <w:i/>
                <w:iCs/>
                <w:lang w:val="nl-NL" w:eastAsia="nl-NL"/>
              </w:rPr>
            </w:pPr>
            <w:r w:rsidRPr="00E41EA6">
              <w:rPr>
                <w:i/>
                <w:iCs/>
                <w:lang w:val="nl-NL" w:eastAsia="nl-NL"/>
              </w:rPr>
              <w:t>0.09</w:t>
            </w:r>
          </w:p>
        </w:tc>
        <w:tc>
          <w:tcPr>
            <w:tcW w:w="960" w:type="dxa"/>
            <w:noWrap/>
            <w:hideMark/>
          </w:tcPr>
          <w:p w14:paraId="435DAB6A" w14:textId="77777777" w:rsidR="00D275ED" w:rsidRPr="00E41EA6" w:rsidRDefault="00D275ED" w:rsidP="00856A06">
            <w:pPr>
              <w:pStyle w:val="Tabletext"/>
              <w:jc w:val="center"/>
              <w:rPr>
                <w:i/>
                <w:iCs/>
                <w:lang w:val="nl-NL" w:eastAsia="nl-NL"/>
              </w:rPr>
            </w:pPr>
            <w:r w:rsidRPr="00E41EA6">
              <w:rPr>
                <w:i/>
                <w:iCs/>
                <w:lang w:val="nl-NL" w:eastAsia="nl-NL"/>
              </w:rPr>
              <w:t>0.03</w:t>
            </w:r>
          </w:p>
        </w:tc>
        <w:tc>
          <w:tcPr>
            <w:tcW w:w="960" w:type="dxa"/>
            <w:noWrap/>
            <w:hideMark/>
          </w:tcPr>
          <w:p w14:paraId="7B85E8E8" w14:textId="77777777" w:rsidR="00D275ED" w:rsidRPr="00E41EA6" w:rsidRDefault="00D275ED" w:rsidP="00856A06">
            <w:pPr>
              <w:pStyle w:val="Tabletext"/>
              <w:jc w:val="center"/>
              <w:rPr>
                <w:i/>
                <w:iCs/>
                <w:lang w:val="nl-NL" w:eastAsia="nl-NL"/>
              </w:rPr>
            </w:pPr>
            <w:r w:rsidRPr="00E41EA6">
              <w:rPr>
                <w:i/>
                <w:iCs/>
                <w:lang w:val="nl-NL" w:eastAsia="nl-NL"/>
              </w:rPr>
              <w:t>0.00</w:t>
            </w:r>
          </w:p>
        </w:tc>
        <w:tc>
          <w:tcPr>
            <w:tcW w:w="1389" w:type="dxa"/>
          </w:tcPr>
          <w:p w14:paraId="5B44FF98" w14:textId="77777777" w:rsidR="00D275ED" w:rsidRPr="00E41EA6" w:rsidRDefault="00D275ED" w:rsidP="00856A06">
            <w:pPr>
              <w:pStyle w:val="Tabletext"/>
              <w:jc w:val="center"/>
              <w:rPr>
                <w:i/>
                <w:iCs/>
                <w:lang w:val="nl-NL" w:eastAsia="nl-NL"/>
              </w:rPr>
            </w:pPr>
            <w:r w:rsidRPr="00E41EA6">
              <w:rPr>
                <w:i/>
                <w:iCs/>
                <w:lang w:val="nl-NL" w:eastAsia="nl-NL"/>
              </w:rPr>
              <w:t>1.24</w:t>
            </w:r>
          </w:p>
        </w:tc>
      </w:tr>
    </w:tbl>
    <w:p w14:paraId="1E7AA0EA" w14:textId="77777777" w:rsidR="00D275ED" w:rsidRPr="00471DA5" w:rsidRDefault="00D275ED" w:rsidP="00D275ED">
      <w:pPr>
        <w:shd w:val="clear" w:color="auto" w:fill="FFFFFF" w:themeFill="background1"/>
        <w:rPr>
          <w:rFonts w:cs="Times New Roman"/>
        </w:rPr>
      </w:pPr>
    </w:p>
    <w:p w14:paraId="617BE109" w14:textId="77777777" w:rsidR="00D275ED" w:rsidRDefault="00D275ED" w:rsidP="00D275ED">
      <w:pPr>
        <w:shd w:val="clear" w:color="auto" w:fill="FFFFFF" w:themeFill="background1"/>
        <w:rPr>
          <w:rFonts w:cs="Times New Roman"/>
          <w:b/>
        </w:rPr>
      </w:pPr>
    </w:p>
    <w:p w14:paraId="68750C2B" w14:textId="77777777" w:rsidR="00D275ED" w:rsidRPr="00B41D4E" w:rsidRDefault="00D275ED" w:rsidP="00D275ED">
      <w:pPr>
        <w:shd w:val="clear" w:color="auto" w:fill="FFFFFF" w:themeFill="background1"/>
        <w:rPr>
          <w:rFonts w:cs="Times New Roman"/>
          <w:b/>
          <w:i/>
        </w:rPr>
      </w:pPr>
      <w:r w:rsidRPr="00B41D4E">
        <w:rPr>
          <w:rFonts w:cs="Times New Roman"/>
          <w:b/>
          <w:i/>
        </w:rPr>
        <w:t xml:space="preserve">Carbon dioxide removal options not treated </w:t>
      </w:r>
      <w:r>
        <w:rPr>
          <w:rFonts w:cs="Times New Roman"/>
          <w:b/>
          <w:i/>
        </w:rPr>
        <w:t>previously in this Supplementary Material</w:t>
      </w:r>
    </w:p>
    <w:p w14:paraId="6D60B35F" w14:textId="77777777" w:rsidR="00D275ED" w:rsidRPr="00471DA5" w:rsidRDefault="00D275ED" w:rsidP="00D275ED">
      <w:pPr>
        <w:shd w:val="clear" w:color="auto" w:fill="FFFFFF" w:themeFill="background1"/>
        <w:rPr>
          <w:rFonts w:cs="Times New Roman"/>
        </w:rPr>
      </w:pPr>
      <w:r w:rsidRPr="00471DA5">
        <w:rPr>
          <w:rFonts w:cs="Times New Roman"/>
        </w:rPr>
        <w:t xml:space="preserve">The information for direct air </w:t>
      </w:r>
      <w:r>
        <w:rPr>
          <w:rFonts w:cs="Times New Roman"/>
        </w:rPr>
        <w:t xml:space="preserve">carbon </w:t>
      </w:r>
      <w:r w:rsidRPr="00471DA5">
        <w:rPr>
          <w:rFonts w:cs="Times New Roman"/>
        </w:rPr>
        <w:t>capture</w:t>
      </w:r>
      <w:r>
        <w:rPr>
          <w:rFonts w:cs="Times New Roman"/>
        </w:rPr>
        <w:t xml:space="preserve"> and storage</w:t>
      </w:r>
      <w:r w:rsidRPr="00471DA5">
        <w:rPr>
          <w:rFonts w:cs="Times New Roman"/>
        </w:rPr>
        <w:t xml:space="preserve"> and enhanced weathering is that reported in Section 12.3.</w:t>
      </w:r>
    </w:p>
    <w:p w14:paraId="31CE36FA" w14:textId="77777777" w:rsidR="00D275ED" w:rsidRPr="00471DA5" w:rsidRDefault="00D275ED" w:rsidP="00D275ED">
      <w:pPr>
        <w:shd w:val="clear" w:color="auto" w:fill="FFFFFF" w:themeFill="background1"/>
        <w:rPr>
          <w:rFonts w:cs="Times New Roman"/>
          <w:b/>
        </w:rPr>
      </w:pPr>
    </w:p>
    <w:p w14:paraId="4F1FEB36" w14:textId="77777777" w:rsidR="00D275ED" w:rsidRPr="00471DA5" w:rsidRDefault="00D275ED" w:rsidP="00D275ED">
      <w:pPr>
        <w:shd w:val="clear" w:color="auto" w:fill="FFFFFF" w:themeFill="background1"/>
        <w:rPr>
          <w:rFonts w:cs="Times New Roman"/>
          <w:b/>
          <w:bCs/>
        </w:rPr>
      </w:pPr>
      <w:bookmarkStart w:id="1" w:name="_Ref59573525"/>
      <w:r w:rsidRPr="00471DA5">
        <w:rPr>
          <w:rFonts w:cs="Times New Roman"/>
          <w:b/>
          <w:szCs w:val="20"/>
        </w:rPr>
        <w:t>SM 12.A</w:t>
      </w:r>
      <w:r w:rsidRPr="00471DA5">
        <w:rPr>
          <w:rFonts w:cs="Times New Roman"/>
          <w:szCs w:val="20"/>
        </w:rPr>
        <w:t>.</w:t>
      </w:r>
      <w:r w:rsidRPr="00471DA5">
        <w:rPr>
          <w:rFonts w:cs="Times New Roman"/>
          <w:b/>
          <w:szCs w:val="20"/>
        </w:rPr>
        <w:fldChar w:fldCharType="begin"/>
      </w:r>
      <w:r w:rsidRPr="00471DA5">
        <w:rPr>
          <w:rFonts w:cs="Times New Roman"/>
          <w:b/>
          <w:szCs w:val="20"/>
        </w:rPr>
        <w:instrText xml:space="preserve"> SEQ SM_12.A \* ARABIC </w:instrText>
      </w:r>
      <w:r w:rsidRPr="00471DA5">
        <w:rPr>
          <w:rFonts w:cs="Times New Roman"/>
          <w:b/>
          <w:szCs w:val="20"/>
        </w:rPr>
        <w:fldChar w:fldCharType="separate"/>
      </w:r>
      <w:r>
        <w:rPr>
          <w:rFonts w:cs="Times New Roman"/>
          <w:b/>
          <w:noProof/>
          <w:szCs w:val="20"/>
        </w:rPr>
        <w:t>3</w:t>
      </w:r>
      <w:r w:rsidRPr="00471DA5">
        <w:rPr>
          <w:rFonts w:cs="Times New Roman"/>
          <w:b/>
          <w:szCs w:val="20"/>
        </w:rPr>
        <w:fldChar w:fldCharType="end"/>
      </w:r>
      <w:bookmarkEnd w:id="1"/>
      <w:r w:rsidRPr="00471DA5">
        <w:rPr>
          <w:rFonts w:cs="Times New Roman"/>
          <w:b/>
          <w:szCs w:val="20"/>
        </w:rPr>
        <w:t xml:space="preserve">. </w:t>
      </w:r>
      <w:r w:rsidRPr="00471DA5">
        <w:rPr>
          <w:rFonts w:cs="Times New Roman"/>
          <w:b/>
          <w:bCs/>
        </w:rPr>
        <w:t>Construction of Figure SPM.</w:t>
      </w:r>
      <w:r>
        <w:rPr>
          <w:rFonts w:cs="Times New Roman"/>
          <w:b/>
          <w:bCs/>
        </w:rPr>
        <w:t>9</w:t>
      </w:r>
      <w:r w:rsidRPr="00471DA5">
        <w:rPr>
          <w:rFonts w:cs="Times New Roman"/>
          <w:b/>
          <w:bCs/>
        </w:rPr>
        <w:t xml:space="preserve"> for the Summary for Policy Makers</w:t>
      </w:r>
    </w:p>
    <w:p w14:paraId="168F6105" w14:textId="77777777" w:rsidR="00D275ED" w:rsidRPr="00471DA5" w:rsidRDefault="00D275ED" w:rsidP="00D275ED">
      <w:pPr>
        <w:shd w:val="clear" w:color="auto" w:fill="FFFFFF" w:themeFill="background1"/>
        <w:rPr>
          <w:rFonts w:cs="Times New Roman"/>
        </w:rPr>
      </w:pPr>
      <w:r w:rsidRPr="00471DA5">
        <w:rPr>
          <w:rFonts w:cs="Times New Roman"/>
        </w:rPr>
        <w:lastRenderedPageBreak/>
        <w:t>Figure SPM.</w:t>
      </w:r>
      <w:r>
        <w:rPr>
          <w:rFonts w:cs="Times New Roman"/>
        </w:rPr>
        <w:t>9</w:t>
      </w:r>
      <w:r w:rsidRPr="00471DA5">
        <w:rPr>
          <w:rFonts w:cs="Times New Roman"/>
        </w:rPr>
        <w:t xml:space="preserve"> is directly derived from Table 12.</w:t>
      </w:r>
      <w:r>
        <w:rPr>
          <w:rFonts w:cs="Times New Roman"/>
        </w:rPr>
        <w:t>3</w:t>
      </w:r>
      <w:r w:rsidRPr="00471DA5">
        <w:rPr>
          <w:rFonts w:cs="Times New Roman"/>
        </w:rPr>
        <w:t xml:space="preserve">, </w:t>
      </w:r>
      <w:r>
        <w:rPr>
          <w:rFonts w:cs="Times New Roman"/>
        </w:rPr>
        <w:t>considering</w:t>
      </w:r>
      <w:r w:rsidRPr="00471DA5">
        <w:rPr>
          <w:rFonts w:cs="Times New Roman"/>
        </w:rPr>
        <w:t xml:space="preserve"> the following</w:t>
      </w:r>
      <w:r>
        <w:rPr>
          <w:rFonts w:cs="Times New Roman"/>
        </w:rPr>
        <w:t>:</w:t>
      </w:r>
    </w:p>
    <w:p w14:paraId="1589AD99" w14:textId="77777777" w:rsidR="00D275ED" w:rsidRPr="00471DA5" w:rsidRDefault="00D275ED" w:rsidP="00D275ED">
      <w:pPr>
        <w:pStyle w:val="ListParagraph"/>
        <w:numPr>
          <w:ilvl w:val="0"/>
          <w:numId w:val="2"/>
        </w:numPr>
        <w:shd w:val="clear" w:color="auto" w:fill="FFFFFF" w:themeFill="background1"/>
        <w:rPr>
          <w:rFonts w:cs="Times New Roman"/>
        </w:rPr>
      </w:pPr>
      <w:r w:rsidRPr="00471DA5">
        <w:rPr>
          <w:rFonts w:cs="Times New Roman"/>
        </w:rPr>
        <w:t>The mid-range numbers were used. If no mid-range was provided</w:t>
      </w:r>
      <w:r>
        <w:rPr>
          <w:rFonts w:cs="Times New Roman"/>
        </w:rPr>
        <w:t>,</w:t>
      </w:r>
      <w:r w:rsidRPr="00471DA5">
        <w:rPr>
          <w:rFonts w:cs="Times New Roman"/>
        </w:rPr>
        <w:t xml:space="preserve"> the average of the low and high extremes was selected.</w:t>
      </w:r>
    </w:p>
    <w:p w14:paraId="5DD58392" w14:textId="77777777" w:rsidR="00D275ED" w:rsidRPr="003B1D0D" w:rsidRDefault="00D275ED" w:rsidP="00D275ED">
      <w:pPr>
        <w:pStyle w:val="ListParagraph"/>
        <w:numPr>
          <w:ilvl w:val="0"/>
          <w:numId w:val="2"/>
        </w:numPr>
        <w:shd w:val="clear" w:color="auto" w:fill="FFFFFF" w:themeFill="background1"/>
        <w:rPr>
          <w:rFonts w:cs="Times New Roman"/>
        </w:rPr>
      </w:pPr>
      <w:r w:rsidRPr="00471DA5">
        <w:rPr>
          <w:rFonts w:cs="Times New Roman"/>
        </w:rPr>
        <w:t>For the demand-side options in AFOLU the so-called feasible potential was used</w:t>
      </w:r>
      <w:r>
        <w:rPr>
          <w:rFonts w:cs="Times New Roman"/>
        </w:rPr>
        <w:t>.</w:t>
      </w:r>
    </w:p>
    <w:p w14:paraId="632572B2" w14:textId="77777777" w:rsidR="00D275ED" w:rsidRPr="00471DA5" w:rsidRDefault="00D275ED" w:rsidP="00D275ED">
      <w:pPr>
        <w:pStyle w:val="ListParagraph"/>
        <w:numPr>
          <w:ilvl w:val="0"/>
          <w:numId w:val="2"/>
        </w:numPr>
        <w:shd w:val="clear" w:color="auto" w:fill="FFFFFF" w:themeFill="background1"/>
        <w:rPr>
          <w:rFonts w:cs="Times New Roman"/>
        </w:rPr>
      </w:pPr>
      <w:r w:rsidRPr="00471DA5">
        <w:rPr>
          <w:rFonts w:cs="Times New Roman"/>
        </w:rPr>
        <w:t>Options for which no potential was estimated were excluded from Figure</w:t>
      </w:r>
      <w:r>
        <w:rPr>
          <w:rFonts w:cs="Times New Roman"/>
        </w:rPr>
        <w:t xml:space="preserve"> SPM.9</w:t>
      </w:r>
      <w:r w:rsidRPr="00471DA5">
        <w:rPr>
          <w:rFonts w:cs="Times New Roman"/>
        </w:rPr>
        <w:t>, to avoid the impression that the potential is zero.</w:t>
      </w:r>
    </w:p>
    <w:p w14:paraId="2EADFDC4" w14:textId="77777777" w:rsidR="00D275ED" w:rsidRDefault="00D275ED" w:rsidP="00D275ED">
      <w:pPr>
        <w:pStyle w:val="ListParagraph"/>
        <w:numPr>
          <w:ilvl w:val="0"/>
          <w:numId w:val="2"/>
        </w:numPr>
        <w:shd w:val="clear" w:color="auto" w:fill="FFFFFF" w:themeFill="background1"/>
        <w:jc w:val="left"/>
        <w:rPr>
          <w:rFonts w:cs="Times New Roman"/>
        </w:rPr>
      </w:pPr>
      <w:r w:rsidRPr="00471DA5">
        <w:rPr>
          <w:rFonts w:cs="Times New Roman"/>
        </w:rPr>
        <w:t>For options stretching over more than one cost range,</w:t>
      </w:r>
      <w:r>
        <w:rPr>
          <w:rFonts w:cs="Times New Roman"/>
        </w:rPr>
        <w:t xml:space="preserve"> without an indication of the share of each cost range, a smooth transition between the colours was applied (this was done for the energy sector and the buildings sector, and for the option biofuels in transportation)</w:t>
      </w:r>
      <w:r w:rsidRPr="00471DA5">
        <w:rPr>
          <w:rFonts w:cs="Times New Roman"/>
        </w:rPr>
        <w:t>.</w:t>
      </w:r>
      <w:r>
        <w:rPr>
          <w:rFonts w:cs="Times New Roman"/>
        </w:rPr>
        <w:t xml:space="preserve"> </w:t>
      </w:r>
    </w:p>
    <w:p w14:paraId="63ED1FA4" w14:textId="77777777" w:rsidR="00D275ED" w:rsidRDefault="00D275ED" w:rsidP="00D275ED">
      <w:pPr>
        <w:pStyle w:val="ListParagraph"/>
        <w:numPr>
          <w:ilvl w:val="0"/>
          <w:numId w:val="2"/>
        </w:numPr>
        <w:shd w:val="clear" w:color="auto" w:fill="FFFFFF" w:themeFill="background1"/>
        <w:jc w:val="left"/>
        <w:rPr>
          <w:rFonts w:cs="Times New Roman"/>
        </w:rPr>
      </w:pPr>
      <w:r>
        <w:rPr>
          <w:rFonts w:cs="Times New Roman"/>
        </w:rPr>
        <w:t xml:space="preserve">For solar energy and wind energy, the notion that ‘the majority of the potential is in the negative cost bin’ is translated in the picture by putting 60% of the potential in that cost bin. The rest is evenly distributed over the other cost bins. As raised in the previous point, the transition between the cost bins was smoothed to avoid the impression of high precision over the cost bins. </w:t>
      </w:r>
    </w:p>
    <w:p w14:paraId="1AE3D5CF" w14:textId="77777777" w:rsidR="00D275ED" w:rsidRDefault="00D275ED" w:rsidP="00D275ED">
      <w:pPr>
        <w:pStyle w:val="ListParagraph"/>
        <w:numPr>
          <w:ilvl w:val="0"/>
          <w:numId w:val="2"/>
        </w:numPr>
        <w:shd w:val="clear" w:color="auto" w:fill="FFFFFF" w:themeFill="background1"/>
        <w:jc w:val="left"/>
        <w:rPr>
          <w:rFonts w:cs="Times New Roman"/>
        </w:rPr>
      </w:pPr>
      <w:r>
        <w:rPr>
          <w:rFonts w:cs="Times New Roman"/>
        </w:rPr>
        <w:t>Uncertainty ranges were indicated with error bars. The error bars represent the uncertainty in the total potential per option. In most cases, the uncertainty range can be derived directly from Table 12.3. For AFOLU, the ranges presented in Table 7.3 for the options with costs less than 100 USD tCO</w:t>
      </w:r>
      <w:r w:rsidRPr="008548A0">
        <w:rPr>
          <w:rFonts w:cs="Times New Roman"/>
          <w:vertAlign w:val="subscript"/>
        </w:rPr>
        <w:t>2</w:t>
      </w:r>
      <w:r>
        <w:rPr>
          <w:rFonts w:cs="Times New Roman"/>
        </w:rPr>
        <w:t>-e</w:t>
      </w:r>
      <w:r w:rsidRPr="008548A0">
        <w:rPr>
          <w:rFonts w:cs="Times New Roman"/>
        </w:rPr>
        <w:t>q</w:t>
      </w:r>
      <w:r w:rsidRPr="008548A0">
        <w:rPr>
          <w:rFonts w:cs="Times New Roman"/>
          <w:vertAlign w:val="superscript"/>
        </w:rPr>
        <w:t>-1</w:t>
      </w:r>
      <w:r w:rsidRPr="00B41D4E">
        <w:rPr>
          <w:rFonts w:cs="Times New Roman"/>
        </w:rPr>
        <w:t xml:space="preserve"> </w:t>
      </w:r>
      <w:r>
        <w:rPr>
          <w:rFonts w:cs="Times New Roman"/>
        </w:rPr>
        <w:t xml:space="preserve">were used. For the emission reduction of methane (excluding in AFOLU) and fluorinated gases the lowest and highest potential cumulative potential found for the various estimates were used as the lowest and highest bound of the error bars presented. </w:t>
      </w:r>
    </w:p>
    <w:p w14:paraId="318E2A03" w14:textId="77777777" w:rsidR="00D275ED" w:rsidRDefault="00D275ED" w:rsidP="00D275ED"/>
    <w:p w14:paraId="4CC66A3C" w14:textId="77777777" w:rsidR="0034674C" w:rsidRPr="00D275ED" w:rsidRDefault="0034674C" w:rsidP="00D275ED"/>
    <w:sectPr w:rsidR="0034674C" w:rsidRPr="00D275ED" w:rsidSect="000813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3A71"/>
    <w:multiLevelType w:val="multilevel"/>
    <w:tmpl w:val="0BA29B5A"/>
    <w:lvl w:ilvl="0">
      <w:start w:val="12"/>
      <w:numFmt w:val="decimal"/>
      <w:pStyle w:val="Heading1"/>
      <w:lvlText w:val="Chapter %1:"/>
      <w:lvlJc w:val="left"/>
      <w:pPr>
        <w:ind w:left="0" w:firstLine="0"/>
      </w:pPr>
      <w:rPr>
        <w:rFonts w:ascii="Times New Roman" w:hAnsi="Times New Roman" w:hint="default"/>
        <w:b/>
        <w:i w:val="0"/>
        <w:caps w:val="0"/>
        <w:sz w:val="32"/>
      </w:rPr>
    </w:lvl>
    <w:lvl w:ilvl="1">
      <w:start w:val="3"/>
      <w:numFmt w:val="decimal"/>
      <w:pStyle w:val="Heading2"/>
      <w:lvlText w:val="%1.%2"/>
      <w:lvlJc w:val="left"/>
      <w:pPr>
        <w:ind w:left="0" w:firstLine="0"/>
      </w:pPr>
      <w:rPr>
        <w:rFonts w:hint="default"/>
        <w:color w:val="auto"/>
        <w:lang w:val="x-none" w:eastAsia="x-none" w:bidi="x-none"/>
        <w:specVanish w:val="0"/>
      </w:rPr>
    </w:lvl>
    <w:lvl w:ilvl="2">
      <w:start w:val="1"/>
      <w:numFmt w:val="decimal"/>
      <w:pStyle w:val="Heading3"/>
      <w:lvlText w:val="%1.%2.%3"/>
      <w:lvlJc w:val="left"/>
      <w:pPr>
        <w:ind w:left="0" w:firstLine="0"/>
      </w:pPr>
      <w:rPr>
        <w:rFonts w:hint="default"/>
        <w:lang w:val="x-none" w:eastAsia="x-none" w:bidi="x-none"/>
        <w:specVanish w:val="0"/>
      </w:rPr>
    </w:lvl>
    <w:lvl w:ilvl="3">
      <w:start w:val="1"/>
      <w:numFmt w:val="decimal"/>
      <w:pStyle w:val="Heading4"/>
      <w:lvlText w:val="%1.%2.%3.%4"/>
      <w:lvlJc w:val="left"/>
      <w:pPr>
        <w:ind w:left="0" w:firstLine="0"/>
      </w:pPr>
      <w:rPr>
        <w:rFonts w:hint="default"/>
        <w:lang w:val="x-none" w:eastAsia="x-none" w:bidi="x-none"/>
        <w:specVanish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4E87558E"/>
    <w:multiLevelType w:val="hybridMultilevel"/>
    <w:tmpl w:val="5B94C34E"/>
    <w:lvl w:ilvl="0" w:tplc="63FC14B8">
      <w:start w:val="2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83"/>
    <w:rsid w:val="0034674C"/>
    <w:rsid w:val="00D275ED"/>
    <w:rsid w:val="00D40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708CB4"/>
  <w15:chartTrackingRefBased/>
  <w15:docId w15:val="{A1655EED-D955-7E42-A5DC-56DBB9CE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5ED"/>
  </w:style>
  <w:style w:type="paragraph" w:styleId="Heading1">
    <w:name w:val="heading 1"/>
    <w:basedOn w:val="Normal"/>
    <w:next w:val="Normal"/>
    <w:link w:val="Heading1Char"/>
    <w:uiPriority w:val="9"/>
    <w:qFormat/>
    <w:rsid w:val="00D40783"/>
    <w:pPr>
      <w:keepNext/>
      <w:keepLines/>
      <w:numPr>
        <w:numId w:val="1"/>
      </w:numPr>
      <w:spacing w:before="240" w:after="120" w:line="264"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40783"/>
    <w:pPr>
      <w:keepNext/>
      <w:keepLines/>
      <w:numPr>
        <w:ilvl w:val="1"/>
        <w:numId w:val="1"/>
      </w:numPr>
      <w:spacing w:after="240" w:line="264" w:lineRule="auto"/>
      <w:jc w:val="both"/>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uiPriority w:val="9"/>
    <w:unhideWhenUsed/>
    <w:qFormat/>
    <w:rsid w:val="00D40783"/>
    <w:pPr>
      <w:keepNext/>
      <w:keepLines/>
      <w:numPr>
        <w:ilvl w:val="2"/>
        <w:numId w:val="1"/>
      </w:numPr>
      <w:spacing w:after="120" w:line="264" w:lineRule="auto"/>
      <w:jc w:val="both"/>
      <w:outlineLvl w:val="2"/>
    </w:pPr>
    <w:rPr>
      <w:rFonts w:ascii="Times New Roman" w:eastAsiaTheme="majorEastAsia" w:hAnsi="Times New Roman" w:cs="Times New Roman"/>
      <w:b/>
    </w:rPr>
  </w:style>
  <w:style w:type="paragraph" w:styleId="Heading4">
    <w:name w:val="heading 4"/>
    <w:basedOn w:val="Normal"/>
    <w:next w:val="Normal"/>
    <w:link w:val="Heading4Char"/>
    <w:uiPriority w:val="9"/>
    <w:unhideWhenUsed/>
    <w:qFormat/>
    <w:rsid w:val="00D40783"/>
    <w:pPr>
      <w:keepNext/>
      <w:keepLines/>
      <w:numPr>
        <w:ilvl w:val="3"/>
        <w:numId w:val="1"/>
      </w:numPr>
      <w:spacing w:after="120" w:line="264" w:lineRule="auto"/>
      <w:jc w:val="both"/>
      <w:outlineLvl w:val="3"/>
    </w:pPr>
    <w:rPr>
      <w:rFonts w:ascii="Times New Roman" w:eastAsiaTheme="majorEastAsia" w:hAnsi="Times New Roman" w:cs="Times New Roman"/>
      <w:b/>
      <w:i/>
      <w:iCs/>
      <w:sz w:val="22"/>
      <w:szCs w:val="22"/>
    </w:rPr>
  </w:style>
  <w:style w:type="paragraph" w:styleId="Heading5">
    <w:name w:val="heading 5"/>
    <w:basedOn w:val="Normal"/>
    <w:next w:val="Normal"/>
    <w:link w:val="Heading5Char"/>
    <w:uiPriority w:val="9"/>
    <w:unhideWhenUsed/>
    <w:qFormat/>
    <w:rsid w:val="00D40783"/>
    <w:pPr>
      <w:keepNext/>
      <w:keepLines/>
      <w:numPr>
        <w:ilvl w:val="4"/>
        <w:numId w:val="1"/>
      </w:numPr>
      <w:spacing w:line="264" w:lineRule="auto"/>
      <w:jc w:val="both"/>
      <w:outlineLvl w:val="4"/>
    </w:pPr>
    <w:rPr>
      <w:rFonts w:ascii="Times New Roman" w:eastAsiaTheme="majorEastAsia" w:hAnsi="Times New Roman" w:cs="Times New Roman"/>
      <w:i/>
      <w:sz w:val="22"/>
      <w:szCs w:val="22"/>
    </w:rPr>
  </w:style>
  <w:style w:type="paragraph" w:styleId="Heading6">
    <w:name w:val="heading 6"/>
    <w:basedOn w:val="Normal"/>
    <w:next w:val="Normal"/>
    <w:link w:val="Heading6Char"/>
    <w:uiPriority w:val="9"/>
    <w:unhideWhenUsed/>
    <w:qFormat/>
    <w:rsid w:val="00D40783"/>
    <w:pPr>
      <w:keepNext/>
      <w:keepLines/>
      <w:numPr>
        <w:ilvl w:val="5"/>
        <w:numId w:val="1"/>
      </w:numPr>
      <w:spacing w:before="40" w:line="264" w:lineRule="auto"/>
      <w:jc w:val="both"/>
      <w:outlineLvl w:val="5"/>
    </w:pPr>
    <w:rPr>
      <w:rFonts w:ascii="Times New Roman" w:eastAsiaTheme="majorEastAsia" w:hAnsi="Times New Roman" w:cstheme="majorBidi"/>
      <w:sz w:val="22"/>
      <w:szCs w:val="22"/>
    </w:rPr>
  </w:style>
  <w:style w:type="paragraph" w:styleId="Heading7">
    <w:name w:val="heading 7"/>
    <w:basedOn w:val="Normal"/>
    <w:next w:val="Normal"/>
    <w:link w:val="Heading7Char"/>
    <w:uiPriority w:val="9"/>
    <w:unhideWhenUsed/>
    <w:qFormat/>
    <w:rsid w:val="00D40783"/>
    <w:pPr>
      <w:keepNext/>
      <w:keepLines/>
      <w:numPr>
        <w:ilvl w:val="6"/>
        <w:numId w:val="1"/>
      </w:numPr>
      <w:spacing w:before="40" w:line="264" w:lineRule="auto"/>
      <w:jc w:val="both"/>
      <w:outlineLvl w:val="6"/>
    </w:pPr>
    <w:rPr>
      <w:rFonts w:asciiTheme="majorHAnsi" w:eastAsiaTheme="majorEastAsia" w:hAnsiTheme="majorHAnsi" w:cstheme="majorBidi"/>
      <w:i/>
      <w:iCs/>
      <w:sz w:val="22"/>
      <w:szCs w:val="22"/>
    </w:rPr>
  </w:style>
  <w:style w:type="paragraph" w:styleId="Heading8">
    <w:name w:val="heading 8"/>
    <w:basedOn w:val="Normal"/>
    <w:next w:val="Normal"/>
    <w:link w:val="Heading8Char"/>
    <w:uiPriority w:val="9"/>
    <w:unhideWhenUsed/>
    <w:qFormat/>
    <w:rsid w:val="00D40783"/>
    <w:pPr>
      <w:keepNext/>
      <w:keepLines/>
      <w:numPr>
        <w:ilvl w:val="7"/>
        <w:numId w:val="1"/>
      </w:numPr>
      <w:spacing w:before="40" w:line="264" w:lineRule="auto"/>
      <w:jc w:val="both"/>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78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40783"/>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D40783"/>
    <w:rPr>
      <w:rFonts w:ascii="Times New Roman" w:eastAsiaTheme="majorEastAsia" w:hAnsi="Times New Roman" w:cs="Times New Roman"/>
      <w:b/>
    </w:rPr>
  </w:style>
  <w:style w:type="character" w:customStyle="1" w:styleId="Heading4Char">
    <w:name w:val="Heading 4 Char"/>
    <w:basedOn w:val="DefaultParagraphFont"/>
    <w:link w:val="Heading4"/>
    <w:uiPriority w:val="9"/>
    <w:rsid w:val="00D40783"/>
    <w:rPr>
      <w:rFonts w:ascii="Times New Roman" w:eastAsiaTheme="majorEastAsia" w:hAnsi="Times New Roman" w:cs="Times New Roman"/>
      <w:b/>
      <w:i/>
      <w:iCs/>
      <w:sz w:val="22"/>
      <w:szCs w:val="22"/>
    </w:rPr>
  </w:style>
  <w:style w:type="character" w:customStyle="1" w:styleId="Heading5Char">
    <w:name w:val="Heading 5 Char"/>
    <w:basedOn w:val="DefaultParagraphFont"/>
    <w:link w:val="Heading5"/>
    <w:uiPriority w:val="9"/>
    <w:rsid w:val="00D40783"/>
    <w:rPr>
      <w:rFonts w:ascii="Times New Roman" w:eastAsiaTheme="majorEastAsia" w:hAnsi="Times New Roman" w:cs="Times New Roman"/>
      <w:i/>
      <w:sz w:val="22"/>
      <w:szCs w:val="22"/>
    </w:rPr>
  </w:style>
  <w:style w:type="character" w:customStyle="1" w:styleId="Heading6Char">
    <w:name w:val="Heading 6 Char"/>
    <w:basedOn w:val="DefaultParagraphFont"/>
    <w:link w:val="Heading6"/>
    <w:uiPriority w:val="9"/>
    <w:rsid w:val="00D40783"/>
    <w:rPr>
      <w:rFonts w:ascii="Times New Roman" w:eastAsiaTheme="majorEastAsia" w:hAnsi="Times New Roman" w:cstheme="majorBidi"/>
      <w:sz w:val="22"/>
      <w:szCs w:val="22"/>
    </w:rPr>
  </w:style>
  <w:style w:type="character" w:customStyle="1" w:styleId="Heading7Char">
    <w:name w:val="Heading 7 Char"/>
    <w:basedOn w:val="DefaultParagraphFont"/>
    <w:link w:val="Heading7"/>
    <w:uiPriority w:val="9"/>
    <w:rsid w:val="00D40783"/>
    <w:rPr>
      <w:rFonts w:asciiTheme="majorHAnsi" w:eastAsiaTheme="majorEastAsia" w:hAnsiTheme="majorHAnsi" w:cstheme="majorBidi"/>
      <w:i/>
      <w:iCs/>
      <w:sz w:val="22"/>
      <w:szCs w:val="22"/>
    </w:rPr>
  </w:style>
  <w:style w:type="character" w:customStyle="1" w:styleId="Heading8Char">
    <w:name w:val="Heading 8 Char"/>
    <w:basedOn w:val="DefaultParagraphFont"/>
    <w:link w:val="Heading8"/>
    <w:uiPriority w:val="9"/>
    <w:rsid w:val="00D40783"/>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D4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0783"/>
    <w:pPr>
      <w:spacing w:after="200" w:line="264" w:lineRule="auto"/>
      <w:jc w:val="center"/>
    </w:pPr>
    <w:rPr>
      <w:rFonts w:ascii="Times New Roman" w:hAnsi="Times New Roman"/>
      <w:b/>
      <w:iCs/>
      <w:sz w:val="20"/>
      <w:szCs w:val="18"/>
    </w:rPr>
  </w:style>
  <w:style w:type="paragraph" w:customStyle="1" w:styleId="TableFigurecaption">
    <w:name w:val="Table/Figure caption"/>
    <w:basedOn w:val="Caption"/>
    <w:uiPriority w:val="99"/>
    <w:qFormat/>
    <w:rsid w:val="00D40783"/>
  </w:style>
  <w:style w:type="paragraph" w:customStyle="1" w:styleId="Tabletext">
    <w:name w:val="Table text"/>
    <w:basedOn w:val="Normal"/>
    <w:uiPriority w:val="99"/>
    <w:qFormat/>
    <w:rsid w:val="00D40783"/>
    <w:pPr>
      <w:spacing w:after="120" w:line="264" w:lineRule="auto"/>
      <w:jc w:val="both"/>
    </w:pPr>
    <w:rPr>
      <w:rFonts w:ascii="Times New Roman" w:hAnsi="Times New Roman"/>
      <w:sz w:val="20"/>
      <w:szCs w:val="22"/>
    </w:rPr>
  </w:style>
  <w:style w:type="paragraph" w:styleId="ListParagraph">
    <w:name w:val="List Paragraph"/>
    <w:basedOn w:val="Normal"/>
    <w:uiPriority w:val="34"/>
    <w:qFormat/>
    <w:rsid w:val="00D40783"/>
    <w:pPr>
      <w:spacing w:after="120" w:line="264" w:lineRule="auto"/>
      <w:ind w:left="720"/>
      <w:contextualSpacing/>
      <w:jc w:val="both"/>
    </w:pPr>
    <w:rPr>
      <w:rFonts w:ascii="Times New Roman" w:eastAsiaTheme="minorEastAsia"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16921</Words>
  <Characters>96452</Characters>
  <Application>Microsoft Office Word</Application>
  <DocSecurity>0</DocSecurity>
  <Lines>803</Lines>
  <Paragraphs>226</Paragraphs>
  <ScaleCrop>false</ScaleCrop>
  <Company/>
  <LinksUpToDate>false</LinksUpToDate>
  <CharactersWithSpaces>113147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Reynolds</dc:creator>
  <cp:keywords/>
  <dc:description/>
  <cp:lastModifiedBy>Charlotte Reynolds</cp:lastModifiedBy>
  <cp:revision>2</cp:revision>
  <dcterms:created xsi:type="dcterms:W3CDTF">2022-03-14T15:19:00Z</dcterms:created>
  <dcterms:modified xsi:type="dcterms:W3CDTF">2022-04-03T17:59:00Z</dcterms:modified>
</cp:coreProperties>
</file>