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A82A8D">
      <w:pPr>
        <w:spacing w:before="1200" w:after="160"/>
        <w:jc w:val="center"/>
      </w:pPr>
      <w:r>
        <w:rPr>
          <w:rFonts w:ascii="Arial" w:hAnsi="Arial" w:eastAsia="Arial" w:cs="Arial"/>
          <w:color w:val="888888"/>
          <w:sz w:val="26"/>
          <w:szCs w:val="26"/>
        </w:rPr>
        <w:t>Research Project</w:t>
      </w:r>
    </w:p>
    <w:p w14:paraId="782686AB">
      <w:pPr>
        <w:spacing w:before="100" w:after="160"/>
        <w:jc w:val="center"/>
      </w:pPr>
      <w:r>
        <w:rPr>
          <w:rFonts w:ascii="Arial" w:hAnsi="Arial" w:eastAsia="Arial" w:cs="Arial"/>
          <w:b/>
          <w:bCs/>
          <w:color w:val="1A1A2E"/>
          <w:sz w:val="56"/>
          <w:szCs w:val="56"/>
        </w:rPr>
        <w:t>Cross-Lingual Bengali Idiom Matching</w:t>
      </w:r>
    </w:p>
    <w:p w14:paraId="24DF07B9">
      <w:pPr>
        <w:spacing w:before="100" w:after="200"/>
        <w:jc w:val="center"/>
      </w:pPr>
      <w:r>
        <w:rPr>
          <w:rFonts w:ascii="Arial" w:hAnsi="Arial" w:eastAsia="Arial" w:cs="Arial"/>
          <w:color w:val="2A5298"/>
          <w:sz w:val="28"/>
          <w:szCs w:val="28"/>
        </w:rPr>
        <w:t>Using Multilingual Sentence Embeddings Without Translation</w:t>
      </w:r>
    </w:p>
    <w:p w14:paraId="729E0416">
      <w:pPr>
        <w:spacing w:before="60" w:after="1400"/>
        <w:jc w:val="center"/>
      </w:pPr>
      <w:r>
        <w:rPr>
          <w:rFonts w:ascii="Arial" w:hAnsi="Arial" w:eastAsia="Arial" w:cs="Arial"/>
          <w:color w:val="555555"/>
          <w:sz w:val="22"/>
          <w:szCs w:val="22"/>
        </w:rPr>
        <w:t>Comparing mSBERT vs LaBSE across Bengali–English and Bengali–Hindi</w:t>
      </w:r>
    </w:p>
    <w:p w14:paraId="7F245797">
      <w:pPr>
        <w:pStyle w:val="2"/>
        <w:pBdr>
          <w:bottom w:val="single" w:color="1A7A6E" w:sz="6" w:space="4"/>
        </w:pBdr>
        <w:spacing w:before="400" w:after="200"/>
      </w:pPr>
      <w:r>
        <w:rPr>
          <w:rFonts w:ascii="Arial" w:hAnsi="Arial" w:eastAsia="Arial" w:cs="Arial"/>
          <w:b/>
          <w:bCs/>
          <w:color w:val="1A1A2E"/>
          <w:sz w:val="34"/>
          <w:szCs w:val="34"/>
        </w:rPr>
        <w:t>1. Project Overview</w:t>
      </w:r>
    </w:p>
    <w:p w14:paraId="7258DD59">
      <w:pPr>
        <w:spacing w:before="80" w:after="120"/>
        <w:jc w:val="both"/>
      </w:pPr>
      <w:r>
        <w:rPr>
          <w:rFonts w:ascii="Arial" w:hAnsi="Arial" w:eastAsia="Arial" w:cs="Arial"/>
          <w:sz w:val="22"/>
          <w:szCs w:val="22"/>
        </w:rPr>
        <w:t>This MSc project investigates whether state-of-the-art multilingual language models can identify semantically equivalent idioms across three languages — Bengali, English, and Hindi — without using any translation system whatsoever. The core research question is: can a model that has learned from multilingual text understand that idioms from completely different languages carry the same figurative meaning, even when the words look entirely different?</w:t>
      </w:r>
    </w:p>
    <w:p w14:paraId="4538274E">
      <w:pPr>
        <w:spacing w:before="60" w:after="60"/>
      </w:pPr>
    </w:p>
    <w:p w14:paraId="73E09700">
      <w:pPr>
        <w:spacing w:before="80" w:after="120"/>
        <w:jc w:val="both"/>
      </w:pPr>
      <w:r>
        <w:rPr>
          <w:rFonts w:ascii="Arial" w:hAnsi="Arial" w:eastAsia="Arial" w:cs="Arial"/>
          <w:sz w:val="22"/>
          <w:szCs w:val="22"/>
        </w:rPr>
        <w:t>Idioms present a uniquely difficult challenge for NLP systems because their meaning cannot be derived from the individual words. The Bengali idiom 'আকাশ কুসুম' literally means 'sky flower' but figuratively means 'an impossible dream' — the same concept as the English idiom 'build castles in the air' and the Hindi idiom 'हवाई किले बनाना'. A model that truly understands language must recognize this three-way equivalence not by translating words but by understanding figurative meaning across language boundaries.</w:t>
      </w:r>
    </w:p>
    <w:p w14:paraId="3C1B1508">
      <w:pPr>
        <w:spacing w:before="60" w:after="60"/>
      </w:pPr>
    </w:p>
    <w:p w14:paraId="0AA40F80">
      <w:pPr>
        <w:pStyle w:val="3"/>
        <w:spacing w:before="300" w:after="160"/>
      </w:pPr>
      <w:r>
        <w:rPr>
          <w:rFonts w:ascii="Arial" w:hAnsi="Arial" w:eastAsia="Arial" w:cs="Arial"/>
          <w:b/>
          <w:bCs/>
          <w:color w:val="2A5298"/>
          <w:sz w:val="26"/>
          <w:szCs w:val="26"/>
        </w:rPr>
        <w:t>1.1 Research Objectives</w:t>
      </w:r>
    </w:p>
    <w:p w14:paraId="0E15787F">
      <w:pPr>
        <w:pStyle w:val="16"/>
        <w:numPr>
          <w:ilvl w:val="0"/>
          <w:numId w:val="1"/>
        </w:numPr>
        <w:spacing w:before="60" w:after="60"/>
      </w:pPr>
      <w:r>
        <w:rPr>
          <w:rFonts w:ascii="Arial" w:hAnsi="Arial" w:eastAsia="Arial" w:cs="Arial"/>
          <w:b/>
          <w:bCs/>
          <w:sz w:val="22"/>
          <w:szCs w:val="22"/>
        </w:rPr>
        <w:t xml:space="preserve">Primary: </w:t>
      </w:r>
      <w:r>
        <w:rPr>
          <w:rFonts w:ascii="Arial" w:hAnsi="Arial" w:eastAsia="Arial" w:cs="Arial"/>
          <w:sz w:val="22"/>
          <w:szCs w:val="22"/>
        </w:rPr>
        <w:t>Compare two multilingual embedding models — mSBERT and LaBSE — on their ability to match Bengali idioms with semantically equivalent English and Hindi idioms without any translation.</w:t>
      </w:r>
    </w:p>
    <w:p w14:paraId="56A4BB9F">
      <w:pPr>
        <w:pStyle w:val="16"/>
        <w:numPr>
          <w:ilvl w:val="0"/>
          <w:numId w:val="1"/>
        </w:numPr>
        <w:spacing w:before="60" w:after="60"/>
      </w:pPr>
      <w:r>
        <w:rPr>
          <w:rFonts w:ascii="Arial" w:hAnsi="Arial" w:eastAsia="Arial" w:cs="Arial"/>
          <w:b/>
          <w:bCs/>
          <w:sz w:val="22"/>
          <w:szCs w:val="22"/>
        </w:rPr>
        <w:t xml:space="preserve">Secondary: </w:t>
      </w:r>
      <w:r>
        <w:rPr>
          <w:rFonts w:ascii="Arial" w:hAnsi="Arial" w:eastAsia="Arial" w:cs="Arial"/>
          <w:sz w:val="22"/>
          <w:szCs w:val="22"/>
        </w:rPr>
        <w:t>Evaluate both models across three distinct NLP tasks: semantic similarity scoring, cross-lingual retrieval, and semantic clustering.</w:t>
      </w:r>
    </w:p>
    <w:p w14:paraId="3F5D1A76">
      <w:pPr>
        <w:pStyle w:val="16"/>
        <w:numPr>
          <w:ilvl w:val="0"/>
          <w:numId w:val="1"/>
        </w:numPr>
        <w:spacing w:before="60" w:after="60"/>
      </w:pPr>
      <w:r>
        <w:rPr>
          <w:rFonts w:ascii="Arial" w:hAnsi="Arial" w:eastAsia="Arial" w:cs="Arial"/>
          <w:b/>
          <w:bCs/>
          <w:sz w:val="22"/>
          <w:szCs w:val="22"/>
        </w:rPr>
        <w:t xml:space="preserve">Tertiary: </w:t>
      </w:r>
      <w:r>
        <w:rPr>
          <w:rFonts w:ascii="Arial" w:hAnsi="Arial" w:eastAsia="Arial" w:cs="Arial"/>
          <w:sz w:val="22"/>
          <w:szCs w:val="22"/>
        </w:rPr>
        <w:t>Determine which model better understands figurative language across language boundaries and explain why.</w:t>
      </w:r>
    </w:p>
    <w:p w14:paraId="3524CD36">
      <w:pPr>
        <w:spacing w:before="60" w:after="60"/>
      </w:pPr>
    </w:p>
    <w:p w14:paraId="308D949C">
      <w:pPr>
        <w:pStyle w:val="3"/>
        <w:spacing w:before="300" w:after="160"/>
      </w:pPr>
      <w:r>
        <w:rPr>
          <w:rFonts w:ascii="Arial" w:hAnsi="Arial" w:eastAsia="Arial" w:cs="Arial"/>
          <w:b/>
          <w:bCs/>
          <w:color w:val="2A5298"/>
          <w:sz w:val="26"/>
          <w:szCs w:val="26"/>
        </w:rPr>
        <w:t>1.2 Why This Matters</w:t>
      </w:r>
    </w:p>
    <w:p w14:paraId="7412DDA5">
      <w:pPr>
        <w:pStyle w:val="16"/>
        <w:numPr>
          <w:ilvl w:val="0"/>
          <w:numId w:val="1"/>
        </w:numPr>
        <w:spacing w:before="60" w:after="60"/>
      </w:pPr>
      <w:r>
        <w:rPr>
          <w:rFonts w:ascii="Arial" w:hAnsi="Arial" w:eastAsia="Arial" w:cs="Arial"/>
          <w:b/>
          <w:bCs/>
          <w:sz w:val="22"/>
          <w:szCs w:val="22"/>
        </w:rPr>
        <w:t xml:space="preserve">Idioms are non-compositional: </w:t>
      </w:r>
      <w:r>
        <w:rPr>
          <w:rFonts w:ascii="Arial" w:hAnsi="Arial" w:eastAsia="Arial" w:cs="Arial"/>
          <w:sz w:val="22"/>
          <w:szCs w:val="22"/>
        </w:rPr>
        <w:t>their meaning ≠ sum of their words, making them one of the hardest problems in NLP.</w:t>
      </w:r>
    </w:p>
    <w:p w14:paraId="10F6AE61">
      <w:pPr>
        <w:pStyle w:val="16"/>
        <w:numPr>
          <w:ilvl w:val="0"/>
          <w:numId w:val="1"/>
        </w:numPr>
        <w:spacing w:before="60" w:after="60"/>
      </w:pPr>
      <w:r>
        <w:rPr>
          <w:rFonts w:ascii="Arial" w:hAnsi="Arial" w:eastAsia="Arial" w:cs="Arial"/>
          <w:b/>
          <w:bCs/>
          <w:sz w:val="22"/>
          <w:szCs w:val="22"/>
        </w:rPr>
        <w:t xml:space="preserve">Bengali is low-resource: </w:t>
      </w:r>
      <w:r>
        <w:rPr>
          <w:rFonts w:ascii="Arial" w:hAnsi="Arial" w:eastAsia="Arial" w:cs="Arial"/>
          <w:sz w:val="22"/>
          <w:szCs w:val="22"/>
        </w:rPr>
        <w:t>very few cross-lingual NLP tools or datasets exist for Bengali compared to English.</w:t>
      </w:r>
    </w:p>
    <w:p w14:paraId="672606E7">
      <w:pPr>
        <w:pStyle w:val="16"/>
        <w:numPr>
          <w:ilvl w:val="0"/>
          <w:numId w:val="1"/>
        </w:numPr>
        <w:spacing w:before="60" w:after="60"/>
      </w:pPr>
      <w:r>
        <w:rPr>
          <w:rFonts w:ascii="Arial" w:hAnsi="Arial" w:eastAsia="Arial" w:cs="Arial"/>
          <w:b/>
          <w:bCs/>
          <w:sz w:val="22"/>
          <w:szCs w:val="22"/>
        </w:rPr>
        <w:t xml:space="preserve">No translation used: </w:t>
      </w:r>
      <w:r>
        <w:rPr>
          <w:rFonts w:ascii="Arial" w:hAnsi="Arial" w:eastAsia="Arial" w:cs="Arial"/>
          <w:sz w:val="22"/>
          <w:szCs w:val="22"/>
        </w:rPr>
        <w:t>both models receive raw text in each language directly — this is the key novelty and academic contribution.</w:t>
      </w:r>
    </w:p>
    <w:p w14:paraId="069D6AE8">
      <w:pPr>
        <w:pStyle w:val="16"/>
        <w:numPr>
          <w:ilvl w:val="0"/>
          <w:numId w:val="1"/>
        </w:numPr>
        <w:spacing w:before="60" w:after="60"/>
      </w:pPr>
      <w:r>
        <w:rPr>
          <w:rFonts w:ascii="Arial" w:hAnsi="Arial" w:eastAsia="Arial" w:cs="Arial"/>
          <w:b/>
          <w:bCs/>
          <w:sz w:val="22"/>
          <w:szCs w:val="22"/>
        </w:rPr>
        <w:t xml:space="preserve">Three-language evaluation: </w:t>
      </w:r>
      <w:r>
        <w:rPr>
          <w:rFonts w:ascii="Arial" w:hAnsi="Arial" w:eastAsia="Arial" w:cs="Arial"/>
          <w:sz w:val="22"/>
          <w:szCs w:val="22"/>
        </w:rPr>
        <w:t>most cross-lingual studies focus on two languages. Evaluating Bengali–English and Bengali–Hindi simultaneously is more comprehensive.</w:t>
      </w:r>
    </w:p>
    <w:p w14:paraId="34221DB1">
      <w:pPr>
        <w:pStyle w:val="16"/>
        <w:numPr>
          <w:ilvl w:val="0"/>
          <w:numId w:val="1"/>
        </w:numPr>
        <w:spacing w:before="60" w:after="60"/>
      </w:pPr>
      <w:r>
        <w:rPr>
          <w:rFonts w:ascii="Arial" w:hAnsi="Arial" w:eastAsia="Arial" w:cs="Arial"/>
          <w:b/>
          <w:bCs/>
          <w:sz w:val="22"/>
          <w:szCs w:val="22"/>
        </w:rPr>
        <w:t xml:space="preserve">Practical applications: </w:t>
      </w:r>
      <w:r>
        <w:rPr>
          <w:rFonts w:ascii="Arial" w:hAnsi="Arial" w:eastAsia="Arial" w:cs="Arial"/>
          <w:sz w:val="22"/>
          <w:szCs w:val="22"/>
        </w:rPr>
        <w:t>multilingual idiom matching has uses in machine translation, language learning, cultural computing, and multilingual search.</w:t>
      </w:r>
    </w:p>
    <w:p w14:paraId="0488BB1A">
      <w:pPr>
        <w:spacing w:before="60" w:after="60"/>
      </w:pPr>
    </w:p>
    <w:p w14:paraId="1EB8E3C3">
      <w:pPr>
        <w:pStyle w:val="2"/>
        <w:pBdr>
          <w:bottom w:val="single" w:color="1A7A6E" w:sz="6" w:space="4"/>
        </w:pBdr>
        <w:spacing w:before="400" w:after="200"/>
      </w:pPr>
      <w:r>
        <w:rPr>
          <w:rFonts w:ascii="Arial" w:hAnsi="Arial" w:eastAsia="Arial" w:cs="Arial"/>
          <w:b/>
          <w:bCs/>
          <w:color w:val="1A1A2E"/>
          <w:sz w:val="34"/>
          <w:szCs w:val="34"/>
        </w:rPr>
        <w:t>2. Datasets</w:t>
      </w:r>
    </w:p>
    <w:p w14:paraId="109B4991">
      <w:pPr>
        <w:pStyle w:val="3"/>
        <w:spacing w:before="300" w:after="160"/>
      </w:pPr>
      <w:r>
        <w:rPr>
          <w:rFonts w:ascii="Arial" w:hAnsi="Arial" w:eastAsia="Arial" w:cs="Arial"/>
          <w:b/>
          <w:bCs/>
          <w:color w:val="2A5298"/>
          <w:sz w:val="26"/>
          <w:szCs w:val="26"/>
        </w:rPr>
        <w:t>2.1 Dataset Sources</w:t>
      </w:r>
    </w:p>
    <w:p w14:paraId="1F56CF5E">
      <w:pPr>
        <w:spacing w:before="80" w:after="120"/>
        <w:jc w:val="both"/>
      </w:pPr>
      <w:r>
        <w:rPr>
          <w:rFonts w:ascii="Arial" w:hAnsi="Arial" w:eastAsia="Arial" w:cs="Arial"/>
          <w:sz w:val="22"/>
          <w:szCs w:val="22"/>
        </w:rPr>
        <w:t>Four datasets were used to build the evaluation corpus. The Bengali dataset serves as the primary anchor — for each Bengali idiom, the system finds matching English and Hindi idioms sharing the same figurative meaning.</w:t>
      </w:r>
    </w:p>
    <w:p w14:paraId="47600C96">
      <w:pPr>
        <w:spacing w:before="60" w:after="6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43"/>
        <w:gridCol w:w="1259"/>
        <w:gridCol w:w="1356"/>
        <w:gridCol w:w="1259"/>
        <w:gridCol w:w="4069"/>
      </w:tblGrid>
      <w:tr w14:paraId="07927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pct"/>
            <w:shd w:val="solid" w:color="2A5298" w:fill="2A5298"/>
            <w:tcMar>
              <w:top w:w="100" w:type="dxa"/>
              <w:left w:w="120" w:type="dxa"/>
              <w:bottom w:w="100" w:type="dxa"/>
              <w:right w:w="120" w:type="dxa"/>
            </w:tcMar>
          </w:tcPr>
          <w:p w14:paraId="2AC5E77A">
            <w:pPr>
              <w:jc w:val="center"/>
            </w:pPr>
            <w:r>
              <w:rPr>
                <w:rFonts w:ascii="Arial" w:hAnsi="Arial" w:eastAsia="Arial" w:cs="Arial"/>
                <w:b/>
                <w:bCs/>
                <w:color w:val="FFFFFF"/>
                <w:sz w:val="19"/>
                <w:szCs w:val="19"/>
              </w:rPr>
              <w:t>Dataset</w:t>
            </w:r>
          </w:p>
        </w:tc>
        <w:tc>
          <w:tcPr>
            <w:tcW w:w="650" w:type="pct"/>
            <w:shd w:val="solid" w:color="2A5298" w:fill="2A5298"/>
            <w:tcMar>
              <w:top w:w="100" w:type="dxa"/>
              <w:left w:w="120" w:type="dxa"/>
              <w:bottom w:w="100" w:type="dxa"/>
              <w:right w:w="120" w:type="dxa"/>
            </w:tcMar>
          </w:tcPr>
          <w:p w14:paraId="7784B566">
            <w:pPr>
              <w:jc w:val="center"/>
            </w:pPr>
            <w:r>
              <w:rPr>
                <w:rFonts w:ascii="Arial" w:hAnsi="Arial" w:eastAsia="Arial" w:cs="Arial"/>
                <w:b/>
                <w:bCs/>
                <w:color w:val="FFFFFF"/>
                <w:sz w:val="19"/>
                <w:szCs w:val="19"/>
              </w:rPr>
              <w:t>Language</w:t>
            </w:r>
          </w:p>
        </w:tc>
        <w:tc>
          <w:tcPr>
            <w:tcW w:w="700" w:type="pct"/>
            <w:shd w:val="solid" w:color="2A5298" w:fill="2A5298"/>
            <w:tcMar>
              <w:top w:w="100" w:type="dxa"/>
              <w:left w:w="120" w:type="dxa"/>
              <w:bottom w:w="100" w:type="dxa"/>
              <w:right w:w="120" w:type="dxa"/>
            </w:tcMar>
          </w:tcPr>
          <w:p w14:paraId="4736B66E">
            <w:pPr>
              <w:jc w:val="center"/>
            </w:pPr>
            <w:r>
              <w:rPr>
                <w:rFonts w:ascii="Arial" w:hAnsi="Arial" w:eastAsia="Arial" w:cs="Arial"/>
                <w:b/>
                <w:bCs/>
                <w:color w:val="FFFFFF"/>
                <w:sz w:val="19"/>
                <w:szCs w:val="19"/>
              </w:rPr>
              <w:t>Size</w:t>
            </w:r>
          </w:p>
        </w:tc>
        <w:tc>
          <w:tcPr>
            <w:tcW w:w="650" w:type="pct"/>
            <w:shd w:val="solid" w:color="2A5298" w:fill="2A5298"/>
            <w:tcMar>
              <w:top w:w="100" w:type="dxa"/>
              <w:left w:w="120" w:type="dxa"/>
              <w:bottom w:w="100" w:type="dxa"/>
              <w:right w:w="120" w:type="dxa"/>
            </w:tcMar>
          </w:tcPr>
          <w:p w14:paraId="25E42C7A">
            <w:pPr>
              <w:jc w:val="center"/>
            </w:pPr>
            <w:r>
              <w:rPr>
                <w:rFonts w:ascii="Arial" w:hAnsi="Arial" w:eastAsia="Arial" w:cs="Arial"/>
                <w:b/>
                <w:bCs/>
                <w:color w:val="FFFFFF"/>
                <w:sz w:val="19"/>
                <w:szCs w:val="19"/>
              </w:rPr>
              <w:t>Format</w:t>
            </w:r>
          </w:p>
        </w:tc>
        <w:tc>
          <w:tcPr>
            <w:tcW w:w="2100" w:type="pct"/>
            <w:shd w:val="solid" w:color="2A5298" w:fill="2A5298"/>
            <w:tcMar>
              <w:top w:w="100" w:type="dxa"/>
              <w:left w:w="120" w:type="dxa"/>
              <w:bottom w:w="100" w:type="dxa"/>
              <w:right w:w="120" w:type="dxa"/>
            </w:tcMar>
          </w:tcPr>
          <w:p w14:paraId="37851A59">
            <w:pPr>
              <w:jc w:val="center"/>
            </w:pPr>
            <w:r>
              <w:rPr>
                <w:rFonts w:ascii="Arial" w:hAnsi="Arial" w:eastAsia="Arial" w:cs="Arial"/>
                <w:b/>
                <w:bCs/>
                <w:color w:val="FFFFFF"/>
                <w:sz w:val="19"/>
                <w:szCs w:val="19"/>
              </w:rPr>
              <w:t>Key Field Used for Matching</w:t>
            </w:r>
          </w:p>
        </w:tc>
      </w:tr>
      <w:tr w14:paraId="6228A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pct"/>
            <w:shd w:val="solid" w:color="F0F4FF" w:fill="F0F4FF"/>
            <w:tcMar>
              <w:top w:w="80" w:type="dxa"/>
              <w:left w:w="100" w:type="dxa"/>
              <w:bottom w:w="80" w:type="dxa"/>
              <w:right w:w="100" w:type="dxa"/>
            </w:tcMar>
          </w:tcPr>
          <w:p w14:paraId="216B2097">
            <w:pPr>
              <w:jc w:val="center"/>
            </w:pPr>
            <w:r>
              <w:rPr>
                <w:rFonts w:ascii="Arial" w:hAnsi="Arial" w:eastAsia="Arial" w:cs="Arial"/>
                <w:b w:val="0"/>
                <w:bCs w:val="0"/>
                <w:color w:val="1A1A2E"/>
                <w:sz w:val="19"/>
                <w:szCs w:val="19"/>
              </w:rPr>
              <w:t>Bagdhara</w:t>
            </w:r>
          </w:p>
        </w:tc>
        <w:tc>
          <w:tcPr>
            <w:tcW w:w="650" w:type="pct"/>
            <w:shd w:val="solid" w:color="F0F4FF" w:fill="F0F4FF"/>
            <w:tcMar>
              <w:top w:w="80" w:type="dxa"/>
              <w:left w:w="100" w:type="dxa"/>
              <w:bottom w:w="80" w:type="dxa"/>
              <w:right w:w="100" w:type="dxa"/>
            </w:tcMar>
          </w:tcPr>
          <w:p w14:paraId="51D7F220">
            <w:pPr>
              <w:jc w:val="center"/>
            </w:pPr>
            <w:r>
              <w:rPr>
                <w:rFonts w:ascii="Arial" w:hAnsi="Arial" w:eastAsia="Arial" w:cs="Arial"/>
                <w:b w:val="0"/>
                <w:bCs w:val="0"/>
                <w:color w:val="1A1A2E"/>
                <w:sz w:val="19"/>
                <w:szCs w:val="19"/>
              </w:rPr>
              <w:t>Bengali</w:t>
            </w:r>
          </w:p>
        </w:tc>
        <w:tc>
          <w:tcPr>
            <w:tcW w:w="700" w:type="pct"/>
            <w:shd w:val="solid" w:color="F0F4FF" w:fill="F0F4FF"/>
            <w:tcMar>
              <w:top w:w="80" w:type="dxa"/>
              <w:left w:w="100" w:type="dxa"/>
              <w:bottom w:w="80" w:type="dxa"/>
              <w:right w:w="100" w:type="dxa"/>
            </w:tcMar>
          </w:tcPr>
          <w:p w14:paraId="0AD988E5">
            <w:pPr>
              <w:jc w:val="center"/>
            </w:pPr>
            <w:r>
              <w:rPr>
                <w:rFonts w:ascii="Arial" w:hAnsi="Arial" w:eastAsia="Arial" w:cs="Arial"/>
                <w:b w:val="0"/>
                <w:bCs w:val="0"/>
                <w:color w:val="1A1A2E"/>
                <w:sz w:val="19"/>
                <w:szCs w:val="19"/>
              </w:rPr>
              <w:t>~8,800 idioms</w:t>
            </w:r>
          </w:p>
        </w:tc>
        <w:tc>
          <w:tcPr>
            <w:tcW w:w="650" w:type="pct"/>
            <w:shd w:val="solid" w:color="F0F4FF" w:fill="F0F4FF"/>
            <w:tcMar>
              <w:top w:w="80" w:type="dxa"/>
              <w:left w:w="100" w:type="dxa"/>
              <w:bottom w:w="80" w:type="dxa"/>
              <w:right w:w="100" w:type="dxa"/>
            </w:tcMar>
          </w:tcPr>
          <w:p w14:paraId="527420D0">
            <w:pPr>
              <w:jc w:val="center"/>
            </w:pPr>
            <w:r>
              <w:rPr>
                <w:rFonts w:ascii="Arial" w:hAnsi="Arial" w:eastAsia="Arial" w:cs="Arial"/>
                <w:b w:val="0"/>
                <w:bCs w:val="0"/>
                <w:color w:val="1A1A2E"/>
                <w:sz w:val="19"/>
                <w:szCs w:val="19"/>
              </w:rPr>
              <w:t>One JSON file per idiom</w:t>
            </w:r>
          </w:p>
        </w:tc>
        <w:tc>
          <w:tcPr>
            <w:tcW w:w="2100" w:type="pct"/>
            <w:shd w:val="solid" w:color="F0F4FF" w:fill="F0F4FF"/>
            <w:tcMar>
              <w:top w:w="80" w:type="dxa"/>
              <w:left w:w="100" w:type="dxa"/>
              <w:bottom w:w="80" w:type="dxa"/>
              <w:right w:w="100" w:type="dxa"/>
            </w:tcMar>
          </w:tcPr>
          <w:p w14:paraId="3F232A0D">
            <w:pPr>
              <w:jc w:val="center"/>
            </w:pPr>
            <w:r>
              <w:rPr>
                <w:rFonts w:ascii="Arial" w:hAnsi="Arial" w:eastAsia="Arial" w:cs="Arial"/>
                <w:b w:val="0"/>
                <w:bCs w:val="0"/>
                <w:color w:val="1A1A2E"/>
                <w:sz w:val="19"/>
                <w:szCs w:val="19"/>
              </w:rPr>
              <w:t>similar_in_english (list of English equivalents)</w:t>
            </w:r>
          </w:p>
        </w:tc>
      </w:tr>
      <w:tr w14:paraId="10058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pct"/>
            <w:shd w:val="solid" w:color="FFFFFF" w:fill="FFFFFF"/>
            <w:tcMar>
              <w:top w:w="80" w:type="dxa"/>
              <w:left w:w="100" w:type="dxa"/>
              <w:bottom w:w="80" w:type="dxa"/>
              <w:right w:w="100" w:type="dxa"/>
            </w:tcMar>
          </w:tcPr>
          <w:p w14:paraId="7D21616C">
            <w:pPr>
              <w:jc w:val="center"/>
            </w:pPr>
            <w:r>
              <w:rPr>
                <w:rFonts w:ascii="Arial" w:hAnsi="Arial" w:eastAsia="Arial" w:cs="Arial"/>
                <w:b w:val="0"/>
                <w:bCs w:val="0"/>
                <w:color w:val="1A1A2E"/>
                <w:sz w:val="19"/>
                <w:szCs w:val="19"/>
              </w:rPr>
              <w:t>Bengali-Bangla JSON</w:t>
            </w:r>
          </w:p>
        </w:tc>
        <w:tc>
          <w:tcPr>
            <w:tcW w:w="650" w:type="pct"/>
            <w:shd w:val="solid" w:color="FFFFFF" w:fill="FFFFFF"/>
            <w:tcMar>
              <w:top w:w="80" w:type="dxa"/>
              <w:left w:w="100" w:type="dxa"/>
              <w:bottom w:w="80" w:type="dxa"/>
              <w:right w:w="100" w:type="dxa"/>
            </w:tcMar>
          </w:tcPr>
          <w:p w14:paraId="27953EE7">
            <w:pPr>
              <w:jc w:val="center"/>
            </w:pPr>
            <w:r>
              <w:rPr>
                <w:rFonts w:ascii="Arial" w:hAnsi="Arial" w:eastAsia="Arial" w:cs="Arial"/>
                <w:b w:val="0"/>
                <w:bCs w:val="0"/>
                <w:color w:val="1A1A2E"/>
                <w:sz w:val="19"/>
                <w:szCs w:val="19"/>
              </w:rPr>
              <w:t>Bengali</w:t>
            </w:r>
          </w:p>
        </w:tc>
        <w:tc>
          <w:tcPr>
            <w:tcW w:w="700" w:type="pct"/>
            <w:shd w:val="solid" w:color="FFFFFF" w:fill="FFFFFF"/>
            <w:tcMar>
              <w:top w:w="80" w:type="dxa"/>
              <w:left w:w="100" w:type="dxa"/>
              <w:bottom w:w="80" w:type="dxa"/>
              <w:right w:w="100" w:type="dxa"/>
            </w:tcMar>
          </w:tcPr>
          <w:p w14:paraId="4F93E407">
            <w:pPr>
              <w:jc w:val="center"/>
            </w:pPr>
            <w:r>
              <w:rPr>
                <w:rFonts w:ascii="Arial" w:hAnsi="Arial" w:eastAsia="Arial" w:cs="Arial"/>
                <w:b w:val="0"/>
                <w:bCs w:val="0"/>
                <w:color w:val="1A1A2E"/>
                <w:sz w:val="19"/>
                <w:szCs w:val="19"/>
              </w:rPr>
              <w:t>~6 idioms</w:t>
            </w:r>
          </w:p>
        </w:tc>
        <w:tc>
          <w:tcPr>
            <w:tcW w:w="650" w:type="pct"/>
            <w:shd w:val="solid" w:color="FFFFFF" w:fill="FFFFFF"/>
            <w:tcMar>
              <w:top w:w="80" w:type="dxa"/>
              <w:left w:w="100" w:type="dxa"/>
              <w:bottom w:w="80" w:type="dxa"/>
              <w:right w:w="100" w:type="dxa"/>
            </w:tcMar>
          </w:tcPr>
          <w:p w14:paraId="0906EA40">
            <w:pPr>
              <w:jc w:val="center"/>
            </w:pPr>
            <w:r>
              <w:rPr>
                <w:rFonts w:ascii="Arial" w:hAnsi="Arial" w:eastAsia="Arial" w:cs="Arial"/>
                <w:b w:val="0"/>
                <w:bCs w:val="0"/>
                <w:color w:val="1A1A2E"/>
                <w:sz w:val="19"/>
                <w:szCs w:val="19"/>
              </w:rPr>
              <w:t>Array JSON</w:t>
            </w:r>
          </w:p>
        </w:tc>
        <w:tc>
          <w:tcPr>
            <w:tcW w:w="2100" w:type="pct"/>
            <w:shd w:val="solid" w:color="FFFFFF" w:fill="FFFFFF"/>
            <w:tcMar>
              <w:top w:w="80" w:type="dxa"/>
              <w:left w:w="100" w:type="dxa"/>
              <w:bottom w:w="80" w:type="dxa"/>
              <w:right w:w="100" w:type="dxa"/>
            </w:tcMar>
          </w:tcPr>
          <w:p w14:paraId="466D6347">
            <w:pPr>
              <w:jc w:val="center"/>
            </w:pPr>
            <w:r>
              <w:rPr>
                <w:rFonts w:ascii="Arial" w:hAnsi="Arial" w:eastAsia="Arial" w:cs="Arial"/>
                <w:b w:val="0"/>
                <w:bCs w:val="0"/>
                <w:color w:val="1A1A2E"/>
                <w:sz w:val="19"/>
                <w:szCs w:val="19"/>
              </w:rPr>
              <w:t>figurative_meaning (English text)</w:t>
            </w:r>
          </w:p>
        </w:tc>
      </w:tr>
      <w:tr w14:paraId="03683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pct"/>
            <w:shd w:val="solid" w:color="F0F4FF" w:fill="F0F4FF"/>
            <w:tcMar>
              <w:top w:w="80" w:type="dxa"/>
              <w:left w:w="100" w:type="dxa"/>
              <w:bottom w:w="80" w:type="dxa"/>
              <w:right w:w="100" w:type="dxa"/>
            </w:tcMar>
          </w:tcPr>
          <w:p w14:paraId="3699EB7A">
            <w:pPr>
              <w:jc w:val="center"/>
            </w:pPr>
            <w:r>
              <w:rPr>
                <w:rFonts w:ascii="Arial" w:hAnsi="Arial" w:eastAsia="Arial" w:cs="Arial"/>
                <w:b w:val="0"/>
                <w:bCs w:val="0"/>
                <w:color w:val="1A1A2E"/>
                <w:sz w:val="19"/>
                <w:szCs w:val="19"/>
              </w:rPr>
              <w:t>English JSON</w:t>
            </w:r>
          </w:p>
        </w:tc>
        <w:tc>
          <w:tcPr>
            <w:tcW w:w="650" w:type="pct"/>
            <w:shd w:val="solid" w:color="F0F4FF" w:fill="F0F4FF"/>
            <w:tcMar>
              <w:top w:w="80" w:type="dxa"/>
              <w:left w:w="100" w:type="dxa"/>
              <w:bottom w:w="80" w:type="dxa"/>
              <w:right w:w="100" w:type="dxa"/>
            </w:tcMar>
          </w:tcPr>
          <w:p w14:paraId="327BE275">
            <w:pPr>
              <w:jc w:val="center"/>
            </w:pPr>
            <w:r>
              <w:rPr>
                <w:rFonts w:ascii="Arial" w:hAnsi="Arial" w:eastAsia="Arial" w:cs="Arial"/>
                <w:b w:val="0"/>
                <w:bCs w:val="0"/>
                <w:color w:val="1A1A2E"/>
                <w:sz w:val="19"/>
                <w:szCs w:val="19"/>
              </w:rPr>
              <w:t>English</w:t>
            </w:r>
          </w:p>
        </w:tc>
        <w:tc>
          <w:tcPr>
            <w:tcW w:w="700" w:type="pct"/>
            <w:shd w:val="solid" w:color="F0F4FF" w:fill="F0F4FF"/>
            <w:tcMar>
              <w:top w:w="80" w:type="dxa"/>
              <w:left w:w="100" w:type="dxa"/>
              <w:bottom w:w="80" w:type="dxa"/>
              <w:right w:w="100" w:type="dxa"/>
            </w:tcMar>
          </w:tcPr>
          <w:p w14:paraId="5CB0B25A">
            <w:pPr>
              <w:jc w:val="center"/>
            </w:pPr>
            <w:r>
              <w:rPr>
                <w:rFonts w:ascii="Arial" w:hAnsi="Arial" w:eastAsia="Arial" w:cs="Arial"/>
                <w:b w:val="0"/>
                <w:bCs w:val="0"/>
                <w:color w:val="1A1A2E"/>
                <w:sz w:val="19"/>
                <w:szCs w:val="19"/>
              </w:rPr>
              <w:t>~500+ idioms</w:t>
            </w:r>
          </w:p>
        </w:tc>
        <w:tc>
          <w:tcPr>
            <w:tcW w:w="650" w:type="pct"/>
            <w:shd w:val="solid" w:color="F0F4FF" w:fill="F0F4FF"/>
            <w:tcMar>
              <w:top w:w="80" w:type="dxa"/>
              <w:left w:w="100" w:type="dxa"/>
              <w:bottom w:w="80" w:type="dxa"/>
              <w:right w:w="100" w:type="dxa"/>
            </w:tcMar>
          </w:tcPr>
          <w:p w14:paraId="2279791A">
            <w:pPr>
              <w:jc w:val="center"/>
            </w:pPr>
            <w:r>
              <w:rPr>
                <w:rFonts w:ascii="Arial" w:hAnsi="Arial" w:eastAsia="Arial" w:cs="Arial"/>
                <w:b w:val="0"/>
                <w:bCs w:val="0"/>
                <w:color w:val="1A1A2E"/>
                <w:sz w:val="19"/>
                <w:szCs w:val="19"/>
              </w:rPr>
              <w:t>Array JSON</w:t>
            </w:r>
          </w:p>
        </w:tc>
        <w:tc>
          <w:tcPr>
            <w:tcW w:w="2100" w:type="pct"/>
            <w:shd w:val="solid" w:color="F0F4FF" w:fill="F0F4FF"/>
            <w:tcMar>
              <w:top w:w="80" w:type="dxa"/>
              <w:left w:w="100" w:type="dxa"/>
              <w:bottom w:w="80" w:type="dxa"/>
              <w:right w:w="100" w:type="dxa"/>
            </w:tcMar>
          </w:tcPr>
          <w:p w14:paraId="7F608185">
            <w:pPr>
              <w:jc w:val="center"/>
            </w:pPr>
            <w:r>
              <w:rPr>
                <w:rFonts w:ascii="Arial" w:hAnsi="Arial" w:eastAsia="Arial" w:cs="Arial"/>
                <w:b w:val="0"/>
                <w:bCs w:val="0"/>
                <w:color w:val="1A1A2E"/>
                <w:sz w:val="19"/>
                <w:szCs w:val="19"/>
              </w:rPr>
              <w:t>figurative_meaning (English text)</w:t>
            </w:r>
          </w:p>
        </w:tc>
      </w:tr>
      <w:tr w14:paraId="17735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pct"/>
            <w:shd w:val="solid" w:color="FFFFFF" w:fill="FFFFFF"/>
            <w:tcMar>
              <w:top w:w="80" w:type="dxa"/>
              <w:left w:w="100" w:type="dxa"/>
              <w:bottom w:w="80" w:type="dxa"/>
              <w:right w:w="100" w:type="dxa"/>
            </w:tcMar>
          </w:tcPr>
          <w:p w14:paraId="09C6ABA9">
            <w:pPr>
              <w:jc w:val="center"/>
            </w:pPr>
            <w:r>
              <w:rPr>
                <w:rFonts w:ascii="Arial" w:hAnsi="Arial" w:eastAsia="Arial" w:cs="Arial"/>
                <w:b w:val="0"/>
                <w:bCs w:val="0"/>
                <w:color w:val="1A1A2E"/>
                <w:sz w:val="19"/>
                <w:szCs w:val="19"/>
              </w:rPr>
              <w:t>Hindi JSON</w:t>
            </w:r>
          </w:p>
        </w:tc>
        <w:tc>
          <w:tcPr>
            <w:tcW w:w="650" w:type="pct"/>
            <w:shd w:val="solid" w:color="FFFFFF" w:fill="FFFFFF"/>
            <w:tcMar>
              <w:top w:w="80" w:type="dxa"/>
              <w:left w:w="100" w:type="dxa"/>
              <w:bottom w:w="80" w:type="dxa"/>
              <w:right w:w="100" w:type="dxa"/>
            </w:tcMar>
          </w:tcPr>
          <w:p w14:paraId="57B04AF0">
            <w:pPr>
              <w:jc w:val="center"/>
            </w:pPr>
            <w:r>
              <w:rPr>
                <w:rFonts w:ascii="Arial" w:hAnsi="Arial" w:eastAsia="Arial" w:cs="Arial"/>
                <w:b w:val="0"/>
                <w:bCs w:val="0"/>
                <w:color w:val="1A1A2E"/>
                <w:sz w:val="19"/>
                <w:szCs w:val="19"/>
              </w:rPr>
              <w:t>Hindi</w:t>
            </w:r>
          </w:p>
        </w:tc>
        <w:tc>
          <w:tcPr>
            <w:tcW w:w="700" w:type="pct"/>
            <w:shd w:val="solid" w:color="FFFFFF" w:fill="FFFFFF"/>
            <w:tcMar>
              <w:top w:w="80" w:type="dxa"/>
              <w:left w:w="100" w:type="dxa"/>
              <w:bottom w:w="80" w:type="dxa"/>
              <w:right w:w="100" w:type="dxa"/>
            </w:tcMar>
          </w:tcPr>
          <w:p w14:paraId="052D036B">
            <w:pPr>
              <w:jc w:val="center"/>
            </w:pPr>
            <w:r>
              <w:rPr>
                <w:rFonts w:ascii="Arial" w:hAnsi="Arial" w:eastAsia="Arial" w:cs="Arial"/>
                <w:b w:val="0"/>
                <w:bCs w:val="0"/>
                <w:color w:val="1A1A2E"/>
                <w:sz w:val="19"/>
                <w:szCs w:val="19"/>
              </w:rPr>
              <w:t>~200+ idioms</w:t>
            </w:r>
          </w:p>
        </w:tc>
        <w:tc>
          <w:tcPr>
            <w:tcW w:w="650" w:type="pct"/>
            <w:shd w:val="solid" w:color="FFFFFF" w:fill="FFFFFF"/>
            <w:tcMar>
              <w:top w:w="80" w:type="dxa"/>
              <w:left w:w="100" w:type="dxa"/>
              <w:bottom w:w="80" w:type="dxa"/>
              <w:right w:w="100" w:type="dxa"/>
            </w:tcMar>
          </w:tcPr>
          <w:p w14:paraId="5FA4DE01">
            <w:pPr>
              <w:jc w:val="center"/>
            </w:pPr>
            <w:r>
              <w:rPr>
                <w:rFonts w:ascii="Arial" w:hAnsi="Arial" w:eastAsia="Arial" w:cs="Arial"/>
                <w:b w:val="0"/>
                <w:bCs w:val="0"/>
                <w:color w:val="1A1A2E"/>
                <w:sz w:val="19"/>
                <w:szCs w:val="19"/>
              </w:rPr>
              <w:t>Array JSON</w:t>
            </w:r>
          </w:p>
        </w:tc>
        <w:tc>
          <w:tcPr>
            <w:tcW w:w="2100" w:type="pct"/>
            <w:shd w:val="solid" w:color="FFFFFF" w:fill="FFFFFF"/>
            <w:tcMar>
              <w:top w:w="80" w:type="dxa"/>
              <w:left w:w="100" w:type="dxa"/>
              <w:bottom w:w="80" w:type="dxa"/>
              <w:right w:w="100" w:type="dxa"/>
            </w:tcMar>
          </w:tcPr>
          <w:p w14:paraId="21BDC75B">
            <w:pPr>
              <w:jc w:val="center"/>
            </w:pPr>
            <w:r>
              <w:rPr>
                <w:rFonts w:ascii="Arial" w:hAnsi="Arial" w:eastAsia="Arial" w:cs="Arial"/>
                <w:b w:val="0"/>
                <w:bCs w:val="0"/>
                <w:color w:val="1A1A2E"/>
                <w:sz w:val="19"/>
                <w:szCs w:val="19"/>
              </w:rPr>
              <w:t>figurative_meaning (English text — required)</w:t>
            </w:r>
          </w:p>
        </w:tc>
      </w:tr>
    </w:tbl>
    <w:p w14:paraId="0855E5E2">
      <w:pPr>
        <w:spacing w:before="60" w:after="60"/>
      </w:pPr>
    </w:p>
    <w:p w14:paraId="1B5830BA">
      <w:pPr>
        <w:pStyle w:val="3"/>
        <w:spacing w:before="300" w:after="160"/>
      </w:pPr>
      <w:r>
        <w:rPr>
          <w:rFonts w:ascii="Arial" w:hAnsi="Arial" w:eastAsia="Arial" w:cs="Arial"/>
          <w:b/>
          <w:bCs/>
          <w:color w:val="2A5298"/>
          <w:sz w:val="26"/>
          <w:szCs w:val="26"/>
        </w:rPr>
        <w:t>2.2 The Critical Field: similar_in_english</w:t>
      </w:r>
    </w:p>
    <w:p w14:paraId="4C677C9F">
      <w:pPr>
        <w:spacing w:before="80" w:after="120"/>
        <w:jc w:val="both"/>
      </w:pPr>
      <w:r>
        <w:rPr>
          <w:rFonts w:ascii="Arial" w:hAnsi="Arial" w:eastAsia="Arial" w:cs="Arial"/>
          <w:sz w:val="22"/>
          <w:szCs w:val="22"/>
        </w:rPr>
        <w:t>The most important discovery in your data was that the Bagdhara dataset already contains a field called 'similar_in_english' — a list of English idioms that carry the same figurative meaning as each Bengali idiom. This field provided direct, human-curated Bengali→English ground truth alignment without any automated matching needed.</w:t>
      </w:r>
    </w:p>
    <w:p w14:paraId="4D20E003">
      <w:pPr>
        <w:spacing w:before="60" w:after="60"/>
      </w:pPr>
    </w:p>
    <w:p w14:paraId="1973FF7E">
      <w:pPr>
        <w:shd w:val="solid" w:fill="F4F4F4"/>
        <w:spacing w:before="80" w:after="80"/>
        <w:ind w:left="360"/>
        <w:rPr>
          <w:shd w:val="clear" w:color="FFFFFF" w:fill="D9D9D9"/>
        </w:rPr>
      </w:pPr>
      <w:r>
        <w:rPr>
          <w:rFonts w:ascii="Courier New" w:hAnsi="Courier New" w:eastAsia="Courier New" w:cs="Courier New"/>
          <w:color w:val="1A1A2E"/>
          <w:sz w:val="19"/>
          <w:szCs w:val="19"/>
          <w:shd w:val="clear" w:color="FFFFFF" w:fill="D9D9D9"/>
        </w:rPr>
        <w:t>Bengali: "অ আ ক খ"  →  similar_in_english: ["Learning the ABCs"]</w:t>
      </w:r>
    </w:p>
    <w:p w14:paraId="67B23D66">
      <w:pPr>
        <w:shd w:val="solid" w:fill="F4F4F4"/>
        <w:spacing w:before="80" w:after="80"/>
        <w:ind w:left="360"/>
        <w:rPr>
          <w:shd w:val="clear" w:color="FFFFFF" w:fill="D9D9D9"/>
        </w:rPr>
      </w:pPr>
      <w:r>
        <w:rPr>
          <w:rFonts w:ascii="Courier New" w:hAnsi="Courier New" w:eastAsia="Courier New" w:cs="Courier New"/>
          <w:color w:val="1A1A2E"/>
          <w:sz w:val="19"/>
          <w:szCs w:val="19"/>
          <w:shd w:val="clear" w:color="FFFFFF" w:fill="D9D9D9"/>
        </w:rPr>
        <w:t>Bengali: "আকাশ কুসুম"  →  similar_in_english: ["Build castles in the air", "Pie in the sky"]</w:t>
      </w:r>
    </w:p>
    <w:p w14:paraId="5EF1361C">
      <w:pPr>
        <w:spacing w:before="60" w:after="60"/>
      </w:pPr>
    </w:p>
    <w:p w14:paraId="2D29B257">
      <w:pPr>
        <w:spacing w:before="80" w:after="80"/>
        <w:ind w:left="360"/>
      </w:pPr>
      <w:r>
        <w:rPr>
          <w:rFonts w:ascii="Arial" w:hAnsi="Arial" w:eastAsia="Arial" w:cs="Arial"/>
          <w:i/>
          <w:iCs/>
          <w:color w:val="555555"/>
          <w:sz w:val="20"/>
          <w:szCs w:val="20"/>
        </w:rPr>
        <w:t>ℹ  This field is what makes your Bengali–English pairs HIGH confidence. The model never sees these meanings — they are only used to identify which pairs to evaluate.</w:t>
      </w:r>
    </w:p>
    <w:p w14:paraId="2C7CDFE1">
      <w:pPr>
        <w:spacing w:before="60" w:after="60"/>
      </w:pPr>
    </w:p>
    <w:p w14:paraId="1F79A34F">
      <w:pPr>
        <w:pStyle w:val="3"/>
        <w:spacing w:before="300" w:after="160"/>
      </w:pPr>
      <w:r>
        <w:rPr>
          <w:rFonts w:ascii="Arial" w:hAnsi="Arial" w:eastAsia="Arial" w:cs="Arial"/>
          <w:b/>
          <w:bCs/>
          <w:color w:val="2A5298"/>
          <w:sz w:val="26"/>
          <w:szCs w:val="26"/>
        </w:rPr>
        <w:t>2.3 Critical Requirement for Hindi Data</w:t>
      </w:r>
    </w:p>
    <w:p w14:paraId="30807B81">
      <w:pPr>
        <w:spacing w:before="80" w:after="120"/>
        <w:jc w:val="both"/>
      </w:pPr>
      <w:r>
        <w:rPr>
          <w:rFonts w:ascii="Arial" w:hAnsi="Arial" w:eastAsia="Arial" w:cs="Arial"/>
          <w:sz w:val="22"/>
          <w:szCs w:val="22"/>
        </w:rPr>
        <w:t>The Hindi dataset required a specific structure to work correctly. The figurative_meaning field for each Hindi idiom MUST be written in English — not Hindi. This is because the matching bridge compares the Bengali idiom's English meaning description with the Hindi idiom's English meaning description using keyword overlap. If the Hindi meanings were in Hindi script, no overlap would be found and all pairs would be empty.</w:t>
      </w:r>
    </w:p>
    <w:p w14:paraId="6740CCB9">
      <w:pPr>
        <w:spacing w:before="60" w:after="60"/>
        <w:rPr>
          <w:shd w:val="clear" w:color="FFFFFF" w:fill="D9D9D9"/>
        </w:rPr>
      </w:pPr>
    </w:p>
    <w:p w14:paraId="2E901418">
      <w:pPr>
        <w:shd w:val="solid" w:fill="F4F4F4"/>
        <w:spacing w:before="80" w:after="80"/>
        <w:ind w:left="360"/>
        <w:rPr>
          <w:shd w:val="clear" w:color="FFFFFF" w:fill="D9D9D9"/>
        </w:rPr>
      </w:pPr>
      <w:r>
        <w:rPr>
          <w:rFonts w:ascii="Courier New" w:hAnsi="Courier New" w:eastAsia="Courier New" w:cs="Courier New"/>
          <w:color w:val="1A1A2E"/>
          <w:sz w:val="19"/>
          <w:szCs w:val="19"/>
          <w:shd w:val="clear" w:color="FFFFFF" w:fill="D9D9D9"/>
        </w:rPr>
        <w:t>CORRECT:  "figurative_meaning": "To restrict someone's freedom"   ← English</w:t>
      </w:r>
    </w:p>
    <w:p w14:paraId="6C72A1F7">
      <w:pPr>
        <w:shd w:val="solid" w:fill="F4F4F4"/>
        <w:spacing w:before="80" w:after="80"/>
        <w:ind w:left="360"/>
        <w:rPr>
          <w:shd w:val="clear" w:color="FFFFFF" w:fill="D9D9D9"/>
        </w:rPr>
      </w:pPr>
      <w:r>
        <w:rPr>
          <w:rFonts w:ascii="Courier New" w:hAnsi="Courier New" w:eastAsia="Courier New" w:cs="Courier New"/>
          <w:color w:val="1A1A2E"/>
          <w:sz w:val="19"/>
          <w:szCs w:val="19"/>
          <w:shd w:val="clear" w:color="FFFFFF" w:fill="D9D9D9"/>
        </w:rPr>
        <w:t>INCORRECT: "figurative_meaning": "स्वतंत्रता को सीमित करना"         ← Hindi (fails matching)</w:t>
      </w:r>
    </w:p>
    <w:p w14:paraId="436F03A8">
      <w:pPr>
        <w:spacing w:before="60" w:after="60"/>
      </w:pPr>
    </w:p>
    <w:p w14:paraId="5F10395E">
      <w:pPr>
        <w:pStyle w:val="3"/>
        <w:spacing w:before="300" w:after="160"/>
      </w:pPr>
      <w:r>
        <w:rPr>
          <w:rFonts w:ascii="Arial" w:hAnsi="Arial" w:eastAsia="Arial" w:cs="Arial"/>
          <w:b/>
          <w:bCs/>
          <w:color w:val="2A5298"/>
          <w:sz w:val="26"/>
          <w:szCs w:val="26"/>
        </w:rPr>
        <w:t>2.4 Building the Triplet Dataset</w:t>
      </w:r>
    </w:p>
    <w:p w14:paraId="39D0EC6F">
      <w:pPr>
        <w:spacing w:before="80" w:after="120"/>
        <w:jc w:val="both"/>
      </w:pPr>
      <w:r>
        <w:rPr>
          <w:rFonts w:ascii="Arial" w:hAnsi="Arial" w:eastAsia="Arial" w:cs="Arial"/>
          <w:sz w:val="22"/>
          <w:szCs w:val="22"/>
        </w:rPr>
        <w:t>A 'triplet' connects one Bengali idiom, one English equivalent, and one Hindi equivalent into a single row. Two strategies were used to build triplets:</w:t>
      </w:r>
    </w:p>
    <w:p w14:paraId="7F34D8F6">
      <w:pPr>
        <w:spacing w:before="60" w:after="60"/>
      </w:pPr>
    </w:p>
    <w:p w14:paraId="275E2769">
      <w:pPr>
        <w:pStyle w:val="16"/>
        <w:numPr>
          <w:ilvl w:val="0"/>
          <w:numId w:val="1"/>
        </w:numPr>
        <w:spacing w:before="60" w:after="60"/>
      </w:pPr>
      <w:r>
        <w:rPr>
          <w:rFonts w:ascii="Arial" w:hAnsi="Arial" w:eastAsia="Arial" w:cs="Arial"/>
          <w:b/>
          <w:bCs/>
          <w:sz w:val="22"/>
          <w:szCs w:val="22"/>
        </w:rPr>
        <w:t xml:space="preserve">Strategy A — HIGH confidence (Bagdhara rows): </w:t>
      </w:r>
      <w:r>
        <w:rPr>
          <w:rFonts w:ascii="Arial" w:hAnsi="Arial" w:eastAsia="Arial" w:cs="Arial"/>
          <w:sz w:val="22"/>
          <w:szCs w:val="22"/>
        </w:rPr>
        <w:t>The similar_in_english list directly provides the English match. The Hindi match is found by keyword overlap between the Bengali meaning and Hindi meanings.</w:t>
      </w:r>
    </w:p>
    <w:p w14:paraId="12E4843C">
      <w:pPr>
        <w:pStyle w:val="16"/>
        <w:numPr>
          <w:ilvl w:val="0"/>
          <w:numId w:val="1"/>
        </w:numPr>
        <w:spacing w:before="60" w:after="60"/>
      </w:pPr>
      <w:r>
        <w:rPr>
          <w:rFonts w:ascii="Arial" w:hAnsi="Arial" w:eastAsia="Arial" w:cs="Arial"/>
          <w:b/>
          <w:bCs/>
          <w:sz w:val="22"/>
          <w:szCs w:val="22"/>
        </w:rPr>
        <w:t xml:space="preserve">Strategy B — MEDIUM confidence (other Bengali rows): </w:t>
      </w:r>
      <w:r>
        <w:rPr>
          <w:rFonts w:ascii="Arial" w:hAnsi="Arial" w:eastAsia="Arial" w:cs="Arial"/>
          <w:sz w:val="22"/>
          <w:szCs w:val="22"/>
        </w:rPr>
        <w:t>The figurative_meaning_en field provides an English description. Both English and Hindi idioms are found by keyword overlap against this description.</w:t>
      </w:r>
    </w:p>
    <w:p w14:paraId="463E7465">
      <w:pPr>
        <w:spacing w:before="60" w:after="6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55"/>
        <w:gridCol w:w="1933"/>
        <w:gridCol w:w="2611"/>
        <w:gridCol w:w="2611"/>
        <w:gridCol w:w="1276"/>
      </w:tblGrid>
      <w:tr w14:paraId="2985B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50" w:type="pct"/>
            <w:shd w:val="solid" w:color="2A5298" w:fill="2A5298"/>
            <w:tcMar>
              <w:top w:w="100" w:type="dxa"/>
              <w:left w:w="120" w:type="dxa"/>
              <w:bottom w:w="100" w:type="dxa"/>
              <w:right w:w="120" w:type="dxa"/>
            </w:tcMar>
          </w:tcPr>
          <w:p w14:paraId="01C908AB">
            <w:pPr>
              <w:jc w:val="center"/>
            </w:pPr>
            <w:r>
              <w:rPr>
                <w:rFonts w:ascii="Arial" w:hAnsi="Arial" w:eastAsia="Arial" w:cs="Arial"/>
                <w:b/>
                <w:bCs/>
                <w:color w:val="FFFFFF"/>
                <w:sz w:val="19"/>
                <w:szCs w:val="19"/>
              </w:rPr>
              <w:t>Strategy</w:t>
            </w:r>
          </w:p>
        </w:tc>
        <w:tc>
          <w:tcPr>
            <w:tcW w:w="1000" w:type="pct"/>
            <w:shd w:val="solid" w:color="2A5298" w:fill="2A5298"/>
            <w:tcMar>
              <w:top w:w="100" w:type="dxa"/>
              <w:left w:w="120" w:type="dxa"/>
              <w:bottom w:w="100" w:type="dxa"/>
              <w:right w:w="120" w:type="dxa"/>
            </w:tcMar>
          </w:tcPr>
          <w:p w14:paraId="77DED59C">
            <w:pPr>
              <w:jc w:val="center"/>
            </w:pPr>
            <w:r>
              <w:rPr>
                <w:rFonts w:ascii="Arial" w:hAnsi="Arial" w:eastAsia="Arial" w:cs="Arial"/>
                <w:b/>
                <w:bCs/>
                <w:color w:val="FFFFFF"/>
                <w:sz w:val="19"/>
                <w:szCs w:val="19"/>
              </w:rPr>
              <w:t>Source</w:t>
            </w:r>
          </w:p>
        </w:tc>
        <w:tc>
          <w:tcPr>
            <w:tcW w:w="1350" w:type="pct"/>
            <w:shd w:val="solid" w:color="2A5298" w:fill="2A5298"/>
            <w:tcMar>
              <w:top w:w="100" w:type="dxa"/>
              <w:left w:w="120" w:type="dxa"/>
              <w:bottom w:w="100" w:type="dxa"/>
              <w:right w:w="120" w:type="dxa"/>
            </w:tcMar>
          </w:tcPr>
          <w:p w14:paraId="0B5EEA4A">
            <w:pPr>
              <w:jc w:val="center"/>
            </w:pPr>
            <w:r>
              <w:rPr>
                <w:rFonts w:ascii="Arial" w:hAnsi="Arial" w:eastAsia="Arial" w:cs="Arial"/>
                <w:b/>
                <w:bCs/>
                <w:color w:val="FFFFFF"/>
                <w:sz w:val="19"/>
                <w:szCs w:val="19"/>
              </w:rPr>
              <w:t>Bengali→English</w:t>
            </w:r>
          </w:p>
        </w:tc>
        <w:tc>
          <w:tcPr>
            <w:tcW w:w="1350" w:type="pct"/>
            <w:shd w:val="solid" w:color="2A5298" w:fill="2A5298"/>
            <w:tcMar>
              <w:top w:w="100" w:type="dxa"/>
              <w:left w:w="120" w:type="dxa"/>
              <w:bottom w:w="100" w:type="dxa"/>
              <w:right w:w="120" w:type="dxa"/>
            </w:tcMar>
          </w:tcPr>
          <w:p w14:paraId="3C1CA778">
            <w:pPr>
              <w:jc w:val="center"/>
            </w:pPr>
            <w:r>
              <w:rPr>
                <w:rFonts w:ascii="Arial" w:hAnsi="Arial" w:eastAsia="Arial" w:cs="Arial"/>
                <w:b/>
                <w:bCs/>
                <w:color w:val="FFFFFF"/>
                <w:sz w:val="19"/>
                <w:szCs w:val="19"/>
              </w:rPr>
              <w:t>Bengali→Hindi</w:t>
            </w:r>
          </w:p>
        </w:tc>
        <w:tc>
          <w:tcPr>
            <w:tcW w:w="650" w:type="pct"/>
            <w:shd w:val="solid" w:color="2A5298" w:fill="2A5298"/>
            <w:tcMar>
              <w:top w:w="100" w:type="dxa"/>
              <w:left w:w="120" w:type="dxa"/>
              <w:bottom w:w="100" w:type="dxa"/>
              <w:right w:w="120" w:type="dxa"/>
            </w:tcMar>
          </w:tcPr>
          <w:p w14:paraId="7F783B94">
            <w:pPr>
              <w:jc w:val="center"/>
            </w:pPr>
            <w:r>
              <w:rPr>
                <w:rFonts w:ascii="Arial" w:hAnsi="Arial" w:eastAsia="Arial" w:cs="Arial"/>
                <w:b/>
                <w:bCs/>
                <w:color w:val="FFFFFF"/>
                <w:sz w:val="19"/>
                <w:szCs w:val="19"/>
              </w:rPr>
              <w:t>Confidence</w:t>
            </w:r>
          </w:p>
        </w:tc>
      </w:tr>
      <w:tr w14:paraId="3EF49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pct"/>
            <w:shd w:val="solid" w:color="F0F4FF" w:fill="F0F4FF"/>
            <w:tcMar>
              <w:top w:w="80" w:type="dxa"/>
              <w:left w:w="100" w:type="dxa"/>
              <w:bottom w:w="80" w:type="dxa"/>
              <w:right w:w="100" w:type="dxa"/>
            </w:tcMar>
          </w:tcPr>
          <w:p w14:paraId="23CC5A4F">
            <w:pPr>
              <w:jc w:val="center"/>
            </w:pPr>
            <w:r>
              <w:rPr>
                <w:rFonts w:ascii="Arial" w:hAnsi="Arial" w:eastAsia="Arial" w:cs="Arial"/>
                <w:b w:val="0"/>
                <w:bCs w:val="0"/>
                <w:color w:val="1A1A2E"/>
                <w:sz w:val="19"/>
                <w:szCs w:val="19"/>
              </w:rPr>
              <w:t>A</w:t>
            </w:r>
          </w:p>
        </w:tc>
        <w:tc>
          <w:tcPr>
            <w:tcW w:w="1000" w:type="pct"/>
            <w:shd w:val="solid" w:color="F0F4FF" w:fill="F0F4FF"/>
            <w:tcMar>
              <w:top w:w="80" w:type="dxa"/>
              <w:left w:w="100" w:type="dxa"/>
              <w:bottom w:w="80" w:type="dxa"/>
              <w:right w:w="100" w:type="dxa"/>
            </w:tcMar>
          </w:tcPr>
          <w:p w14:paraId="7900AA3A">
            <w:pPr>
              <w:jc w:val="center"/>
            </w:pPr>
            <w:r>
              <w:rPr>
                <w:rFonts w:ascii="Arial" w:hAnsi="Arial" w:eastAsia="Arial" w:cs="Arial"/>
                <w:b w:val="0"/>
                <w:bCs w:val="0"/>
                <w:color w:val="1A1A2E"/>
                <w:sz w:val="19"/>
                <w:szCs w:val="19"/>
              </w:rPr>
              <w:t>Bagdhara (8,800 idioms)</w:t>
            </w:r>
          </w:p>
        </w:tc>
        <w:tc>
          <w:tcPr>
            <w:tcW w:w="1350" w:type="pct"/>
            <w:shd w:val="solid" w:color="F0F4FF" w:fill="F0F4FF"/>
            <w:tcMar>
              <w:top w:w="80" w:type="dxa"/>
              <w:left w:w="100" w:type="dxa"/>
              <w:bottom w:w="80" w:type="dxa"/>
              <w:right w:w="100" w:type="dxa"/>
            </w:tcMar>
          </w:tcPr>
          <w:p w14:paraId="1C1B8EF3">
            <w:pPr>
              <w:jc w:val="center"/>
            </w:pPr>
            <w:r>
              <w:rPr>
                <w:rFonts w:ascii="Arial" w:hAnsi="Arial" w:eastAsia="Arial" w:cs="Arial"/>
                <w:b w:val="0"/>
                <w:bCs w:val="0"/>
                <w:color w:val="1A1A2E"/>
                <w:sz w:val="19"/>
                <w:szCs w:val="19"/>
              </w:rPr>
              <w:t>Direct from similar_in_english field</w:t>
            </w:r>
          </w:p>
        </w:tc>
        <w:tc>
          <w:tcPr>
            <w:tcW w:w="1350" w:type="pct"/>
            <w:shd w:val="solid" w:color="F0F4FF" w:fill="F0F4FF"/>
            <w:tcMar>
              <w:top w:w="80" w:type="dxa"/>
              <w:left w:w="100" w:type="dxa"/>
              <w:bottom w:w="80" w:type="dxa"/>
              <w:right w:w="100" w:type="dxa"/>
            </w:tcMar>
          </w:tcPr>
          <w:p w14:paraId="34AB9392">
            <w:pPr>
              <w:jc w:val="center"/>
            </w:pPr>
            <w:r>
              <w:rPr>
                <w:rFonts w:ascii="Arial" w:hAnsi="Arial" w:eastAsia="Arial" w:cs="Arial"/>
                <w:b w:val="0"/>
                <w:bCs w:val="0"/>
                <w:color w:val="1A1A2E"/>
                <w:sz w:val="19"/>
                <w:szCs w:val="19"/>
              </w:rPr>
              <w:t>Keyword overlap on English meaning bridge</w:t>
            </w:r>
          </w:p>
        </w:tc>
        <w:tc>
          <w:tcPr>
            <w:tcW w:w="650" w:type="pct"/>
            <w:shd w:val="solid" w:color="F0F4FF" w:fill="F0F4FF"/>
            <w:tcMar>
              <w:top w:w="80" w:type="dxa"/>
              <w:left w:w="100" w:type="dxa"/>
              <w:bottom w:w="80" w:type="dxa"/>
              <w:right w:w="100" w:type="dxa"/>
            </w:tcMar>
          </w:tcPr>
          <w:p w14:paraId="222AC226">
            <w:pPr>
              <w:jc w:val="center"/>
            </w:pPr>
            <w:r>
              <w:rPr>
                <w:rFonts w:ascii="Arial" w:hAnsi="Arial" w:eastAsia="Arial" w:cs="Arial"/>
                <w:b w:val="0"/>
                <w:bCs w:val="0"/>
                <w:color w:val="1A1A2E"/>
                <w:sz w:val="19"/>
                <w:szCs w:val="19"/>
              </w:rPr>
              <w:t>HIGH</w:t>
            </w:r>
          </w:p>
        </w:tc>
      </w:tr>
      <w:tr w14:paraId="1EBE5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pct"/>
            <w:shd w:val="solid" w:color="FFFFFF" w:fill="FFFFFF"/>
            <w:tcMar>
              <w:top w:w="80" w:type="dxa"/>
              <w:left w:w="100" w:type="dxa"/>
              <w:bottom w:w="80" w:type="dxa"/>
              <w:right w:w="100" w:type="dxa"/>
            </w:tcMar>
          </w:tcPr>
          <w:p w14:paraId="58E4CE11">
            <w:pPr>
              <w:jc w:val="center"/>
            </w:pPr>
            <w:r>
              <w:rPr>
                <w:rFonts w:ascii="Arial" w:hAnsi="Arial" w:eastAsia="Arial" w:cs="Arial"/>
                <w:b w:val="0"/>
                <w:bCs w:val="0"/>
                <w:color w:val="1A1A2E"/>
                <w:sz w:val="19"/>
                <w:szCs w:val="19"/>
              </w:rPr>
              <w:t>B</w:t>
            </w:r>
          </w:p>
        </w:tc>
        <w:tc>
          <w:tcPr>
            <w:tcW w:w="1000" w:type="pct"/>
            <w:shd w:val="solid" w:color="FFFFFF" w:fill="FFFFFF"/>
            <w:tcMar>
              <w:top w:w="80" w:type="dxa"/>
              <w:left w:w="100" w:type="dxa"/>
              <w:bottom w:w="80" w:type="dxa"/>
              <w:right w:w="100" w:type="dxa"/>
            </w:tcMar>
          </w:tcPr>
          <w:p w14:paraId="158EAA39">
            <w:pPr>
              <w:jc w:val="center"/>
            </w:pPr>
            <w:r>
              <w:rPr>
                <w:rFonts w:ascii="Arial" w:hAnsi="Arial" w:eastAsia="Arial" w:cs="Arial"/>
                <w:b w:val="0"/>
                <w:bCs w:val="0"/>
                <w:color w:val="1A1A2E"/>
                <w:sz w:val="19"/>
                <w:szCs w:val="19"/>
              </w:rPr>
              <w:t>Bengali-Bangla (6 idioms)</w:t>
            </w:r>
          </w:p>
        </w:tc>
        <w:tc>
          <w:tcPr>
            <w:tcW w:w="1350" w:type="pct"/>
            <w:shd w:val="solid" w:color="FFFFFF" w:fill="FFFFFF"/>
            <w:tcMar>
              <w:top w:w="80" w:type="dxa"/>
              <w:left w:w="100" w:type="dxa"/>
              <w:bottom w:w="80" w:type="dxa"/>
              <w:right w:w="100" w:type="dxa"/>
            </w:tcMar>
          </w:tcPr>
          <w:p w14:paraId="12BC145F">
            <w:pPr>
              <w:jc w:val="center"/>
            </w:pPr>
            <w:r>
              <w:rPr>
                <w:rFonts w:ascii="Arial" w:hAnsi="Arial" w:eastAsia="Arial" w:cs="Arial"/>
                <w:b w:val="0"/>
                <w:bCs w:val="0"/>
                <w:color w:val="1A1A2E"/>
                <w:sz w:val="19"/>
                <w:szCs w:val="19"/>
              </w:rPr>
              <w:t>Keyword overlap on figurative_meaning_en</w:t>
            </w:r>
          </w:p>
        </w:tc>
        <w:tc>
          <w:tcPr>
            <w:tcW w:w="1350" w:type="pct"/>
            <w:shd w:val="solid" w:color="FFFFFF" w:fill="FFFFFF"/>
            <w:tcMar>
              <w:top w:w="80" w:type="dxa"/>
              <w:left w:w="100" w:type="dxa"/>
              <w:bottom w:w="80" w:type="dxa"/>
              <w:right w:w="100" w:type="dxa"/>
            </w:tcMar>
          </w:tcPr>
          <w:p w14:paraId="59600648">
            <w:pPr>
              <w:jc w:val="center"/>
            </w:pPr>
            <w:r>
              <w:rPr>
                <w:rFonts w:ascii="Arial" w:hAnsi="Arial" w:eastAsia="Arial" w:cs="Arial"/>
                <w:b w:val="0"/>
                <w:bCs w:val="0"/>
                <w:color w:val="1A1A2E"/>
                <w:sz w:val="19"/>
                <w:szCs w:val="19"/>
              </w:rPr>
              <w:t>Keyword overlap on figurative_meaning_en</w:t>
            </w:r>
          </w:p>
        </w:tc>
        <w:tc>
          <w:tcPr>
            <w:tcW w:w="650" w:type="pct"/>
            <w:shd w:val="solid" w:color="FFFFFF" w:fill="FFFFFF"/>
            <w:tcMar>
              <w:top w:w="80" w:type="dxa"/>
              <w:left w:w="100" w:type="dxa"/>
              <w:bottom w:w="80" w:type="dxa"/>
              <w:right w:w="100" w:type="dxa"/>
            </w:tcMar>
          </w:tcPr>
          <w:p w14:paraId="387386F6">
            <w:pPr>
              <w:jc w:val="center"/>
            </w:pPr>
            <w:r>
              <w:rPr>
                <w:rFonts w:ascii="Arial" w:hAnsi="Arial" w:eastAsia="Arial" w:cs="Arial"/>
                <w:b w:val="0"/>
                <w:bCs w:val="0"/>
                <w:color w:val="1A1A2E"/>
                <w:sz w:val="19"/>
                <w:szCs w:val="19"/>
              </w:rPr>
              <w:t>MEDIUM</w:t>
            </w:r>
          </w:p>
        </w:tc>
      </w:tr>
    </w:tbl>
    <w:p w14:paraId="7E898DD8">
      <w:pPr>
        <w:spacing w:before="60" w:after="60"/>
      </w:pPr>
    </w:p>
    <w:p w14:paraId="4408BFEB">
      <w:pPr>
        <w:pStyle w:val="3"/>
        <w:spacing w:before="300" w:after="160"/>
      </w:pPr>
      <w:r>
        <w:rPr>
          <w:rFonts w:ascii="Arial" w:hAnsi="Arial" w:eastAsia="Arial" w:cs="Arial"/>
          <w:b/>
          <w:bCs/>
          <w:color w:val="2A5298"/>
          <w:sz w:val="26"/>
          <w:szCs w:val="26"/>
        </w:rPr>
        <w:t>2.5 Final Dataset Sizes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6"/>
        <w:gridCol w:w="2906"/>
        <w:gridCol w:w="3874"/>
      </w:tblGrid>
      <w:tr w14:paraId="46B33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pct"/>
            <w:shd w:val="solid" w:color="2A5298" w:fill="2A5298"/>
            <w:tcMar>
              <w:top w:w="100" w:type="dxa"/>
              <w:left w:w="120" w:type="dxa"/>
              <w:bottom w:w="100" w:type="dxa"/>
              <w:right w:w="120" w:type="dxa"/>
            </w:tcMar>
          </w:tcPr>
          <w:p w14:paraId="3C174EAF">
            <w:pPr>
              <w:jc w:val="center"/>
            </w:pPr>
            <w:r>
              <w:rPr>
                <w:rFonts w:ascii="Arial" w:hAnsi="Arial" w:eastAsia="Arial" w:cs="Arial"/>
                <w:b/>
                <w:bCs/>
                <w:color w:val="FFFFFF"/>
                <w:sz w:val="19"/>
                <w:szCs w:val="19"/>
              </w:rPr>
              <w:t>Pair Type</w:t>
            </w:r>
          </w:p>
        </w:tc>
        <w:tc>
          <w:tcPr>
            <w:tcW w:w="1500" w:type="pct"/>
            <w:shd w:val="solid" w:color="2A5298" w:fill="2A5298"/>
            <w:tcMar>
              <w:top w:w="100" w:type="dxa"/>
              <w:left w:w="120" w:type="dxa"/>
              <w:bottom w:w="100" w:type="dxa"/>
              <w:right w:w="120" w:type="dxa"/>
            </w:tcMar>
          </w:tcPr>
          <w:p w14:paraId="3E9A671E">
            <w:pPr>
              <w:jc w:val="center"/>
            </w:pPr>
            <w:r>
              <w:rPr>
                <w:rFonts w:ascii="Arial" w:hAnsi="Arial" w:eastAsia="Arial" w:cs="Arial"/>
                <w:b/>
                <w:bCs/>
                <w:color w:val="FFFFFF"/>
                <w:sz w:val="19"/>
                <w:szCs w:val="19"/>
              </w:rPr>
              <w:t>Number of Pairs</w:t>
            </w:r>
          </w:p>
        </w:tc>
        <w:tc>
          <w:tcPr>
            <w:tcW w:w="2000" w:type="pct"/>
            <w:shd w:val="solid" w:color="2A5298" w:fill="2A5298"/>
            <w:tcMar>
              <w:top w:w="100" w:type="dxa"/>
              <w:left w:w="120" w:type="dxa"/>
              <w:bottom w:w="100" w:type="dxa"/>
              <w:right w:w="120" w:type="dxa"/>
            </w:tcMar>
          </w:tcPr>
          <w:p w14:paraId="1C0A68E6">
            <w:pPr>
              <w:jc w:val="center"/>
            </w:pPr>
            <w:r>
              <w:rPr>
                <w:rFonts w:ascii="Arial" w:hAnsi="Arial" w:eastAsia="Arial" w:cs="Arial"/>
                <w:b/>
                <w:bCs/>
                <w:color w:val="FFFFFF"/>
                <w:sz w:val="19"/>
                <w:szCs w:val="19"/>
              </w:rPr>
              <w:t>Used In</w:t>
            </w:r>
          </w:p>
        </w:tc>
      </w:tr>
      <w:tr w14:paraId="63BEA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solid" w:color="F0F4FF" w:fill="F0F4FF"/>
            <w:tcMar>
              <w:top w:w="80" w:type="dxa"/>
              <w:left w:w="100" w:type="dxa"/>
              <w:bottom w:w="80" w:type="dxa"/>
              <w:right w:w="100" w:type="dxa"/>
            </w:tcMar>
          </w:tcPr>
          <w:p w14:paraId="2A4CC3AB">
            <w:pPr>
              <w:jc w:val="center"/>
            </w:pPr>
            <w:r>
              <w:rPr>
                <w:rFonts w:ascii="Arial" w:hAnsi="Arial" w:eastAsia="Arial" w:cs="Arial"/>
                <w:b w:val="0"/>
                <w:bCs w:val="0"/>
                <w:color w:val="1A1A2E"/>
                <w:sz w:val="19"/>
                <w:szCs w:val="19"/>
              </w:rPr>
              <w:t>Bengali–English (bn-en)</w:t>
            </w:r>
          </w:p>
        </w:tc>
        <w:tc>
          <w:tcPr>
            <w:tcW w:w="1500" w:type="pct"/>
            <w:shd w:val="solid" w:color="F0F4FF" w:fill="F0F4FF"/>
            <w:tcMar>
              <w:top w:w="80" w:type="dxa"/>
              <w:left w:w="100" w:type="dxa"/>
              <w:bottom w:w="80" w:type="dxa"/>
              <w:right w:w="100" w:type="dxa"/>
            </w:tcMar>
          </w:tcPr>
          <w:p w14:paraId="49BA9F9C">
            <w:pPr>
              <w:jc w:val="center"/>
            </w:pPr>
            <w:r>
              <w:rPr>
                <w:rFonts w:ascii="Arial" w:hAnsi="Arial" w:eastAsia="Arial" w:cs="Arial"/>
                <w:b w:val="0"/>
                <w:bCs w:val="0"/>
                <w:color w:val="1A1A2E"/>
                <w:sz w:val="19"/>
                <w:szCs w:val="19"/>
              </w:rPr>
              <w:t>9,061 pairs</w:t>
            </w:r>
          </w:p>
        </w:tc>
        <w:tc>
          <w:tcPr>
            <w:tcW w:w="2000" w:type="pct"/>
            <w:shd w:val="solid" w:color="F0F4FF" w:fill="F0F4FF"/>
            <w:tcMar>
              <w:top w:w="80" w:type="dxa"/>
              <w:left w:w="100" w:type="dxa"/>
              <w:bottom w:w="80" w:type="dxa"/>
              <w:right w:w="100" w:type="dxa"/>
            </w:tcMar>
          </w:tcPr>
          <w:p w14:paraId="553F073A">
            <w:pPr>
              <w:jc w:val="center"/>
            </w:pPr>
            <w:r>
              <w:rPr>
                <w:rFonts w:ascii="Arial" w:hAnsi="Arial" w:eastAsia="Arial" w:cs="Arial"/>
                <w:b w:val="0"/>
                <w:bCs w:val="0"/>
                <w:color w:val="1A1A2E"/>
                <w:sz w:val="19"/>
                <w:szCs w:val="19"/>
              </w:rPr>
              <w:t>Similarity, Retrieval, Clustering</w:t>
            </w:r>
          </w:p>
        </w:tc>
      </w:tr>
      <w:tr w14:paraId="74F3D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solid" w:color="FFFFFF" w:fill="FFFFFF"/>
            <w:tcMar>
              <w:top w:w="80" w:type="dxa"/>
              <w:left w:w="100" w:type="dxa"/>
              <w:bottom w:w="80" w:type="dxa"/>
              <w:right w:w="100" w:type="dxa"/>
            </w:tcMar>
          </w:tcPr>
          <w:p w14:paraId="1B88C7D1">
            <w:pPr>
              <w:jc w:val="center"/>
            </w:pPr>
            <w:r>
              <w:rPr>
                <w:rFonts w:ascii="Arial" w:hAnsi="Arial" w:eastAsia="Arial" w:cs="Arial"/>
                <w:b w:val="0"/>
                <w:bCs w:val="0"/>
                <w:color w:val="1A1A2E"/>
                <w:sz w:val="19"/>
                <w:szCs w:val="19"/>
              </w:rPr>
              <w:t>Bengali–Hindi (bn-hi)</w:t>
            </w:r>
          </w:p>
        </w:tc>
        <w:tc>
          <w:tcPr>
            <w:tcW w:w="1500" w:type="pct"/>
            <w:shd w:val="solid" w:color="FFFFFF" w:fill="FFFFFF"/>
            <w:tcMar>
              <w:top w:w="80" w:type="dxa"/>
              <w:left w:w="100" w:type="dxa"/>
              <w:bottom w:w="80" w:type="dxa"/>
              <w:right w:w="100" w:type="dxa"/>
            </w:tcMar>
          </w:tcPr>
          <w:p w14:paraId="20001B58">
            <w:pPr>
              <w:jc w:val="center"/>
            </w:pPr>
            <w:r>
              <w:rPr>
                <w:rFonts w:ascii="Arial" w:hAnsi="Arial" w:eastAsia="Arial" w:cs="Arial"/>
                <w:b w:val="0"/>
                <w:bCs w:val="0"/>
                <w:color w:val="1A1A2E"/>
                <w:sz w:val="19"/>
                <w:szCs w:val="19"/>
              </w:rPr>
              <w:t>4,096 pairs</w:t>
            </w:r>
          </w:p>
        </w:tc>
        <w:tc>
          <w:tcPr>
            <w:tcW w:w="2000" w:type="pct"/>
            <w:shd w:val="solid" w:color="FFFFFF" w:fill="FFFFFF"/>
            <w:tcMar>
              <w:top w:w="80" w:type="dxa"/>
              <w:left w:w="100" w:type="dxa"/>
              <w:bottom w:w="80" w:type="dxa"/>
              <w:right w:w="100" w:type="dxa"/>
            </w:tcMar>
          </w:tcPr>
          <w:p w14:paraId="34408890">
            <w:pPr>
              <w:jc w:val="center"/>
            </w:pPr>
            <w:r>
              <w:rPr>
                <w:rFonts w:ascii="Arial" w:hAnsi="Arial" w:eastAsia="Arial" w:cs="Arial"/>
                <w:b w:val="0"/>
                <w:bCs w:val="0"/>
                <w:color w:val="1A1A2E"/>
                <w:sz w:val="19"/>
                <w:szCs w:val="19"/>
              </w:rPr>
              <w:t>Similarity, Retrieval, Clustering</w:t>
            </w:r>
          </w:p>
        </w:tc>
      </w:tr>
      <w:tr w14:paraId="794B1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solid" w:color="F0F4FF" w:fill="F0F4FF"/>
            <w:tcMar>
              <w:top w:w="80" w:type="dxa"/>
              <w:left w:w="100" w:type="dxa"/>
              <w:bottom w:w="80" w:type="dxa"/>
              <w:right w:w="100" w:type="dxa"/>
            </w:tcMar>
          </w:tcPr>
          <w:p w14:paraId="00D6A3DA">
            <w:pPr>
              <w:jc w:val="center"/>
            </w:pPr>
            <w:r>
              <w:rPr>
                <w:rFonts w:ascii="Arial" w:hAnsi="Arial" w:eastAsia="Arial" w:cs="Arial"/>
                <w:b w:val="0"/>
                <w:bCs w:val="0"/>
                <w:color w:val="1A1A2E"/>
                <w:sz w:val="19"/>
                <w:szCs w:val="19"/>
              </w:rPr>
              <w:t>Total idioms embedded</w:t>
            </w:r>
          </w:p>
        </w:tc>
        <w:tc>
          <w:tcPr>
            <w:tcW w:w="1500" w:type="pct"/>
            <w:shd w:val="solid" w:color="F0F4FF" w:fill="F0F4FF"/>
            <w:tcMar>
              <w:top w:w="80" w:type="dxa"/>
              <w:left w:w="100" w:type="dxa"/>
              <w:bottom w:w="80" w:type="dxa"/>
              <w:right w:w="100" w:type="dxa"/>
            </w:tcMar>
          </w:tcPr>
          <w:p w14:paraId="7836B6B6">
            <w:pPr>
              <w:jc w:val="center"/>
            </w:pPr>
            <w:r>
              <w:rPr>
                <w:rFonts w:ascii="Arial" w:hAnsi="Arial" w:eastAsia="Arial" w:cs="Arial"/>
                <w:b w:val="0"/>
                <w:bCs w:val="0"/>
                <w:color w:val="1A1A2E"/>
                <w:sz w:val="19"/>
                <w:szCs w:val="19"/>
              </w:rPr>
              <w:t>23,216 (bn+hi+en)</w:t>
            </w:r>
          </w:p>
        </w:tc>
        <w:tc>
          <w:tcPr>
            <w:tcW w:w="2000" w:type="pct"/>
            <w:shd w:val="solid" w:color="F0F4FF" w:fill="F0F4FF"/>
            <w:tcMar>
              <w:top w:w="80" w:type="dxa"/>
              <w:left w:w="100" w:type="dxa"/>
              <w:bottom w:w="80" w:type="dxa"/>
              <w:right w:w="100" w:type="dxa"/>
            </w:tcMar>
          </w:tcPr>
          <w:p w14:paraId="765DF650">
            <w:pPr>
              <w:jc w:val="center"/>
            </w:pPr>
            <w:r>
              <w:rPr>
                <w:rFonts w:ascii="Arial" w:hAnsi="Arial" w:eastAsia="Arial" w:cs="Arial"/>
                <w:b w:val="0"/>
                <w:bCs w:val="0"/>
                <w:color w:val="1A1A2E"/>
                <w:sz w:val="19"/>
                <w:szCs w:val="19"/>
              </w:rPr>
              <w:t>Clustering</w:t>
            </w:r>
          </w:p>
        </w:tc>
      </w:tr>
    </w:tbl>
    <w:p w14:paraId="19D6FDC3">
      <w:pPr>
        <w:spacing w:before="60" w:after="60"/>
      </w:pPr>
    </w:p>
    <w:p w14:paraId="0DEAB43D">
      <w:pPr>
        <w:pStyle w:val="2"/>
        <w:pBdr>
          <w:bottom w:val="single" w:color="1A7A6E" w:sz="6" w:space="4"/>
        </w:pBdr>
        <w:spacing w:before="400" w:after="200"/>
      </w:pPr>
      <w:r>
        <w:rPr>
          <w:rFonts w:ascii="Arial" w:hAnsi="Arial" w:eastAsia="Arial" w:cs="Arial"/>
          <w:b/>
          <w:bCs/>
          <w:color w:val="1A1A2E"/>
          <w:sz w:val="34"/>
          <w:szCs w:val="34"/>
        </w:rPr>
        <w:t>3. The Two Models</w:t>
      </w:r>
    </w:p>
    <w:p w14:paraId="2A7D2BF5">
      <w:pPr>
        <w:spacing w:before="80" w:after="120"/>
        <w:jc w:val="both"/>
      </w:pPr>
      <w:r>
        <w:rPr>
          <w:rFonts w:ascii="Arial" w:hAnsi="Arial" w:eastAsia="Arial" w:cs="Arial"/>
          <w:sz w:val="22"/>
          <w:szCs w:val="22"/>
        </w:rPr>
        <w:t>Both models are multilingual sentence embedding models. They take raw text in any supported language as input and produce a 768-dimensional numerical vector (embedding) representing the meaning of that text. Both were trained on data from many languages simultaneously, so they learned to place sentences with similar meanings close together in a shared vector space — regardless of which language the text is in. Crucially, neither model uses a translator at any point.</w:t>
      </w:r>
    </w:p>
    <w:p w14:paraId="76B66865">
      <w:pPr>
        <w:spacing w:before="60" w:after="6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12"/>
        <w:gridCol w:w="3487"/>
        <w:gridCol w:w="3487"/>
      </w:tblGrid>
      <w:tr w14:paraId="62FE0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pct"/>
            <w:shd w:val="solid" w:color="2A5298" w:fill="2A5298"/>
            <w:tcMar>
              <w:top w:w="100" w:type="dxa"/>
              <w:left w:w="120" w:type="dxa"/>
              <w:bottom w:w="100" w:type="dxa"/>
              <w:right w:w="120" w:type="dxa"/>
            </w:tcMar>
          </w:tcPr>
          <w:p w14:paraId="050468F9">
            <w:pPr>
              <w:jc w:val="center"/>
            </w:pPr>
            <w:r>
              <w:rPr>
                <w:rFonts w:ascii="Arial" w:hAnsi="Arial" w:eastAsia="Arial" w:cs="Arial"/>
                <w:b/>
                <w:bCs/>
                <w:color w:val="FFFFFF"/>
                <w:sz w:val="19"/>
                <w:szCs w:val="19"/>
              </w:rPr>
              <w:t>Property</w:t>
            </w:r>
          </w:p>
        </w:tc>
        <w:tc>
          <w:tcPr>
            <w:tcW w:w="1800" w:type="pct"/>
            <w:shd w:val="solid" w:color="2A5298" w:fill="2A5298"/>
            <w:tcMar>
              <w:top w:w="100" w:type="dxa"/>
              <w:left w:w="120" w:type="dxa"/>
              <w:bottom w:w="100" w:type="dxa"/>
              <w:right w:w="120" w:type="dxa"/>
            </w:tcMar>
          </w:tcPr>
          <w:p w14:paraId="77EED724">
            <w:pPr>
              <w:jc w:val="center"/>
            </w:pPr>
            <w:r>
              <w:rPr>
                <w:rFonts w:ascii="Arial" w:hAnsi="Arial" w:eastAsia="Arial" w:cs="Arial"/>
                <w:b/>
                <w:bCs/>
                <w:color w:val="FFFFFF"/>
                <w:sz w:val="19"/>
                <w:szCs w:val="19"/>
              </w:rPr>
              <w:t>mSBERT</w:t>
            </w:r>
          </w:p>
        </w:tc>
        <w:tc>
          <w:tcPr>
            <w:tcW w:w="1800" w:type="pct"/>
            <w:shd w:val="solid" w:color="2A5298" w:fill="2A5298"/>
            <w:tcMar>
              <w:top w:w="100" w:type="dxa"/>
              <w:left w:w="120" w:type="dxa"/>
              <w:bottom w:w="100" w:type="dxa"/>
              <w:right w:w="120" w:type="dxa"/>
            </w:tcMar>
          </w:tcPr>
          <w:p w14:paraId="7329F001">
            <w:pPr>
              <w:jc w:val="center"/>
            </w:pPr>
            <w:r>
              <w:rPr>
                <w:rFonts w:ascii="Arial" w:hAnsi="Arial" w:eastAsia="Arial" w:cs="Arial"/>
                <w:b/>
                <w:bCs/>
                <w:color w:val="FFFFFF"/>
                <w:sz w:val="19"/>
                <w:szCs w:val="19"/>
              </w:rPr>
              <w:t>LaBSE</w:t>
            </w:r>
          </w:p>
        </w:tc>
      </w:tr>
      <w:tr w14:paraId="4D5A1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pct"/>
            <w:shd w:val="solid" w:color="F0F4FF" w:fill="F0F4FF"/>
            <w:tcMar>
              <w:top w:w="80" w:type="dxa"/>
              <w:left w:w="100" w:type="dxa"/>
              <w:bottom w:w="80" w:type="dxa"/>
              <w:right w:w="100" w:type="dxa"/>
            </w:tcMar>
          </w:tcPr>
          <w:p w14:paraId="4C2B03C8">
            <w:pPr>
              <w:jc w:val="center"/>
            </w:pPr>
            <w:r>
              <w:rPr>
                <w:rFonts w:ascii="Arial" w:hAnsi="Arial" w:eastAsia="Arial" w:cs="Arial"/>
                <w:b w:val="0"/>
                <w:bCs w:val="0"/>
                <w:color w:val="1A1A2E"/>
                <w:sz w:val="19"/>
                <w:szCs w:val="19"/>
              </w:rPr>
              <w:t>Full Name</w:t>
            </w:r>
          </w:p>
        </w:tc>
        <w:tc>
          <w:tcPr>
            <w:tcW w:w="1800" w:type="pct"/>
            <w:shd w:val="solid" w:color="F0F4FF" w:fill="F0F4FF"/>
            <w:tcMar>
              <w:top w:w="80" w:type="dxa"/>
              <w:left w:w="100" w:type="dxa"/>
              <w:bottom w:w="80" w:type="dxa"/>
              <w:right w:w="100" w:type="dxa"/>
            </w:tcMar>
          </w:tcPr>
          <w:p w14:paraId="09497FC0">
            <w:pPr>
              <w:jc w:val="center"/>
            </w:pPr>
            <w:r>
              <w:rPr>
                <w:rFonts w:ascii="Arial" w:hAnsi="Arial" w:eastAsia="Arial" w:cs="Arial"/>
                <w:b w:val="0"/>
                <w:bCs w:val="0"/>
                <w:color w:val="1A1A2E"/>
                <w:sz w:val="19"/>
                <w:szCs w:val="19"/>
              </w:rPr>
              <w:t>Multilingual Sentence-BERT</w:t>
            </w:r>
          </w:p>
        </w:tc>
        <w:tc>
          <w:tcPr>
            <w:tcW w:w="1800" w:type="pct"/>
            <w:shd w:val="solid" w:color="F0F4FF" w:fill="F0F4FF"/>
            <w:tcMar>
              <w:top w:w="80" w:type="dxa"/>
              <w:left w:w="100" w:type="dxa"/>
              <w:bottom w:w="80" w:type="dxa"/>
              <w:right w:w="100" w:type="dxa"/>
            </w:tcMar>
          </w:tcPr>
          <w:p w14:paraId="1F708C30">
            <w:pPr>
              <w:jc w:val="center"/>
            </w:pPr>
            <w:r>
              <w:rPr>
                <w:rFonts w:ascii="Arial" w:hAnsi="Arial" w:eastAsia="Arial" w:cs="Arial"/>
                <w:b w:val="0"/>
                <w:bCs w:val="0"/>
                <w:color w:val="1A1A2E"/>
                <w:sz w:val="19"/>
                <w:szCs w:val="19"/>
              </w:rPr>
              <w:t>Language-Agnostic BERT Sentence Embeddings</w:t>
            </w:r>
          </w:p>
        </w:tc>
      </w:tr>
      <w:tr w14:paraId="665BE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pct"/>
            <w:shd w:val="solid" w:color="FFFFFF" w:fill="FFFFFF"/>
            <w:tcMar>
              <w:top w:w="80" w:type="dxa"/>
              <w:left w:w="100" w:type="dxa"/>
              <w:bottom w:w="80" w:type="dxa"/>
              <w:right w:w="100" w:type="dxa"/>
            </w:tcMar>
          </w:tcPr>
          <w:p w14:paraId="26382C05">
            <w:pPr>
              <w:jc w:val="center"/>
            </w:pPr>
            <w:r>
              <w:rPr>
                <w:rFonts w:ascii="Arial" w:hAnsi="Arial" w:eastAsia="Arial" w:cs="Arial"/>
                <w:b w:val="0"/>
                <w:bCs w:val="0"/>
                <w:color w:val="1A1A2E"/>
                <w:sz w:val="19"/>
                <w:szCs w:val="19"/>
              </w:rPr>
              <w:t>HuggingFace ID</w:t>
            </w:r>
          </w:p>
        </w:tc>
        <w:tc>
          <w:tcPr>
            <w:tcW w:w="1800" w:type="pct"/>
            <w:shd w:val="solid" w:color="FFFFFF" w:fill="FFFFFF"/>
            <w:tcMar>
              <w:top w:w="80" w:type="dxa"/>
              <w:left w:w="100" w:type="dxa"/>
              <w:bottom w:w="80" w:type="dxa"/>
              <w:right w:w="100" w:type="dxa"/>
            </w:tcMar>
          </w:tcPr>
          <w:p w14:paraId="79C53C1D">
            <w:pPr>
              <w:jc w:val="center"/>
            </w:pPr>
            <w:r>
              <w:rPr>
                <w:rFonts w:ascii="Arial" w:hAnsi="Arial" w:eastAsia="Arial" w:cs="Arial"/>
                <w:b w:val="0"/>
                <w:bCs w:val="0"/>
                <w:color w:val="1A1A2E"/>
                <w:sz w:val="19"/>
                <w:szCs w:val="19"/>
              </w:rPr>
              <w:t>paraphrase-multilingual-mpnet-base-v2</w:t>
            </w:r>
          </w:p>
        </w:tc>
        <w:tc>
          <w:tcPr>
            <w:tcW w:w="1800" w:type="pct"/>
            <w:shd w:val="solid" w:color="FFFFFF" w:fill="FFFFFF"/>
            <w:tcMar>
              <w:top w:w="80" w:type="dxa"/>
              <w:left w:w="100" w:type="dxa"/>
              <w:bottom w:w="80" w:type="dxa"/>
              <w:right w:w="100" w:type="dxa"/>
            </w:tcMar>
          </w:tcPr>
          <w:p w14:paraId="2346630C">
            <w:pPr>
              <w:jc w:val="center"/>
            </w:pPr>
            <w:r>
              <w:rPr>
                <w:rFonts w:ascii="Arial" w:hAnsi="Arial" w:eastAsia="Arial" w:cs="Arial"/>
                <w:b w:val="0"/>
                <w:bCs w:val="0"/>
                <w:color w:val="1A1A2E"/>
                <w:sz w:val="19"/>
                <w:szCs w:val="19"/>
              </w:rPr>
              <w:t>sentence-transformers/LaBSE</w:t>
            </w:r>
          </w:p>
        </w:tc>
      </w:tr>
      <w:tr w14:paraId="164DF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pct"/>
            <w:shd w:val="solid" w:color="F0F4FF" w:fill="F0F4FF"/>
            <w:tcMar>
              <w:top w:w="80" w:type="dxa"/>
              <w:left w:w="100" w:type="dxa"/>
              <w:bottom w:w="80" w:type="dxa"/>
              <w:right w:w="100" w:type="dxa"/>
            </w:tcMar>
          </w:tcPr>
          <w:p w14:paraId="4F9805DB">
            <w:pPr>
              <w:jc w:val="center"/>
            </w:pPr>
            <w:r>
              <w:rPr>
                <w:rFonts w:ascii="Arial" w:hAnsi="Arial" w:eastAsia="Arial" w:cs="Arial"/>
                <w:b w:val="0"/>
                <w:bCs w:val="0"/>
                <w:color w:val="1A1A2E"/>
                <w:sz w:val="19"/>
                <w:szCs w:val="19"/>
              </w:rPr>
              <w:t>Developer</w:t>
            </w:r>
          </w:p>
        </w:tc>
        <w:tc>
          <w:tcPr>
            <w:tcW w:w="1800" w:type="pct"/>
            <w:shd w:val="solid" w:color="F0F4FF" w:fill="F0F4FF"/>
            <w:tcMar>
              <w:top w:w="80" w:type="dxa"/>
              <w:left w:w="100" w:type="dxa"/>
              <w:bottom w:w="80" w:type="dxa"/>
              <w:right w:w="100" w:type="dxa"/>
            </w:tcMar>
          </w:tcPr>
          <w:p w14:paraId="1EA60991">
            <w:pPr>
              <w:jc w:val="center"/>
            </w:pPr>
            <w:r>
              <w:rPr>
                <w:rFonts w:ascii="Arial" w:hAnsi="Arial" w:eastAsia="Arial" w:cs="Arial"/>
                <w:b w:val="0"/>
                <w:bCs w:val="0"/>
                <w:color w:val="1A1A2E"/>
                <w:sz w:val="19"/>
                <w:szCs w:val="19"/>
              </w:rPr>
              <w:t>UKPLab (Reimers &amp; Gurevych, 2020)</w:t>
            </w:r>
          </w:p>
        </w:tc>
        <w:tc>
          <w:tcPr>
            <w:tcW w:w="1800" w:type="pct"/>
            <w:shd w:val="solid" w:color="F0F4FF" w:fill="F0F4FF"/>
            <w:tcMar>
              <w:top w:w="80" w:type="dxa"/>
              <w:left w:w="100" w:type="dxa"/>
              <w:bottom w:w="80" w:type="dxa"/>
              <w:right w:w="100" w:type="dxa"/>
            </w:tcMar>
          </w:tcPr>
          <w:p w14:paraId="0F0D1E69">
            <w:pPr>
              <w:jc w:val="center"/>
            </w:pPr>
            <w:r>
              <w:rPr>
                <w:rFonts w:ascii="Arial" w:hAnsi="Arial" w:eastAsia="Arial" w:cs="Arial"/>
                <w:b w:val="0"/>
                <w:bCs w:val="0"/>
                <w:color w:val="1A1A2E"/>
                <w:sz w:val="19"/>
                <w:szCs w:val="19"/>
              </w:rPr>
              <w:t>Google Research (Feng et al., 2022)</w:t>
            </w:r>
          </w:p>
        </w:tc>
      </w:tr>
      <w:tr w14:paraId="1ACFB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pct"/>
            <w:shd w:val="solid" w:color="FFFFFF" w:fill="FFFFFF"/>
            <w:tcMar>
              <w:top w:w="80" w:type="dxa"/>
              <w:left w:w="100" w:type="dxa"/>
              <w:bottom w:w="80" w:type="dxa"/>
              <w:right w:w="100" w:type="dxa"/>
            </w:tcMar>
          </w:tcPr>
          <w:p w14:paraId="43ED6798">
            <w:pPr>
              <w:jc w:val="center"/>
            </w:pPr>
            <w:r>
              <w:rPr>
                <w:rFonts w:ascii="Arial" w:hAnsi="Arial" w:eastAsia="Arial" w:cs="Arial"/>
                <w:b w:val="0"/>
                <w:bCs w:val="0"/>
                <w:color w:val="1A1A2E"/>
                <w:sz w:val="19"/>
                <w:szCs w:val="19"/>
              </w:rPr>
              <w:t>Languages Supported</w:t>
            </w:r>
          </w:p>
        </w:tc>
        <w:tc>
          <w:tcPr>
            <w:tcW w:w="1800" w:type="pct"/>
            <w:shd w:val="solid" w:color="FFFFFF" w:fill="FFFFFF"/>
            <w:tcMar>
              <w:top w:w="80" w:type="dxa"/>
              <w:left w:w="100" w:type="dxa"/>
              <w:bottom w:w="80" w:type="dxa"/>
              <w:right w:w="100" w:type="dxa"/>
            </w:tcMar>
          </w:tcPr>
          <w:p w14:paraId="6E919CC6">
            <w:pPr>
              <w:jc w:val="center"/>
            </w:pPr>
            <w:r>
              <w:rPr>
                <w:rFonts w:ascii="Arial" w:hAnsi="Arial" w:eastAsia="Arial" w:cs="Arial"/>
                <w:b w:val="0"/>
                <w:bCs w:val="0"/>
                <w:color w:val="1A1A2E"/>
                <w:sz w:val="19"/>
                <w:szCs w:val="19"/>
              </w:rPr>
              <w:t>50+ languages</w:t>
            </w:r>
          </w:p>
        </w:tc>
        <w:tc>
          <w:tcPr>
            <w:tcW w:w="1800" w:type="pct"/>
            <w:shd w:val="solid" w:color="FFFFFF" w:fill="FFFFFF"/>
            <w:tcMar>
              <w:top w:w="80" w:type="dxa"/>
              <w:left w:w="100" w:type="dxa"/>
              <w:bottom w:w="80" w:type="dxa"/>
              <w:right w:w="100" w:type="dxa"/>
            </w:tcMar>
          </w:tcPr>
          <w:p w14:paraId="45E1557A">
            <w:pPr>
              <w:jc w:val="center"/>
            </w:pPr>
            <w:r>
              <w:rPr>
                <w:rFonts w:ascii="Arial" w:hAnsi="Arial" w:eastAsia="Arial" w:cs="Arial"/>
                <w:b w:val="0"/>
                <w:bCs w:val="0"/>
                <w:color w:val="1A1A2E"/>
                <w:sz w:val="19"/>
                <w:szCs w:val="19"/>
              </w:rPr>
              <w:t>109 languages</w:t>
            </w:r>
          </w:p>
        </w:tc>
      </w:tr>
      <w:tr w14:paraId="7A260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pct"/>
            <w:shd w:val="solid" w:color="F0F4FF" w:fill="F0F4FF"/>
            <w:tcMar>
              <w:top w:w="80" w:type="dxa"/>
              <w:left w:w="100" w:type="dxa"/>
              <w:bottom w:w="80" w:type="dxa"/>
              <w:right w:w="100" w:type="dxa"/>
            </w:tcMar>
          </w:tcPr>
          <w:p w14:paraId="47CA427D">
            <w:pPr>
              <w:jc w:val="center"/>
            </w:pPr>
            <w:r>
              <w:rPr>
                <w:rFonts w:ascii="Arial" w:hAnsi="Arial" w:eastAsia="Arial" w:cs="Arial"/>
                <w:b w:val="0"/>
                <w:bCs w:val="0"/>
                <w:color w:val="1A1A2E"/>
                <w:sz w:val="19"/>
                <w:szCs w:val="19"/>
              </w:rPr>
              <w:t>Training Objective</w:t>
            </w:r>
          </w:p>
        </w:tc>
        <w:tc>
          <w:tcPr>
            <w:tcW w:w="1800" w:type="pct"/>
            <w:shd w:val="solid" w:color="F0F4FF" w:fill="F0F4FF"/>
            <w:tcMar>
              <w:top w:w="80" w:type="dxa"/>
              <w:left w:w="100" w:type="dxa"/>
              <w:bottom w:w="80" w:type="dxa"/>
              <w:right w:w="100" w:type="dxa"/>
            </w:tcMar>
          </w:tcPr>
          <w:p w14:paraId="30A82017">
            <w:pPr>
              <w:jc w:val="center"/>
            </w:pPr>
            <w:r>
              <w:rPr>
                <w:rFonts w:ascii="Arial" w:hAnsi="Arial" w:eastAsia="Arial" w:cs="Arial"/>
                <w:b w:val="0"/>
                <w:bCs w:val="0"/>
                <w:color w:val="1A1A2E"/>
                <w:sz w:val="19"/>
                <w:szCs w:val="19"/>
              </w:rPr>
              <w:t>Paraphrase similarity across languages</w:t>
            </w:r>
          </w:p>
        </w:tc>
        <w:tc>
          <w:tcPr>
            <w:tcW w:w="1800" w:type="pct"/>
            <w:shd w:val="solid" w:color="F0F4FF" w:fill="F0F4FF"/>
            <w:tcMar>
              <w:top w:w="80" w:type="dxa"/>
              <w:left w:w="100" w:type="dxa"/>
              <w:bottom w:w="80" w:type="dxa"/>
              <w:right w:w="100" w:type="dxa"/>
            </w:tcMar>
          </w:tcPr>
          <w:p w14:paraId="0498B938">
            <w:pPr>
              <w:jc w:val="center"/>
            </w:pPr>
            <w:r>
              <w:rPr>
                <w:rFonts w:ascii="Arial" w:hAnsi="Arial" w:eastAsia="Arial" w:cs="Arial"/>
                <w:b w:val="0"/>
                <w:bCs w:val="0"/>
                <w:color w:val="1A1A2E"/>
                <w:sz w:val="19"/>
                <w:szCs w:val="19"/>
              </w:rPr>
              <w:t>Translation pair alignment (dual-encoder)</w:t>
            </w:r>
          </w:p>
        </w:tc>
      </w:tr>
      <w:tr w14:paraId="372E2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pct"/>
            <w:shd w:val="solid" w:color="FFFFFF" w:fill="FFFFFF"/>
            <w:tcMar>
              <w:top w:w="80" w:type="dxa"/>
              <w:left w:w="100" w:type="dxa"/>
              <w:bottom w:w="80" w:type="dxa"/>
              <w:right w:w="100" w:type="dxa"/>
            </w:tcMar>
          </w:tcPr>
          <w:p w14:paraId="1D05248E">
            <w:pPr>
              <w:jc w:val="center"/>
            </w:pPr>
            <w:r>
              <w:rPr>
                <w:rFonts w:ascii="Arial" w:hAnsi="Arial" w:eastAsia="Arial" w:cs="Arial"/>
                <w:b w:val="0"/>
                <w:bCs w:val="0"/>
                <w:color w:val="1A1A2E"/>
                <w:sz w:val="19"/>
                <w:szCs w:val="19"/>
              </w:rPr>
              <w:t>Training Data</w:t>
            </w:r>
          </w:p>
        </w:tc>
        <w:tc>
          <w:tcPr>
            <w:tcW w:w="1800" w:type="pct"/>
            <w:shd w:val="solid" w:color="FFFFFF" w:fill="FFFFFF"/>
            <w:tcMar>
              <w:top w:w="80" w:type="dxa"/>
              <w:left w:w="100" w:type="dxa"/>
              <w:bottom w:w="80" w:type="dxa"/>
              <w:right w:w="100" w:type="dxa"/>
            </w:tcMar>
          </w:tcPr>
          <w:p w14:paraId="73EFE28A">
            <w:pPr>
              <w:jc w:val="center"/>
            </w:pPr>
            <w:r>
              <w:rPr>
                <w:rFonts w:ascii="Arial" w:hAnsi="Arial" w:eastAsia="Arial" w:cs="Arial"/>
                <w:b w:val="0"/>
                <w:bCs w:val="0"/>
                <w:color w:val="1A1A2E"/>
                <w:sz w:val="19"/>
                <w:szCs w:val="19"/>
              </w:rPr>
              <w:t>Paraphrase datasets in multiple languages</w:t>
            </w:r>
          </w:p>
        </w:tc>
        <w:tc>
          <w:tcPr>
            <w:tcW w:w="1800" w:type="pct"/>
            <w:shd w:val="solid" w:color="FFFFFF" w:fill="FFFFFF"/>
            <w:tcMar>
              <w:top w:w="80" w:type="dxa"/>
              <w:left w:w="100" w:type="dxa"/>
              <w:bottom w:w="80" w:type="dxa"/>
              <w:right w:w="100" w:type="dxa"/>
            </w:tcMar>
          </w:tcPr>
          <w:p w14:paraId="7F5D01A6">
            <w:pPr>
              <w:jc w:val="center"/>
            </w:pPr>
            <w:r>
              <w:rPr>
                <w:rFonts w:ascii="Arial" w:hAnsi="Arial" w:eastAsia="Arial" w:cs="Arial"/>
                <w:b w:val="0"/>
                <w:bCs w:val="0"/>
                <w:color w:val="1A1A2E"/>
                <w:sz w:val="19"/>
                <w:szCs w:val="19"/>
              </w:rPr>
              <w:t>Parallel translation corpora (CommonCrawl, Wikipedia)</w:t>
            </w:r>
          </w:p>
        </w:tc>
      </w:tr>
      <w:tr w14:paraId="061A9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pct"/>
            <w:shd w:val="solid" w:color="F0F4FF" w:fill="F0F4FF"/>
            <w:tcMar>
              <w:top w:w="80" w:type="dxa"/>
              <w:left w:w="100" w:type="dxa"/>
              <w:bottom w:w="80" w:type="dxa"/>
              <w:right w:w="100" w:type="dxa"/>
            </w:tcMar>
          </w:tcPr>
          <w:p w14:paraId="4D66B5C3">
            <w:pPr>
              <w:jc w:val="center"/>
            </w:pPr>
            <w:r>
              <w:rPr>
                <w:rFonts w:ascii="Arial" w:hAnsi="Arial" w:eastAsia="Arial" w:cs="Arial"/>
                <w:b w:val="0"/>
                <w:bCs w:val="0"/>
                <w:color w:val="1A1A2E"/>
                <w:sz w:val="19"/>
                <w:szCs w:val="19"/>
              </w:rPr>
              <w:t>Embedding Dimension</w:t>
            </w:r>
          </w:p>
        </w:tc>
        <w:tc>
          <w:tcPr>
            <w:tcW w:w="1800" w:type="pct"/>
            <w:shd w:val="solid" w:color="F0F4FF" w:fill="F0F4FF"/>
            <w:tcMar>
              <w:top w:w="80" w:type="dxa"/>
              <w:left w:w="100" w:type="dxa"/>
              <w:bottom w:w="80" w:type="dxa"/>
              <w:right w:w="100" w:type="dxa"/>
            </w:tcMar>
          </w:tcPr>
          <w:p w14:paraId="1BEEB04C">
            <w:pPr>
              <w:jc w:val="center"/>
            </w:pPr>
            <w:r>
              <w:rPr>
                <w:rFonts w:ascii="Arial" w:hAnsi="Arial" w:eastAsia="Arial" w:cs="Arial"/>
                <w:b w:val="0"/>
                <w:bCs w:val="0"/>
                <w:color w:val="1A1A2E"/>
                <w:sz w:val="19"/>
                <w:szCs w:val="19"/>
              </w:rPr>
              <w:t>768</w:t>
            </w:r>
          </w:p>
        </w:tc>
        <w:tc>
          <w:tcPr>
            <w:tcW w:w="1800" w:type="pct"/>
            <w:shd w:val="solid" w:color="F0F4FF" w:fill="F0F4FF"/>
            <w:tcMar>
              <w:top w:w="80" w:type="dxa"/>
              <w:left w:w="100" w:type="dxa"/>
              <w:bottom w:w="80" w:type="dxa"/>
              <w:right w:w="100" w:type="dxa"/>
            </w:tcMar>
          </w:tcPr>
          <w:p w14:paraId="62FAA2CC">
            <w:pPr>
              <w:jc w:val="center"/>
            </w:pPr>
            <w:r>
              <w:rPr>
                <w:rFonts w:ascii="Arial" w:hAnsi="Arial" w:eastAsia="Arial" w:cs="Arial"/>
                <w:b w:val="0"/>
                <w:bCs w:val="0"/>
                <w:color w:val="1A1A2E"/>
                <w:sz w:val="19"/>
                <w:szCs w:val="19"/>
              </w:rPr>
              <w:t>768</w:t>
            </w:r>
          </w:p>
        </w:tc>
      </w:tr>
      <w:tr w14:paraId="63BEC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pct"/>
            <w:shd w:val="solid" w:color="FFFFFF" w:fill="FFFFFF"/>
            <w:tcMar>
              <w:top w:w="80" w:type="dxa"/>
              <w:left w:w="100" w:type="dxa"/>
              <w:bottom w:w="80" w:type="dxa"/>
              <w:right w:w="100" w:type="dxa"/>
            </w:tcMar>
          </w:tcPr>
          <w:p w14:paraId="7C08557E">
            <w:pPr>
              <w:jc w:val="center"/>
            </w:pPr>
            <w:r>
              <w:rPr>
                <w:rFonts w:ascii="Arial" w:hAnsi="Arial" w:eastAsia="Arial" w:cs="Arial"/>
                <w:b w:val="0"/>
                <w:bCs w:val="0"/>
                <w:color w:val="1A1A2E"/>
                <w:sz w:val="19"/>
                <w:szCs w:val="19"/>
              </w:rPr>
              <w:t>Uses Translation?</w:t>
            </w:r>
          </w:p>
        </w:tc>
        <w:tc>
          <w:tcPr>
            <w:tcW w:w="1800" w:type="pct"/>
            <w:shd w:val="solid" w:color="FFFFFF" w:fill="FFFFFF"/>
            <w:tcMar>
              <w:top w:w="80" w:type="dxa"/>
              <w:left w:w="100" w:type="dxa"/>
              <w:bottom w:w="80" w:type="dxa"/>
              <w:right w:w="100" w:type="dxa"/>
            </w:tcMar>
          </w:tcPr>
          <w:p w14:paraId="4CEC3095">
            <w:pPr>
              <w:jc w:val="center"/>
            </w:pPr>
            <w:r>
              <w:rPr>
                <w:rFonts w:ascii="Arial" w:hAnsi="Arial" w:eastAsia="Arial" w:cs="Arial"/>
                <w:b w:val="0"/>
                <w:bCs w:val="0"/>
                <w:color w:val="1A1A2E"/>
                <w:sz w:val="19"/>
                <w:szCs w:val="19"/>
              </w:rPr>
              <w:t>No — direct multilingual embedding</w:t>
            </w:r>
          </w:p>
        </w:tc>
        <w:tc>
          <w:tcPr>
            <w:tcW w:w="1800" w:type="pct"/>
            <w:shd w:val="solid" w:color="FFFFFF" w:fill="FFFFFF"/>
            <w:tcMar>
              <w:top w:w="80" w:type="dxa"/>
              <w:left w:w="100" w:type="dxa"/>
              <w:bottom w:w="80" w:type="dxa"/>
              <w:right w:w="100" w:type="dxa"/>
            </w:tcMar>
          </w:tcPr>
          <w:p w14:paraId="523542A6">
            <w:pPr>
              <w:jc w:val="center"/>
            </w:pPr>
            <w:r>
              <w:rPr>
                <w:rFonts w:ascii="Arial" w:hAnsi="Arial" w:eastAsia="Arial" w:cs="Arial"/>
                <w:b w:val="0"/>
                <w:bCs w:val="0"/>
                <w:color w:val="1A1A2E"/>
                <w:sz w:val="19"/>
                <w:szCs w:val="19"/>
              </w:rPr>
              <w:t>No — direct multilingual embedding</w:t>
            </w:r>
          </w:p>
        </w:tc>
      </w:tr>
      <w:tr w14:paraId="505C0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pct"/>
            <w:shd w:val="solid" w:color="F0F4FF" w:fill="F0F4FF"/>
            <w:tcMar>
              <w:top w:w="80" w:type="dxa"/>
              <w:left w:w="100" w:type="dxa"/>
              <w:bottom w:w="80" w:type="dxa"/>
              <w:right w:w="100" w:type="dxa"/>
            </w:tcMar>
          </w:tcPr>
          <w:p w14:paraId="02BECB58">
            <w:pPr>
              <w:jc w:val="center"/>
            </w:pPr>
            <w:r>
              <w:rPr>
                <w:rFonts w:ascii="Arial" w:hAnsi="Arial" w:eastAsia="Arial" w:cs="Arial"/>
                <w:b w:val="0"/>
                <w:bCs w:val="0"/>
                <w:color w:val="1A1A2E"/>
                <w:sz w:val="19"/>
                <w:szCs w:val="19"/>
              </w:rPr>
              <w:t>Best Suited For</w:t>
            </w:r>
          </w:p>
        </w:tc>
        <w:tc>
          <w:tcPr>
            <w:tcW w:w="1800" w:type="pct"/>
            <w:shd w:val="solid" w:color="F0F4FF" w:fill="F0F4FF"/>
            <w:tcMar>
              <w:top w:w="80" w:type="dxa"/>
              <w:left w:w="100" w:type="dxa"/>
              <w:bottom w:w="80" w:type="dxa"/>
              <w:right w:w="100" w:type="dxa"/>
            </w:tcMar>
          </w:tcPr>
          <w:p w14:paraId="3EF4F910">
            <w:pPr>
              <w:jc w:val="center"/>
            </w:pPr>
            <w:r>
              <w:rPr>
                <w:rFonts w:ascii="Arial" w:hAnsi="Arial" w:eastAsia="Arial" w:cs="Arial"/>
                <w:b w:val="0"/>
                <w:bCs w:val="0"/>
                <w:color w:val="1A1A2E"/>
                <w:sz w:val="19"/>
                <w:szCs w:val="19"/>
              </w:rPr>
              <w:t>Semantic equivalence &amp; paraphrase detection</w:t>
            </w:r>
          </w:p>
        </w:tc>
        <w:tc>
          <w:tcPr>
            <w:tcW w:w="1800" w:type="pct"/>
            <w:shd w:val="solid" w:color="F0F4FF" w:fill="F0F4FF"/>
            <w:tcMar>
              <w:top w:w="80" w:type="dxa"/>
              <w:left w:w="100" w:type="dxa"/>
              <w:bottom w:w="80" w:type="dxa"/>
              <w:right w:w="100" w:type="dxa"/>
            </w:tcMar>
          </w:tcPr>
          <w:p w14:paraId="3FFBEFF7">
            <w:pPr>
              <w:jc w:val="center"/>
            </w:pPr>
            <w:r>
              <w:rPr>
                <w:rFonts w:ascii="Arial" w:hAnsi="Arial" w:eastAsia="Arial" w:cs="Arial"/>
                <w:b w:val="0"/>
                <w:bCs w:val="0"/>
                <w:color w:val="1A1A2E"/>
                <w:sz w:val="19"/>
                <w:szCs w:val="19"/>
              </w:rPr>
              <w:t>Cross-lingual sentence alignment</w:t>
            </w:r>
          </w:p>
        </w:tc>
      </w:tr>
    </w:tbl>
    <w:p w14:paraId="1DA9EC6B">
      <w:pPr>
        <w:spacing w:before="60" w:after="60"/>
      </w:pPr>
    </w:p>
    <w:p w14:paraId="2040F330">
      <w:pPr>
        <w:pStyle w:val="3"/>
        <w:spacing w:before="300" w:after="160"/>
      </w:pPr>
      <w:r>
        <w:rPr>
          <w:rFonts w:ascii="Arial" w:hAnsi="Arial" w:eastAsia="Arial" w:cs="Arial"/>
          <w:b/>
          <w:bCs/>
          <w:color w:val="2A5298"/>
          <w:sz w:val="26"/>
          <w:szCs w:val="26"/>
        </w:rPr>
        <w:t>3.1 How Similarity is Computed (No Translation Involved)</w:t>
      </w:r>
    </w:p>
    <w:p w14:paraId="7D4A9A4F">
      <w:pPr>
        <w:spacing w:before="80" w:after="120"/>
        <w:jc w:val="both"/>
      </w:pPr>
      <w:r>
        <w:rPr>
          <w:rFonts w:ascii="Arial" w:hAnsi="Arial" w:eastAsia="Arial" w:cs="Arial"/>
          <w:sz w:val="22"/>
          <w:szCs w:val="22"/>
        </w:rPr>
        <w:t>Once a Bengali idiom and an English idiom are each encoded into their respective 768-dimensional vectors, similarity is computed using cosine similarity. Because all embeddings are L2-normalised during encoding, cosine similarity reduces to a simple dot product:</w:t>
      </w:r>
    </w:p>
    <w:p w14:paraId="1193C6A3">
      <w:pPr>
        <w:spacing w:before="60" w:after="60"/>
      </w:pPr>
    </w:p>
    <w:p w14:paraId="1B4832BB">
      <w:pPr>
        <w:shd w:val="solid" w:fill="F4F4F4"/>
        <w:spacing w:before="80" w:after="80"/>
        <w:ind w:left="360"/>
        <w:rPr>
          <w:shd w:val="clear" w:color="FFFFFF" w:fill="D9D9D9"/>
        </w:rPr>
      </w:pPr>
      <w:r>
        <w:rPr>
          <w:rFonts w:ascii="Courier New" w:hAnsi="Courier New" w:eastAsia="Courier New" w:cs="Courier New"/>
          <w:color w:val="1A1A2E"/>
          <w:sz w:val="19"/>
          <w:szCs w:val="19"/>
          <w:shd w:val="clear" w:color="FFFFFF" w:fill="D9D9D9"/>
        </w:rPr>
        <w:t>Cosine Similarity(idiom_bn, idiom_en) = embedding_bn · embedding_en</w:t>
      </w:r>
    </w:p>
    <w:p w14:paraId="1BBF6401">
      <w:pPr>
        <w:shd w:val="solid" w:fill="F4F4F4"/>
        <w:spacing w:before="80" w:after="80"/>
        <w:ind w:left="360"/>
        <w:rPr>
          <w:shd w:val="clear" w:color="FFFFFF" w:fill="D9D9D9"/>
        </w:rPr>
      </w:pPr>
      <w:r>
        <w:rPr>
          <w:rFonts w:ascii="Courier New" w:hAnsi="Courier New" w:eastAsia="Courier New" w:cs="Courier New"/>
          <w:color w:val="1A1A2E"/>
          <w:sz w:val="19"/>
          <w:szCs w:val="19"/>
          <w:shd w:val="clear" w:color="FFFFFF" w:fill="D9D9D9"/>
        </w:rPr>
        <w:t>Score range: -1.0 (opposite) to 0.0 (unrelated) to 1.0 (identical meaning)</w:t>
      </w:r>
    </w:p>
    <w:p w14:paraId="16E8E879">
      <w:pPr>
        <w:spacing w:before="60" w:after="60"/>
      </w:pPr>
    </w:p>
    <w:p w14:paraId="753B7F10">
      <w:pPr>
        <w:spacing w:before="80" w:after="120"/>
        <w:jc w:val="both"/>
      </w:pPr>
      <w:r>
        <w:rPr>
          <w:rFonts w:ascii="Arial" w:hAnsi="Arial" w:eastAsia="Arial" w:cs="Arial"/>
          <w:sz w:val="22"/>
          <w:szCs w:val="22"/>
        </w:rPr>
        <w:t>Both models map all languages into the SAME shared vector space. A Bengali idiom about impossible dreams and an English idiom about impossible dreams should appear close together in this space if the model has genuinely learned cross-lingual figurative semantics. This is exactly what this project tests — and the results confirm it does happen to a measurable degree.</w:t>
      </w:r>
    </w:p>
    <w:p w14:paraId="1238A2B2">
      <w:pPr>
        <w:spacing w:before="60" w:after="60"/>
      </w:pPr>
    </w:p>
    <w:p w14:paraId="2C5B7D82">
      <w:pPr>
        <w:pStyle w:val="2"/>
        <w:pBdr>
          <w:bottom w:val="single" w:color="1A7A6E" w:sz="6" w:space="4"/>
        </w:pBdr>
        <w:spacing w:before="400" w:after="200"/>
      </w:pPr>
      <w:r>
        <w:rPr>
          <w:rFonts w:ascii="Arial" w:hAnsi="Arial" w:eastAsia="Arial" w:cs="Arial"/>
          <w:b/>
          <w:bCs/>
          <w:color w:val="1A1A2E"/>
          <w:sz w:val="34"/>
          <w:szCs w:val="34"/>
        </w:rPr>
        <w:t>4. Evaluation Tasks and Metrics</w:t>
      </w:r>
    </w:p>
    <w:p w14:paraId="7FBD56C3">
      <w:pPr>
        <w:pStyle w:val="3"/>
        <w:spacing w:before="300" w:after="160"/>
      </w:pPr>
      <w:r>
        <w:rPr>
          <w:rFonts w:ascii="Arial" w:hAnsi="Arial" w:eastAsia="Arial" w:cs="Arial"/>
          <w:b/>
          <w:bCs/>
          <w:color w:val="2A5298"/>
          <w:sz w:val="26"/>
          <w:szCs w:val="26"/>
        </w:rPr>
        <w:t>Task 1 — Semantic Similarity Scoring</w:t>
      </w:r>
    </w:p>
    <w:p w14:paraId="5A0DBC5D">
      <w:pPr>
        <w:spacing w:before="80" w:after="120"/>
        <w:jc w:val="both"/>
      </w:pPr>
      <w:r>
        <w:rPr>
          <w:rFonts w:ascii="Arial" w:hAnsi="Arial" w:eastAsia="Arial" w:cs="Arial"/>
          <w:sz w:val="22"/>
          <w:szCs w:val="22"/>
        </w:rPr>
        <w:t>For every pair in the dataset (both bn-en and bn-hi), compute the cosine similarity score using both models. This answers: how similar does each model think these two idioms are? A higher mean score across all pairs indicates the model aligns same-meaning idioms from different languages more closely in its embedding space.</w:t>
      </w:r>
    </w:p>
    <w:p w14:paraId="20EB74DC">
      <w:pPr>
        <w:spacing w:before="60" w:after="60"/>
      </w:pPr>
    </w:p>
    <w:p w14:paraId="58AECD3F">
      <w:pPr>
        <w:spacing w:before="80" w:after="80"/>
        <w:ind w:left="360"/>
      </w:pPr>
      <w:r>
        <w:rPr>
          <w:rFonts w:ascii="Arial" w:hAnsi="Arial" w:eastAsia="Arial" w:cs="Arial"/>
          <w:i/>
          <w:iCs/>
          <w:color w:val="555555"/>
          <w:sz w:val="20"/>
          <w:szCs w:val="20"/>
        </w:rPr>
        <w:t>ℹ  This task measures confidence of alignment. It does NOT measure whether the model retrieves the correct answer — just whether it scores same-meaning pairs highly.</w:t>
      </w:r>
    </w:p>
    <w:p w14:paraId="0DBD9955">
      <w:pPr>
        <w:spacing w:before="60" w:after="60"/>
      </w:pPr>
    </w:p>
    <w:p w14:paraId="5C40060D">
      <w:pPr>
        <w:pStyle w:val="3"/>
        <w:spacing w:before="300" w:after="160"/>
      </w:pPr>
      <w:r>
        <w:rPr>
          <w:rFonts w:ascii="Arial" w:hAnsi="Arial" w:eastAsia="Arial" w:cs="Arial"/>
          <w:b/>
          <w:bCs/>
          <w:color w:val="2A5298"/>
          <w:sz w:val="26"/>
          <w:szCs w:val="26"/>
        </w:rPr>
        <w:t>Task 2 — Cross-Lingual Retrieval</w:t>
      </w:r>
    </w:p>
    <w:p w14:paraId="1F69B279">
      <w:pPr>
        <w:spacing w:before="80" w:after="120"/>
        <w:jc w:val="both"/>
      </w:pPr>
      <w:r>
        <w:rPr>
          <w:rFonts w:ascii="Arial" w:hAnsi="Arial" w:eastAsia="Arial" w:cs="Arial"/>
          <w:sz w:val="22"/>
          <w:szCs w:val="22"/>
        </w:rPr>
        <w:t>Given a Bengali idiom as a query, rank all target language idioms by similarity score and check where the correct match appears in the ranked list. This is the most practically meaningful task — it mirrors real-world usage where you would ask 'what English idiom means the same as this Bengali one?' and expect the model to return it near the top.</w:t>
      </w:r>
    </w:p>
    <w:p w14:paraId="757A25C6">
      <w:pPr>
        <w:spacing w:before="60" w:after="6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43"/>
        <w:gridCol w:w="3100"/>
        <w:gridCol w:w="1356"/>
        <w:gridCol w:w="3487"/>
      </w:tblGrid>
      <w:tr w14:paraId="30A77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pct"/>
            <w:shd w:val="solid" w:color="2A5298" w:fill="2A5298"/>
            <w:tcMar>
              <w:top w:w="100" w:type="dxa"/>
              <w:left w:w="120" w:type="dxa"/>
              <w:bottom w:w="100" w:type="dxa"/>
              <w:right w:w="120" w:type="dxa"/>
            </w:tcMar>
          </w:tcPr>
          <w:p w14:paraId="00B96F37">
            <w:pPr>
              <w:jc w:val="center"/>
            </w:pPr>
            <w:r>
              <w:rPr>
                <w:rFonts w:ascii="Arial" w:hAnsi="Arial" w:eastAsia="Arial" w:cs="Arial"/>
                <w:b/>
                <w:bCs/>
                <w:color w:val="FFFFFF"/>
                <w:sz w:val="19"/>
                <w:szCs w:val="19"/>
              </w:rPr>
              <w:t>Metric</w:t>
            </w:r>
          </w:p>
        </w:tc>
        <w:tc>
          <w:tcPr>
            <w:tcW w:w="1600" w:type="pct"/>
            <w:shd w:val="solid" w:color="2A5298" w:fill="2A5298"/>
            <w:tcMar>
              <w:top w:w="100" w:type="dxa"/>
              <w:left w:w="120" w:type="dxa"/>
              <w:bottom w:w="100" w:type="dxa"/>
              <w:right w:w="120" w:type="dxa"/>
            </w:tcMar>
          </w:tcPr>
          <w:p w14:paraId="151FA4EF">
            <w:pPr>
              <w:jc w:val="center"/>
            </w:pPr>
            <w:r>
              <w:rPr>
                <w:rFonts w:ascii="Arial" w:hAnsi="Arial" w:eastAsia="Arial" w:cs="Arial"/>
                <w:b/>
                <w:bCs/>
                <w:color w:val="FFFFFF"/>
                <w:sz w:val="19"/>
                <w:szCs w:val="19"/>
              </w:rPr>
              <w:t>Definition</w:t>
            </w:r>
          </w:p>
        </w:tc>
        <w:tc>
          <w:tcPr>
            <w:tcW w:w="700" w:type="pct"/>
            <w:shd w:val="solid" w:color="2A5298" w:fill="2A5298"/>
            <w:tcMar>
              <w:top w:w="100" w:type="dxa"/>
              <w:left w:w="120" w:type="dxa"/>
              <w:bottom w:w="100" w:type="dxa"/>
              <w:right w:w="120" w:type="dxa"/>
            </w:tcMar>
          </w:tcPr>
          <w:p w14:paraId="41E9303D">
            <w:pPr>
              <w:jc w:val="center"/>
            </w:pPr>
            <w:r>
              <w:rPr>
                <w:rFonts w:ascii="Arial" w:hAnsi="Arial" w:eastAsia="Arial" w:cs="Arial"/>
                <w:b/>
                <w:bCs/>
                <w:color w:val="FFFFFF"/>
                <w:sz w:val="19"/>
                <w:szCs w:val="19"/>
              </w:rPr>
              <w:t>Perfect Score</w:t>
            </w:r>
          </w:p>
        </w:tc>
        <w:tc>
          <w:tcPr>
            <w:tcW w:w="1800" w:type="pct"/>
            <w:shd w:val="solid" w:color="2A5298" w:fill="2A5298"/>
            <w:tcMar>
              <w:top w:w="100" w:type="dxa"/>
              <w:left w:w="120" w:type="dxa"/>
              <w:bottom w:w="100" w:type="dxa"/>
              <w:right w:w="120" w:type="dxa"/>
            </w:tcMar>
          </w:tcPr>
          <w:p w14:paraId="5B7AA8B1">
            <w:pPr>
              <w:jc w:val="center"/>
            </w:pPr>
            <w:r>
              <w:rPr>
                <w:rFonts w:ascii="Arial" w:hAnsi="Arial" w:eastAsia="Arial" w:cs="Arial"/>
                <w:b/>
                <w:bCs/>
                <w:color w:val="FFFFFF"/>
                <w:sz w:val="19"/>
                <w:szCs w:val="19"/>
              </w:rPr>
              <w:t>Interpretation</w:t>
            </w:r>
          </w:p>
        </w:tc>
      </w:tr>
      <w:tr w14:paraId="4A2E9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pct"/>
            <w:shd w:val="solid" w:color="F0F4FF" w:fill="F0F4FF"/>
            <w:tcMar>
              <w:top w:w="80" w:type="dxa"/>
              <w:left w:w="100" w:type="dxa"/>
              <w:bottom w:w="80" w:type="dxa"/>
              <w:right w:w="100" w:type="dxa"/>
            </w:tcMar>
          </w:tcPr>
          <w:p w14:paraId="30D21362">
            <w:pPr>
              <w:jc w:val="center"/>
            </w:pPr>
            <w:r>
              <w:rPr>
                <w:rFonts w:ascii="Arial" w:hAnsi="Arial" w:eastAsia="Arial" w:cs="Arial"/>
                <w:b w:val="0"/>
                <w:bCs w:val="0"/>
                <w:color w:val="1A1A2E"/>
                <w:sz w:val="19"/>
                <w:szCs w:val="19"/>
              </w:rPr>
              <w:t>MRR (Mean Reciprocal Rank)</w:t>
            </w:r>
          </w:p>
        </w:tc>
        <w:tc>
          <w:tcPr>
            <w:tcW w:w="1600" w:type="pct"/>
            <w:shd w:val="solid" w:color="F0F4FF" w:fill="F0F4FF"/>
            <w:tcMar>
              <w:top w:w="80" w:type="dxa"/>
              <w:left w:w="100" w:type="dxa"/>
              <w:bottom w:w="80" w:type="dxa"/>
              <w:right w:w="100" w:type="dxa"/>
            </w:tcMar>
          </w:tcPr>
          <w:p w14:paraId="66C64A3A">
            <w:pPr>
              <w:jc w:val="center"/>
            </w:pPr>
            <w:r>
              <w:rPr>
                <w:rFonts w:ascii="Arial" w:hAnsi="Arial" w:eastAsia="Arial" w:cs="Arial"/>
                <w:b w:val="0"/>
                <w:bCs w:val="0"/>
                <w:color w:val="1A1A2E"/>
                <w:sz w:val="19"/>
                <w:szCs w:val="19"/>
              </w:rPr>
              <w:t>Average of 1/rank of correct answer</w:t>
            </w:r>
          </w:p>
        </w:tc>
        <w:tc>
          <w:tcPr>
            <w:tcW w:w="700" w:type="pct"/>
            <w:shd w:val="solid" w:color="F0F4FF" w:fill="F0F4FF"/>
            <w:tcMar>
              <w:top w:w="80" w:type="dxa"/>
              <w:left w:w="100" w:type="dxa"/>
              <w:bottom w:w="80" w:type="dxa"/>
              <w:right w:w="100" w:type="dxa"/>
            </w:tcMar>
          </w:tcPr>
          <w:p w14:paraId="1E2E2B56">
            <w:pPr>
              <w:jc w:val="center"/>
            </w:pPr>
            <w:r>
              <w:rPr>
                <w:rFonts w:ascii="Arial" w:hAnsi="Arial" w:eastAsia="Arial" w:cs="Arial"/>
                <w:b w:val="0"/>
                <w:bCs w:val="0"/>
                <w:color w:val="1A1A2E"/>
                <w:sz w:val="19"/>
                <w:szCs w:val="19"/>
              </w:rPr>
              <w:t>1.0</w:t>
            </w:r>
          </w:p>
        </w:tc>
        <w:tc>
          <w:tcPr>
            <w:tcW w:w="1800" w:type="pct"/>
            <w:shd w:val="solid" w:color="F0F4FF" w:fill="F0F4FF"/>
            <w:tcMar>
              <w:top w:w="80" w:type="dxa"/>
              <w:left w:w="100" w:type="dxa"/>
              <w:bottom w:w="80" w:type="dxa"/>
              <w:right w:w="100" w:type="dxa"/>
            </w:tcMar>
          </w:tcPr>
          <w:p w14:paraId="5A3EFC8E">
            <w:pPr>
              <w:jc w:val="center"/>
            </w:pPr>
            <w:r>
              <w:rPr>
                <w:rFonts w:ascii="Arial" w:hAnsi="Arial" w:eastAsia="Arial" w:cs="Arial"/>
                <w:b w:val="0"/>
                <w:bCs w:val="0"/>
                <w:color w:val="1A1A2E"/>
                <w:sz w:val="19"/>
                <w:szCs w:val="19"/>
              </w:rPr>
              <w:t>If correct answer always ranked 1st, MRR=1.0</w:t>
            </w:r>
          </w:p>
        </w:tc>
      </w:tr>
      <w:tr w14:paraId="5D7A9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pct"/>
            <w:shd w:val="solid" w:color="FFFFFF" w:fill="FFFFFF"/>
            <w:tcMar>
              <w:top w:w="80" w:type="dxa"/>
              <w:left w:w="100" w:type="dxa"/>
              <w:bottom w:w="80" w:type="dxa"/>
              <w:right w:w="100" w:type="dxa"/>
            </w:tcMar>
          </w:tcPr>
          <w:p w14:paraId="645E823B">
            <w:pPr>
              <w:jc w:val="center"/>
            </w:pPr>
            <w:r>
              <w:rPr>
                <w:rFonts w:ascii="Arial" w:hAnsi="Arial" w:eastAsia="Arial" w:cs="Arial"/>
                <w:b w:val="0"/>
                <w:bCs w:val="0"/>
                <w:color w:val="1A1A2E"/>
                <w:sz w:val="19"/>
                <w:szCs w:val="19"/>
              </w:rPr>
              <w:t>P@1 (Precision at 1)</w:t>
            </w:r>
          </w:p>
        </w:tc>
        <w:tc>
          <w:tcPr>
            <w:tcW w:w="1600" w:type="pct"/>
            <w:shd w:val="solid" w:color="FFFFFF" w:fill="FFFFFF"/>
            <w:tcMar>
              <w:top w:w="80" w:type="dxa"/>
              <w:left w:w="100" w:type="dxa"/>
              <w:bottom w:w="80" w:type="dxa"/>
              <w:right w:w="100" w:type="dxa"/>
            </w:tcMar>
          </w:tcPr>
          <w:p w14:paraId="6D971970">
            <w:pPr>
              <w:jc w:val="center"/>
            </w:pPr>
            <w:r>
              <w:rPr>
                <w:rFonts w:ascii="Arial" w:hAnsi="Arial" w:eastAsia="Arial" w:cs="Arial"/>
                <w:b w:val="0"/>
                <w:bCs w:val="0"/>
                <w:color w:val="1A1A2E"/>
                <w:sz w:val="19"/>
                <w:szCs w:val="19"/>
              </w:rPr>
              <w:t>Fraction of queries where rank 1 = correct</w:t>
            </w:r>
          </w:p>
        </w:tc>
        <w:tc>
          <w:tcPr>
            <w:tcW w:w="700" w:type="pct"/>
            <w:shd w:val="solid" w:color="FFFFFF" w:fill="FFFFFF"/>
            <w:tcMar>
              <w:top w:w="80" w:type="dxa"/>
              <w:left w:w="100" w:type="dxa"/>
              <w:bottom w:w="80" w:type="dxa"/>
              <w:right w:w="100" w:type="dxa"/>
            </w:tcMar>
          </w:tcPr>
          <w:p w14:paraId="7B3A07A1">
            <w:pPr>
              <w:jc w:val="center"/>
            </w:pPr>
            <w:r>
              <w:rPr>
                <w:rFonts w:ascii="Arial" w:hAnsi="Arial" w:eastAsia="Arial" w:cs="Arial"/>
                <w:b w:val="0"/>
                <w:bCs w:val="0"/>
                <w:color w:val="1A1A2E"/>
                <w:sz w:val="19"/>
                <w:szCs w:val="19"/>
              </w:rPr>
              <w:t>1.0</w:t>
            </w:r>
          </w:p>
        </w:tc>
        <w:tc>
          <w:tcPr>
            <w:tcW w:w="1800" w:type="pct"/>
            <w:shd w:val="solid" w:color="FFFFFF" w:fill="FFFFFF"/>
            <w:tcMar>
              <w:top w:w="80" w:type="dxa"/>
              <w:left w:w="100" w:type="dxa"/>
              <w:bottom w:w="80" w:type="dxa"/>
              <w:right w:w="100" w:type="dxa"/>
            </w:tcMar>
          </w:tcPr>
          <w:p w14:paraId="014ABFDC">
            <w:pPr>
              <w:jc w:val="center"/>
            </w:pPr>
            <w:r>
              <w:rPr>
                <w:rFonts w:ascii="Arial" w:hAnsi="Arial" w:eastAsia="Arial" w:cs="Arial"/>
                <w:b w:val="0"/>
                <w:bCs w:val="0"/>
                <w:color w:val="1A1A2E"/>
                <w:sz w:val="19"/>
                <w:szCs w:val="19"/>
              </w:rPr>
              <w:t>Strictest metric — top result must be correct</w:t>
            </w:r>
          </w:p>
        </w:tc>
      </w:tr>
      <w:tr w14:paraId="22A8C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pct"/>
            <w:shd w:val="solid" w:color="F0F4FF" w:fill="F0F4FF"/>
            <w:tcMar>
              <w:top w:w="80" w:type="dxa"/>
              <w:left w:w="100" w:type="dxa"/>
              <w:bottom w:w="80" w:type="dxa"/>
              <w:right w:w="100" w:type="dxa"/>
            </w:tcMar>
          </w:tcPr>
          <w:p w14:paraId="04CBCBAD">
            <w:pPr>
              <w:jc w:val="center"/>
            </w:pPr>
            <w:r>
              <w:rPr>
                <w:rFonts w:ascii="Arial" w:hAnsi="Arial" w:eastAsia="Arial" w:cs="Arial"/>
                <w:b w:val="0"/>
                <w:bCs w:val="0"/>
                <w:color w:val="1A1A2E"/>
                <w:sz w:val="19"/>
                <w:szCs w:val="19"/>
              </w:rPr>
              <w:t>P@5 (Precision at 5)</w:t>
            </w:r>
          </w:p>
        </w:tc>
        <w:tc>
          <w:tcPr>
            <w:tcW w:w="1600" w:type="pct"/>
            <w:shd w:val="solid" w:color="F0F4FF" w:fill="F0F4FF"/>
            <w:tcMar>
              <w:top w:w="80" w:type="dxa"/>
              <w:left w:w="100" w:type="dxa"/>
              <w:bottom w:w="80" w:type="dxa"/>
              <w:right w:w="100" w:type="dxa"/>
            </w:tcMar>
          </w:tcPr>
          <w:p w14:paraId="569ACF8B">
            <w:pPr>
              <w:jc w:val="center"/>
            </w:pPr>
            <w:r>
              <w:rPr>
                <w:rFonts w:ascii="Arial" w:hAnsi="Arial" w:eastAsia="Arial" w:cs="Arial"/>
                <w:b w:val="0"/>
                <w:bCs w:val="0"/>
                <w:color w:val="1A1A2E"/>
                <w:sz w:val="19"/>
                <w:szCs w:val="19"/>
              </w:rPr>
              <w:t>Fraction of queries where correct is in top 5</w:t>
            </w:r>
          </w:p>
        </w:tc>
        <w:tc>
          <w:tcPr>
            <w:tcW w:w="700" w:type="pct"/>
            <w:shd w:val="solid" w:color="F0F4FF" w:fill="F0F4FF"/>
            <w:tcMar>
              <w:top w:w="80" w:type="dxa"/>
              <w:left w:w="100" w:type="dxa"/>
              <w:bottom w:w="80" w:type="dxa"/>
              <w:right w:w="100" w:type="dxa"/>
            </w:tcMar>
          </w:tcPr>
          <w:p w14:paraId="4F3EAA52">
            <w:pPr>
              <w:jc w:val="center"/>
            </w:pPr>
            <w:r>
              <w:rPr>
                <w:rFonts w:ascii="Arial" w:hAnsi="Arial" w:eastAsia="Arial" w:cs="Arial"/>
                <w:b w:val="0"/>
                <w:bCs w:val="0"/>
                <w:color w:val="1A1A2E"/>
                <w:sz w:val="19"/>
                <w:szCs w:val="19"/>
              </w:rPr>
              <w:t>1.0</w:t>
            </w:r>
          </w:p>
        </w:tc>
        <w:tc>
          <w:tcPr>
            <w:tcW w:w="1800" w:type="pct"/>
            <w:shd w:val="solid" w:color="F0F4FF" w:fill="F0F4FF"/>
            <w:tcMar>
              <w:top w:w="80" w:type="dxa"/>
              <w:left w:w="100" w:type="dxa"/>
              <w:bottom w:w="80" w:type="dxa"/>
              <w:right w:w="100" w:type="dxa"/>
            </w:tcMar>
          </w:tcPr>
          <w:p w14:paraId="3DFF033A">
            <w:pPr>
              <w:jc w:val="center"/>
            </w:pPr>
            <w:r>
              <w:rPr>
                <w:rFonts w:ascii="Arial" w:hAnsi="Arial" w:eastAsia="Arial" w:cs="Arial"/>
                <w:b w:val="0"/>
                <w:bCs w:val="0"/>
                <w:color w:val="1A1A2E"/>
                <w:sz w:val="19"/>
                <w:szCs w:val="19"/>
              </w:rPr>
              <w:t>More lenient — correct answer anywhere in top 5</w:t>
            </w:r>
          </w:p>
        </w:tc>
      </w:tr>
      <w:tr w14:paraId="61405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pct"/>
            <w:shd w:val="solid" w:color="FFFFFF" w:fill="FFFFFF"/>
            <w:tcMar>
              <w:top w:w="80" w:type="dxa"/>
              <w:left w:w="100" w:type="dxa"/>
              <w:bottom w:w="80" w:type="dxa"/>
              <w:right w:w="100" w:type="dxa"/>
            </w:tcMar>
          </w:tcPr>
          <w:p w14:paraId="36BA4F76">
            <w:pPr>
              <w:jc w:val="center"/>
            </w:pPr>
            <w:r>
              <w:rPr>
                <w:rFonts w:ascii="Arial" w:hAnsi="Arial" w:eastAsia="Arial" w:cs="Arial"/>
                <w:b w:val="0"/>
                <w:bCs w:val="0"/>
                <w:color w:val="1A1A2E"/>
                <w:sz w:val="19"/>
                <w:szCs w:val="19"/>
              </w:rPr>
              <w:t>Hit@10</w:t>
            </w:r>
          </w:p>
        </w:tc>
        <w:tc>
          <w:tcPr>
            <w:tcW w:w="1600" w:type="pct"/>
            <w:shd w:val="solid" w:color="FFFFFF" w:fill="FFFFFF"/>
            <w:tcMar>
              <w:top w:w="80" w:type="dxa"/>
              <w:left w:w="100" w:type="dxa"/>
              <w:bottom w:w="80" w:type="dxa"/>
              <w:right w:w="100" w:type="dxa"/>
            </w:tcMar>
          </w:tcPr>
          <w:p w14:paraId="312DF3BF">
            <w:pPr>
              <w:jc w:val="center"/>
            </w:pPr>
            <w:r>
              <w:rPr>
                <w:rFonts w:ascii="Arial" w:hAnsi="Arial" w:eastAsia="Arial" w:cs="Arial"/>
                <w:b w:val="0"/>
                <w:bCs w:val="0"/>
                <w:color w:val="1A1A2E"/>
                <w:sz w:val="19"/>
                <w:szCs w:val="19"/>
              </w:rPr>
              <w:t>Fraction of queries where correct is in top 10</w:t>
            </w:r>
          </w:p>
        </w:tc>
        <w:tc>
          <w:tcPr>
            <w:tcW w:w="700" w:type="pct"/>
            <w:shd w:val="solid" w:color="FFFFFF" w:fill="FFFFFF"/>
            <w:tcMar>
              <w:top w:w="80" w:type="dxa"/>
              <w:left w:w="100" w:type="dxa"/>
              <w:bottom w:w="80" w:type="dxa"/>
              <w:right w:w="100" w:type="dxa"/>
            </w:tcMar>
          </w:tcPr>
          <w:p w14:paraId="05DEB57B">
            <w:pPr>
              <w:jc w:val="center"/>
            </w:pPr>
            <w:r>
              <w:rPr>
                <w:rFonts w:ascii="Arial" w:hAnsi="Arial" w:eastAsia="Arial" w:cs="Arial"/>
                <w:b w:val="0"/>
                <w:bCs w:val="0"/>
                <w:color w:val="1A1A2E"/>
                <w:sz w:val="19"/>
                <w:szCs w:val="19"/>
              </w:rPr>
              <w:t>1.0</w:t>
            </w:r>
          </w:p>
        </w:tc>
        <w:tc>
          <w:tcPr>
            <w:tcW w:w="1800" w:type="pct"/>
            <w:shd w:val="solid" w:color="FFFFFF" w:fill="FFFFFF"/>
            <w:tcMar>
              <w:top w:w="80" w:type="dxa"/>
              <w:left w:w="100" w:type="dxa"/>
              <w:bottom w:w="80" w:type="dxa"/>
              <w:right w:w="100" w:type="dxa"/>
            </w:tcMar>
          </w:tcPr>
          <w:p w14:paraId="75B17EFF">
            <w:pPr>
              <w:jc w:val="center"/>
            </w:pPr>
            <w:r>
              <w:rPr>
                <w:rFonts w:ascii="Arial" w:hAnsi="Arial" w:eastAsia="Arial" w:cs="Arial"/>
                <w:b w:val="0"/>
                <w:bCs w:val="0"/>
                <w:color w:val="1A1A2E"/>
                <w:sz w:val="19"/>
                <w:szCs w:val="19"/>
              </w:rPr>
              <w:t>Most lenient — correct answer anywhere in top 10</w:t>
            </w:r>
          </w:p>
        </w:tc>
      </w:tr>
    </w:tbl>
    <w:p w14:paraId="198807D3">
      <w:pPr>
        <w:spacing w:before="60" w:after="60"/>
      </w:pPr>
    </w:p>
    <w:p w14:paraId="6AE34660">
      <w:pPr>
        <w:pStyle w:val="3"/>
        <w:spacing w:before="300" w:after="160"/>
      </w:pPr>
      <w:r>
        <w:rPr>
          <w:rFonts w:ascii="Arial" w:hAnsi="Arial" w:eastAsia="Arial" w:cs="Arial"/>
          <w:b/>
          <w:bCs/>
          <w:color w:val="2A5298"/>
          <w:sz w:val="26"/>
          <w:szCs w:val="26"/>
        </w:rPr>
        <w:t>Task 3 — Cross-Lingual Clustering</w:t>
      </w:r>
    </w:p>
    <w:p w14:paraId="0EC5373E">
      <w:pPr>
        <w:spacing w:before="80" w:after="120"/>
        <w:jc w:val="both"/>
      </w:pPr>
      <w:r>
        <w:rPr>
          <w:rFonts w:ascii="Arial" w:hAnsi="Arial" w:eastAsia="Arial" w:cs="Arial"/>
          <w:sz w:val="22"/>
          <w:szCs w:val="22"/>
        </w:rPr>
        <w:t>All Bengali, Hindi, and English idiom embeddings are pooled together into one space and clustered using K-Means (k=50 clusters). If a model truly understands cross-lingual semantics, idioms from different languages that share the same meaning should fall into the same cluster — regardless of their language.</w:t>
      </w:r>
    </w:p>
    <w:p w14:paraId="77EF1E02">
      <w:pPr>
        <w:spacing w:before="60" w:after="6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37"/>
        <w:gridCol w:w="3100"/>
        <w:gridCol w:w="1453"/>
        <w:gridCol w:w="3196"/>
      </w:tblGrid>
      <w:tr w14:paraId="2B41E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pct"/>
            <w:shd w:val="solid" w:color="2A5298" w:fill="2A5298"/>
            <w:tcMar>
              <w:top w:w="100" w:type="dxa"/>
              <w:left w:w="120" w:type="dxa"/>
              <w:bottom w:w="100" w:type="dxa"/>
              <w:right w:w="120" w:type="dxa"/>
            </w:tcMar>
          </w:tcPr>
          <w:p w14:paraId="73F92822">
            <w:pPr>
              <w:jc w:val="center"/>
            </w:pPr>
            <w:r>
              <w:rPr>
                <w:rFonts w:ascii="Arial" w:hAnsi="Arial" w:eastAsia="Arial" w:cs="Arial"/>
                <w:b/>
                <w:bCs/>
                <w:color w:val="FFFFFF"/>
                <w:sz w:val="19"/>
                <w:szCs w:val="19"/>
              </w:rPr>
              <w:t>Metric</w:t>
            </w:r>
          </w:p>
        </w:tc>
        <w:tc>
          <w:tcPr>
            <w:tcW w:w="1600" w:type="pct"/>
            <w:shd w:val="solid" w:color="2A5298" w:fill="2A5298"/>
            <w:tcMar>
              <w:top w:w="100" w:type="dxa"/>
              <w:left w:w="120" w:type="dxa"/>
              <w:bottom w:w="100" w:type="dxa"/>
              <w:right w:w="120" w:type="dxa"/>
            </w:tcMar>
          </w:tcPr>
          <w:p w14:paraId="355437AA">
            <w:pPr>
              <w:jc w:val="center"/>
            </w:pPr>
            <w:r>
              <w:rPr>
                <w:rFonts w:ascii="Arial" w:hAnsi="Arial" w:eastAsia="Arial" w:cs="Arial"/>
                <w:b/>
                <w:bCs/>
                <w:color w:val="FFFFFF"/>
                <w:sz w:val="19"/>
                <w:szCs w:val="19"/>
              </w:rPr>
              <w:t>Definition</w:t>
            </w:r>
          </w:p>
        </w:tc>
        <w:tc>
          <w:tcPr>
            <w:tcW w:w="750" w:type="pct"/>
            <w:shd w:val="solid" w:color="2A5298" w:fill="2A5298"/>
            <w:tcMar>
              <w:top w:w="100" w:type="dxa"/>
              <w:left w:w="120" w:type="dxa"/>
              <w:bottom w:w="100" w:type="dxa"/>
              <w:right w:w="120" w:type="dxa"/>
            </w:tcMar>
          </w:tcPr>
          <w:p w14:paraId="1A76B4B9">
            <w:pPr>
              <w:jc w:val="center"/>
            </w:pPr>
            <w:r>
              <w:rPr>
                <w:rFonts w:ascii="Arial" w:hAnsi="Arial" w:eastAsia="Arial" w:cs="Arial"/>
                <w:b/>
                <w:bCs/>
                <w:color w:val="FFFFFF"/>
                <w:sz w:val="19"/>
                <w:szCs w:val="19"/>
              </w:rPr>
              <w:t>Ideal Score</w:t>
            </w:r>
          </w:p>
        </w:tc>
        <w:tc>
          <w:tcPr>
            <w:tcW w:w="1650" w:type="pct"/>
            <w:shd w:val="solid" w:color="2A5298" w:fill="2A5298"/>
            <w:tcMar>
              <w:top w:w="100" w:type="dxa"/>
              <w:left w:w="120" w:type="dxa"/>
              <w:bottom w:w="100" w:type="dxa"/>
              <w:right w:w="120" w:type="dxa"/>
            </w:tcMar>
          </w:tcPr>
          <w:p w14:paraId="553B0335">
            <w:pPr>
              <w:jc w:val="center"/>
            </w:pPr>
            <w:r>
              <w:rPr>
                <w:rFonts w:ascii="Arial" w:hAnsi="Arial" w:eastAsia="Arial" w:cs="Arial"/>
                <w:b/>
                <w:bCs/>
                <w:color w:val="FFFFFF"/>
                <w:sz w:val="19"/>
                <w:szCs w:val="19"/>
              </w:rPr>
              <w:t>What It Tells You</w:t>
            </w:r>
          </w:p>
        </w:tc>
      </w:tr>
      <w:tr w14:paraId="35C6D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pct"/>
            <w:shd w:val="solid" w:color="F0F4FF" w:fill="F0F4FF"/>
            <w:tcMar>
              <w:top w:w="80" w:type="dxa"/>
              <w:left w:w="100" w:type="dxa"/>
              <w:bottom w:w="80" w:type="dxa"/>
              <w:right w:w="100" w:type="dxa"/>
            </w:tcMar>
          </w:tcPr>
          <w:p w14:paraId="5BE7A3A1">
            <w:pPr>
              <w:jc w:val="center"/>
            </w:pPr>
            <w:r>
              <w:rPr>
                <w:rFonts w:ascii="Arial" w:hAnsi="Arial" w:eastAsia="Arial" w:cs="Arial"/>
                <w:b w:val="0"/>
                <w:bCs w:val="0"/>
                <w:color w:val="1A1A2E"/>
                <w:sz w:val="19"/>
                <w:szCs w:val="19"/>
              </w:rPr>
              <w:t>Silhouette Score</w:t>
            </w:r>
          </w:p>
        </w:tc>
        <w:tc>
          <w:tcPr>
            <w:tcW w:w="1600" w:type="pct"/>
            <w:shd w:val="solid" w:color="F0F4FF" w:fill="F0F4FF"/>
            <w:tcMar>
              <w:top w:w="80" w:type="dxa"/>
              <w:left w:w="100" w:type="dxa"/>
              <w:bottom w:w="80" w:type="dxa"/>
              <w:right w:w="100" w:type="dxa"/>
            </w:tcMar>
          </w:tcPr>
          <w:p w14:paraId="04B6C38D">
            <w:pPr>
              <w:jc w:val="center"/>
            </w:pPr>
            <w:r>
              <w:rPr>
                <w:rFonts w:ascii="Arial" w:hAnsi="Arial" w:eastAsia="Arial" w:cs="Arial"/>
                <w:b w:val="0"/>
                <w:bCs w:val="0"/>
                <w:color w:val="1A1A2E"/>
                <w:sz w:val="19"/>
                <w:szCs w:val="19"/>
              </w:rPr>
              <w:t>How well-separated clusters are from each other</w:t>
            </w:r>
          </w:p>
        </w:tc>
        <w:tc>
          <w:tcPr>
            <w:tcW w:w="750" w:type="pct"/>
            <w:shd w:val="solid" w:color="F0F4FF" w:fill="F0F4FF"/>
            <w:tcMar>
              <w:top w:w="80" w:type="dxa"/>
              <w:left w:w="100" w:type="dxa"/>
              <w:bottom w:w="80" w:type="dxa"/>
              <w:right w:w="100" w:type="dxa"/>
            </w:tcMar>
          </w:tcPr>
          <w:p w14:paraId="127317A7">
            <w:pPr>
              <w:jc w:val="center"/>
            </w:pPr>
            <w:r>
              <w:rPr>
                <w:rFonts w:ascii="Arial" w:hAnsi="Arial" w:eastAsia="Arial" w:cs="Arial"/>
                <w:b w:val="0"/>
                <w:bCs w:val="0"/>
                <w:color w:val="1A1A2E"/>
                <w:sz w:val="19"/>
                <w:szCs w:val="19"/>
              </w:rPr>
              <w:t>+1.0</w:t>
            </w:r>
          </w:p>
        </w:tc>
        <w:tc>
          <w:tcPr>
            <w:tcW w:w="1650" w:type="pct"/>
            <w:shd w:val="solid" w:color="F0F4FF" w:fill="F0F4FF"/>
            <w:tcMar>
              <w:top w:w="80" w:type="dxa"/>
              <w:left w:w="100" w:type="dxa"/>
              <w:bottom w:w="80" w:type="dxa"/>
              <w:right w:w="100" w:type="dxa"/>
            </w:tcMar>
          </w:tcPr>
          <w:p w14:paraId="781508F7">
            <w:pPr>
              <w:jc w:val="center"/>
            </w:pPr>
            <w:r>
              <w:rPr>
                <w:rFonts w:ascii="Arial" w:hAnsi="Arial" w:eastAsia="Arial" w:cs="Arial"/>
                <w:b w:val="0"/>
                <w:bCs w:val="0"/>
                <w:color w:val="1A1A2E"/>
                <w:sz w:val="19"/>
                <w:szCs w:val="19"/>
              </w:rPr>
              <w:t>Negative = clusters overlap; +1 = perfectly separated</w:t>
            </w:r>
          </w:p>
        </w:tc>
      </w:tr>
      <w:tr w14:paraId="47A7E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pct"/>
            <w:shd w:val="solid" w:color="FFFFFF" w:fill="FFFFFF"/>
            <w:tcMar>
              <w:top w:w="80" w:type="dxa"/>
              <w:left w:w="100" w:type="dxa"/>
              <w:bottom w:w="80" w:type="dxa"/>
              <w:right w:w="100" w:type="dxa"/>
            </w:tcMar>
          </w:tcPr>
          <w:p w14:paraId="319F9BB5">
            <w:pPr>
              <w:jc w:val="center"/>
            </w:pPr>
            <w:r>
              <w:rPr>
                <w:rFonts w:ascii="Arial" w:hAnsi="Arial" w:eastAsia="Arial" w:cs="Arial"/>
                <w:b w:val="0"/>
                <w:bCs w:val="0"/>
                <w:color w:val="1A1A2E"/>
                <w:sz w:val="19"/>
                <w:szCs w:val="19"/>
              </w:rPr>
              <w:t>Cluster Purity</w:t>
            </w:r>
          </w:p>
        </w:tc>
        <w:tc>
          <w:tcPr>
            <w:tcW w:w="1600" w:type="pct"/>
            <w:shd w:val="solid" w:color="FFFFFF" w:fill="FFFFFF"/>
            <w:tcMar>
              <w:top w:w="80" w:type="dxa"/>
              <w:left w:w="100" w:type="dxa"/>
              <w:bottom w:w="80" w:type="dxa"/>
              <w:right w:w="100" w:type="dxa"/>
            </w:tcMar>
          </w:tcPr>
          <w:p w14:paraId="72AA0617">
            <w:pPr>
              <w:jc w:val="center"/>
            </w:pPr>
            <w:r>
              <w:rPr>
                <w:rFonts w:ascii="Arial" w:hAnsi="Arial" w:eastAsia="Arial" w:cs="Arial"/>
                <w:b w:val="0"/>
                <w:bCs w:val="0"/>
                <w:color w:val="1A1A2E"/>
                <w:sz w:val="19"/>
                <w:szCs w:val="19"/>
              </w:rPr>
              <w:t>Fraction of each cluster dominated by one language</w:t>
            </w:r>
          </w:p>
        </w:tc>
        <w:tc>
          <w:tcPr>
            <w:tcW w:w="750" w:type="pct"/>
            <w:shd w:val="solid" w:color="FFFFFF" w:fill="FFFFFF"/>
            <w:tcMar>
              <w:top w:w="80" w:type="dxa"/>
              <w:left w:w="100" w:type="dxa"/>
              <w:bottom w:w="80" w:type="dxa"/>
              <w:right w:w="100" w:type="dxa"/>
            </w:tcMar>
          </w:tcPr>
          <w:p w14:paraId="1255E2F1">
            <w:pPr>
              <w:jc w:val="center"/>
            </w:pPr>
            <w:r>
              <w:rPr>
                <w:rFonts w:ascii="Arial" w:hAnsi="Arial" w:eastAsia="Arial" w:cs="Arial"/>
                <w:b w:val="0"/>
                <w:bCs w:val="0"/>
                <w:color w:val="1A1A2E"/>
                <w:sz w:val="19"/>
                <w:szCs w:val="19"/>
              </w:rPr>
              <w:t>1.0</w:t>
            </w:r>
          </w:p>
        </w:tc>
        <w:tc>
          <w:tcPr>
            <w:tcW w:w="1650" w:type="pct"/>
            <w:shd w:val="solid" w:color="FFFFFF" w:fill="FFFFFF"/>
            <w:tcMar>
              <w:top w:w="80" w:type="dxa"/>
              <w:left w:w="100" w:type="dxa"/>
              <w:bottom w:w="80" w:type="dxa"/>
              <w:right w:w="100" w:type="dxa"/>
            </w:tcMar>
          </w:tcPr>
          <w:p w14:paraId="4B2E52CF">
            <w:pPr>
              <w:jc w:val="center"/>
            </w:pPr>
            <w:r>
              <w:rPr>
                <w:rFonts w:ascii="Arial" w:hAnsi="Arial" w:eastAsia="Arial" w:cs="Arial"/>
                <w:b w:val="0"/>
                <w:bCs w:val="0"/>
                <w:color w:val="1A1A2E"/>
                <w:sz w:val="19"/>
                <w:szCs w:val="19"/>
              </w:rPr>
              <w:t>High purity = each cluster is mostly one language (less cross-lingual mixing)</w:t>
            </w:r>
          </w:p>
        </w:tc>
      </w:tr>
      <w:tr w14:paraId="679D2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pct"/>
            <w:shd w:val="solid" w:color="F0F4FF" w:fill="F0F4FF"/>
            <w:tcMar>
              <w:top w:w="80" w:type="dxa"/>
              <w:left w:w="100" w:type="dxa"/>
              <w:bottom w:w="80" w:type="dxa"/>
              <w:right w:w="100" w:type="dxa"/>
            </w:tcMar>
          </w:tcPr>
          <w:p w14:paraId="41B70EDC">
            <w:pPr>
              <w:jc w:val="center"/>
            </w:pPr>
            <w:r>
              <w:rPr>
                <w:rFonts w:ascii="Arial" w:hAnsi="Arial" w:eastAsia="Arial" w:cs="Arial"/>
                <w:b w:val="0"/>
                <w:bCs w:val="0"/>
                <w:color w:val="1A1A2E"/>
                <w:sz w:val="19"/>
                <w:szCs w:val="19"/>
              </w:rPr>
              <w:t>Triplet Cohesion</w:t>
            </w:r>
          </w:p>
        </w:tc>
        <w:tc>
          <w:tcPr>
            <w:tcW w:w="1600" w:type="pct"/>
            <w:shd w:val="solid" w:color="F0F4FF" w:fill="F0F4FF"/>
            <w:tcMar>
              <w:top w:w="80" w:type="dxa"/>
              <w:left w:w="100" w:type="dxa"/>
              <w:bottom w:w="80" w:type="dxa"/>
              <w:right w:w="100" w:type="dxa"/>
            </w:tcMar>
          </w:tcPr>
          <w:p w14:paraId="590E8525">
            <w:pPr>
              <w:jc w:val="center"/>
            </w:pPr>
            <w:r>
              <w:rPr>
                <w:rFonts w:ascii="Arial" w:hAnsi="Arial" w:eastAsia="Arial" w:cs="Arial"/>
                <w:b w:val="0"/>
                <w:bCs w:val="0"/>
                <w:color w:val="1A1A2E"/>
                <w:sz w:val="19"/>
                <w:szCs w:val="19"/>
              </w:rPr>
              <w:t>Fraction of triplets where all 3 languages land in same cluster</w:t>
            </w:r>
          </w:p>
        </w:tc>
        <w:tc>
          <w:tcPr>
            <w:tcW w:w="750" w:type="pct"/>
            <w:shd w:val="solid" w:color="F0F4FF" w:fill="F0F4FF"/>
            <w:tcMar>
              <w:top w:w="80" w:type="dxa"/>
              <w:left w:w="100" w:type="dxa"/>
              <w:bottom w:w="80" w:type="dxa"/>
              <w:right w:w="100" w:type="dxa"/>
            </w:tcMar>
          </w:tcPr>
          <w:p w14:paraId="492EFA3B">
            <w:pPr>
              <w:jc w:val="center"/>
            </w:pPr>
            <w:r>
              <w:rPr>
                <w:rFonts w:ascii="Arial" w:hAnsi="Arial" w:eastAsia="Arial" w:cs="Arial"/>
                <w:b w:val="0"/>
                <w:bCs w:val="0"/>
                <w:color w:val="1A1A2E"/>
                <w:sz w:val="19"/>
                <w:szCs w:val="19"/>
              </w:rPr>
              <w:t>1.0</w:t>
            </w:r>
          </w:p>
        </w:tc>
        <w:tc>
          <w:tcPr>
            <w:tcW w:w="1650" w:type="pct"/>
            <w:shd w:val="solid" w:color="F0F4FF" w:fill="F0F4FF"/>
            <w:tcMar>
              <w:top w:w="80" w:type="dxa"/>
              <w:left w:w="100" w:type="dxa"/>
              <w:bottom w:w="80" w:type="dxa"/>
              <w:right w:w="100" w:type="dxa"/>
            </w:tcMar>
          </w:tcPr>
          <w:p w14:paraId="6DB9747C">
            <w:pPr>
              <w:jc w:val="center"/>
            </w:pPr>
            <w:r>
              <w:rPr>
                <w:rFonts w:ascii="Arial" w:hAnsi="Arial" w:eastAsia="Arial" w:cs="Arial"/>
                <w:b w:val="0"/>
                <w:bCs w:val="0"/>
                <w:color w:val="1A1A2E"/>
                <w:sz w:val="19"/>
                <w:szCs w:val="19"/>
              </w:rPr>
              <w:t>Best measure of genuine cross-lingual understanding</w:t>
            </w:r>
          </w:p>
        </w:tc>
      </w:tr>
    </w:tbl>
    <w:p w14:paraId="51A46B7D">
      <w:pPr>
        <w:spacing w:before="60" w:after="60"/>
      </w:pPr>
    </w:p>
    <w:p w14:paraId="6EE9017D">
      <w:pPr>
        <w:pStyle w:val="2"/>
        <w:pBdr>
          <w:bottom w:val="single" w:color="1A7A6E" w:sz="6" w:space="4"/>
        </w:pBdr>
        <w:spacing w:before="400" w:after="200"/>
      </w:pPr>
      <w:r>
        <w:rPr>
          <w:rFonts w:ascii="Arial" w:hAnsi="Arial" w:eastAsia="Arial" w:cs="Arial"/>
          <w:b/>
          <w:bCs/>
          <w:color w:val="1A1A2E"/>
          <w:sz w:val="34"/>
          <w:szCs w:val="34"/>
        </w:rPr>
        <w:t>5. Results</w:t>
      </w:r>
    </w:p>
    <w:p w14:paraId="23BF63D4">
      <w:pPr>
        <w:pStyle w:val="3"/>
        <w:spacing w:before="300" w:after="160"/>
      </w:pPr>
      <w:r>
        <w:rPr>
          <w:rFonts w:ascii="Arial" w:hAnsi="Arial" w:eastAsia="Arial" w:cs="Arial"/>
          <w:b/>
          <w:bCs/>
          <w:color w:val="2A5298"/>
          <w:sz w:val="26"/>
          <w:szCs w:val="26"/>
        </w:rPr>
        <w:t>5.1 Task 1 — Semantic Similarity</w:t>
      </w:r>
    </w:p>
    <w:p w14:paraId="45694E08">
      <w:pPr>
        <w:pStyle w:val="4"/>
        <w:spacing w:before="200" w:after="120"/>
      </w:pPr>
      <w:r>
        <w:rPr>
          <w:rFonts w:ascii="Arial" w:hAnsi="Arial" w:eastAsia="Arial" w:cs="Arial"/>
          <w:b/>
          <w:bCs/>
          <w:color w:val="1A7A6E"/>
          <w:sz w:val="23"/>
          <w:szCs w:val="23"/>
        </w:rPr>
        <w:t>Bengali–English (bn-en): 9,061 pairs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37"/>
        <w:gridCol w:w="1937"/>
        <w:gridCol w:w="1743"/>
        <w:gridCol w:w="1743"/>
        <w:gridCol w:w="2326"/>
      </w:tblGrid>
      <w:tr w14:paraId="36148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pct"/>
            <w:shd w:val="solid" w:color="2A5298" w:fill="2A5298"/>
            <w:tcMar>
              <w:top w:w="100" w:type="dxa"/>
              <w:left w:w="120" w:type="dxa"/>
              <w:bottom w:w="100" w:type="dxa"/>
              <w:right w:w="120" w:type="dxa"/>
            </w:tcMar>
          </w:tcPr>
          <w:p w14:paraId="2272FDB2">
            <w:pPr>
              <w:jc w:val="center"/>
            </w:pPr>
            <w:r>
              <w:rPr>
                <w:rFonts w:ascii="Arial" w:hAnsi="Arial" w:eastAsia="Arial" w:cs="Arial"/>
                <w:b/>
                <w:bCs/>
                <w:color w:val="FFFFFF"/>
                <w:sz w:val="19"/>
                <w:szCs w:val="19"/>
              </w:rPr>
              <w:t>Model</w:t>
            </w:r>
          </w:p>
        </w:tc>
        <w:tc>
          <w:tcPr>
            <w:tcW w:w="1000" w:type="pct"/>
            <w:shd w:val="solid" w:color="2A5298" w:fill="2A5298"/>
            <w:tcMar>
              <w:top w:w="100" w:type="dxa"/>
              <w:left w:w="120" w:type="dxa"/>
              <w:bottom w:w="100" w:type="dxa"/>
              <w:right w:w="120" w:type="dxa"/>
            </w:tcMar>
          </w:tcPr>
          <w:p w14:paraId="196F2C64">
            <w:pPr>
              <w:jc w:val="center"/>
            </w:pPr>
            <w:r>
              <w:rPr>
                <w:rFonts w:ascii="Arial" w:hAnsi="Arial" w:eastAsia="Arial" w:cs="Arial"/>
                <w:b/>
                <w:bCs/>
                <w:color w:val="FFFFFF"/>
                <w:sz w:val="19"/>
                <w:szCs w:val="19"/>
              </w:rPr>
              <w:t>Mean Cosine</w:t>
            </w:r>
          </w:p>
        </w:tc>
        <w:tc>
          <w:tcPr>
            <w:tcW w:w="900" w:type="pct"/>
            <w:shd w:val="solid" w:color="2A5298" w:fill="2A5298"/>
            <w:tcMar>
              <w:top w:w="100" w:type="dxa"/>
              <w:left w:w="120" w:type="dxa"/>
              <w:bottom w:w="100" w:type="dxa"/>
              <w:right w:w="120" w:type="dxa"/>
            </w:tcMar>
          </w:tcPr>
          <w:p w14:paraId="7A95BED6">
            <w:pPr>
              <w:jc w:val="center"/>
            </w:pPr>
            <w:r>
              <w:rPr>
                <w:rFonts w:ascii="Arial" w:hAnsi="Arial" w:eastAsia="Arial" w:cs="Arial"/>
                <w:b/>
                <w:bCs/>
                <w:color w:val="FFFFFF"/>
                <w:sz w:val="19"/>
                <w:szCs w:val="19"/>
              </w:rPr>
              <w:t>Std Dev</w:t>
            </w:r>
          </w:p>
        </w:tc>
        <w:tc>
          <w:tcPr>
            <w:tcW w:w="900" w:type="pct"/>
            <w:shd w:val="solid" w:color="2A5298" w:fill="2A5298"/>
            <w:tcMar>
              <w:top w:w="100" w:type="dxa"/>
              <w:left w:w="120" w:type="dxa"/>
              <w:bottom w:w="100" w:type="dxa"/>
              <w:right w:w="120" w:type="dxa"/>
            </w:tcMar>
          </w:tcPr>
          <w:p w14:paraId="1786642F">
            <w:pPr>
              <w:jc w:val="center"/>
            </w:pPr>
            <w:r>
              <w:rPr>
                <w:rFonts w:ascii="Arial" w:hAnsi="Arial" w:eastAsia="Arial" w:cs="Arial"/>
                <w:b/>
                <w:bCs/>
                <w:color w:val="FFFFFF"/>
                <w:sz w:val="19"/>
                <w:szCs w:val="19"/>
              </w:rPr>
              <w:t>Median</w:t>
            </w:r>
          </w:p>
        </w:tc>
        <w:tc>
          <w:tcPr>
            <w:tcW w:w="1200" w:type="pct"/>
            <w:shd w:val="solid" w:color="2A5298" w:fill="2A5298"/>
            <w:tcMar>
              <w:top w:w="100" w:type="dxa"/>
              <w:left w:w="120" w:type="dxa"/>
              <w:bottom w:w="100" w:type="dxa"/>
              <w:right w:w="120" w:type="dxa"/>
            </w:tcMar>
          </w:tcPr>
          <w:p w14:paraId="661EC31D">
            <w:pPr>
              <w:jc w:val="center"/>
            </w:pPr>
            <w:r>
              <w:rPr>
                <w:rFonts w:ascii="Arial" w:hAnsi="Arial" w:eastAsia="Arial" w:cs="Arial"/>
                <w:b/>
                <w:bCs/>
                <w:color w:val="FFFFFF"/>
                <w:sz w:val="19"/>
                <w:szCs w:val="19"/>
              </w:rPr>
              <w:t>Winner</w:t>
            </w:r>
          </w:p>
        </w:tc>
      </w:tr>
      <w:tr w14:paraId="625FA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pct"/>
            <w:shd w:val="solid" w:color="F0F4FF" w:fill="F0F4FF"/>
            <w:tcMar>
              <w:top w:w="80" w:type="dxa"/>
              <w:left w:w="100" w:type="dxa"/>
              <w:bottom w:w="80" w:type="dxa"/>
              <w:right w:w="100" w:type="dxa"/>
            </w:tcMar>
          </w:tcPr>
          <w:p w14:paraId="38FBDCC9">
            <w:pPr>
              <w:jc w:val="center"/>
            </w:pPr>
            <w:r>
              <w:rPr>
                <w:rFonts w:ascii="Arial" w:hAnsi="Arial" w:eastAsia="Arial" w:cs="Arial"/>
                <w:b w:val="0"/>
                <w:bCs w:val="0"/>
                <w:color w:val="1A1A2E"/>
                <w:sz w:val="19"/>
                <w:szCs w:val="19"/>
              </w:rPr>
              <w:t>mSBERT</w:t>
            </w:r>
          </w:p>
        </w:tc>
        <w:tc>
          <w:tcPr>
            <w:tcW w:w="1000" w:type="pct"/>
            <w:shd w:val="solid" w:color="F0F4FF" w:fill="F0F4FF"/>
            <w:tcMar>
              <w:top w:w="80" w:type="dxa"/>
              <w:left w:w="100" w:type="dxa"/>
              <w:bottom w:w="80" w:type="dxa"/>
              <w:right w:w="100" w:type="dxa"/>
            </w:tcMar>
          </w:tcPr>
          <w:p w14:paraId="2899A986">
            <w:pPr>
              <w:jc w:val="center"/>
            </w:pPr>
            <w:r>
              <w:rPr>
                <w:rFonts w:ascii="Arial" w:hAnsi="Arial" w:eastAsia="Arial" w:cs="Arial"/>
                <w:b w:val="0"/>
                <w:bCs w:val="0"/>
                <w:color w:val="1A1A2E"/>
                <w:sz w:val="19"/>
                <w:szCs w:val="19"/>
              </w:rPr>
              <w:t>0.4376</w:t>
            </w:r>
          </w:p>
        </w:tc>
        <w:tc>
          <w:tcPr>
            <w:tcW w:w="900" w:type="pct"/>
            <w:shd w:val="solid" w:color="F0F4FF" w:fill="F0F4FF"/>
            <w:tcMar>
              <w:top w:w="80" w:type="dxa"/>
              <w:left w:w="100" w:type="dxa"/>
              <w:bottom w:w="80" w:type="dxa"/>
              <w:right w:w="100" w:type="dxa"/>
            </w:tcMar>
          </w:tcPr>
          <w:p w14:paraId="36F2FC33">
            <w:pPr>
              <w:jc w:val="center"/>
            </w:pPr>
            <w:r>
              <w:rPr>
                <w:rFonts w:ascii="Arial" w:hAnsi="Arial" w:eastAsia="Arial" w:cs="Arial"/>
                <w:b w:val="0"/>
                <w:bCs w:val="0"/>
                <w:color w:val="1A1A2E"/>
                <w:sz w:val="19"/>
                <w:szCs w:val="19"/>
              </w:rPr>
              <w:t>0.1422</w:t>
            </w:r>
          </w:p>
        </w:tc>
        <w:tc>
          <w:tcPr>
            <w:tcW w:w="900" w:type="pct"/>
            <w:shd w:val="solid" w:color="F0F4FF" w:fill="F0F4FF"/>
            <w:tcMar>
              <w:top w:w="80" w:type="dxa"/>
              <w:left w:w="100" w:type="dxa"/>
              <w:bottom w:w="80" w:type="dxa"/>
              <w:right w:w="100" w:type="dxa"/>
            </w:tcMar>
          </w:tcPr>
          <w:p w14:paraId="31AF3EC1">
            <w:pPr>
              <w:jc w:val="center"/>
            </w:pPr>
            <w:r>
              <w:rPr>
                <w:rFonts w:ascii="Arial" w:hAnsi="Arial" w:eastAsia="Arial" w:cs="Arial"/>
                <w:b w:val="0"/>
                <w:bCs w:val="0"/>
                <w:color w:val="1A1A2E"/>
                <w:sz w:val="19"/>
                <w:szCs w:val="19"/>
              </w:rPr>
              <w:t>0.4317</w:t>
            </w:r>
          </w:p>
        </w:tc>
        <w:tc>
          <w:tcPr>
            <w:tcW w:w="1200" w:type="pct"/>
            <w:shd w:val="solid" w:color="F0F4FF" w:fill="F0F4FF"/>
            <w:tcMar>
              <w:top w:w="80" w:type="dxa"/>
              <w:left w:w="100" w:type="dxa"/>
              <w:bottom w:w="80" w:type="dxa"/>
              <w:right w:w="100" w:type="dxa"/>
            </w:tcMar>
          </w:tcPr>
          <w:p w14:paraId="4447F689">
            <w:pPr>
              <w:jc w:val="center"/>
            </w:pPr>
            <w:r>
              <w:rPr>
                <w:rFonts w:ascii="Arial" w:hAnsi="Arial" w:eastAsia="Arial" w:cs="Arial"/>
                <w:b/>
                <w:bCs/>
                <w:color w:val="1A7A6E"/>
                <w:sz w:val="19"/>
                <w:szCs w:val="19"/>
              </w:rPr>
              <w:t>✓ mSBERT wins</w:t>
            </w:r>
          </w:p>
        </w:tc>
      </w:tr>
      <w:tr w14:paraId="54BF0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pct"/>
            <w:shd w:val="solid" w:color="FFFFFF" w:fill="FFFFFF"/>
            <w:tcMar>
              <w:top w:w="80" w:type="dxa"/>
              <w:left w:w="100" w:type="dxa"/>
              <w:bottom w:w="80" w:type="dxa"/>
              <w:right w:w="100" w:type="dxa"/>
            </w:tcMar>
          </w:tcPr>
          <w:p w14:paraId="3503C703">
            <w:pPr>
              <w:jc w:val="center"/>
            </w:pPr>
            <w:r>
              <w:rPr>
                <w:rFonts w:ascii="Arial" w:hAnsi="Arial" w:eastAsia="Arial" w:cs="Arial"/>
                <w:b w:val="0"/>
                <w:bCs w:val="0"/>
                <w:color w:val="1A1A2E"/>
                <w:sz w:val="19"/>
                <w:szCs w:val="19"/>
              </w:rPr>
              <w:t>LaBSE</w:t>
            </w:r>
          </w:p>
        </w:tc>
        <w:tc>
          <w:tcPr>
            <w:tcW w:w="1000" w:type="pct"/>
            <w:shd w:val="solid" w:color="FFFFFF" w:fill="FFFFFF"/>
            <w:tcMar>
              <w:top w:w="80" w:type="dxa"/>
              <w:left w:w="100" w:type="dxa"/>
              <w:bottom w:w="80" w:type="dxa"/>
              <w:right w:w="100" w:type="dxa"/>
            </w:tcMar>
          </w:tcPr>
          <w:p w14:paraId="042924AE">
            <w:pPr>
              <w:jc w:val="center"/>
            </w:pPr>
            <w:r>
              <w:rPr>
                <w:rFonts w:ascii="Arial" w:hAnsi="Arial" w:eastAsia="Arial" w:cs="Arial"/>
                <w:b w:val="0"/>
                <w:bCs w:val="0"/>
                <w:color w:val="1A1A2E"/>
                <w:sz w:val="19"/>
                <w:szCs w:val="19"/>
              </w:rPr>
              <w:t>0.3878</w:t>
            </w:r>
          </w:p>
        </w:tc>
        <w:tc>
          <w:tcPr>
            <w:tcW w:w="900" w:type="pct"/>
            <w:shd w:val="solid" w:color="FFFFFF" w:fill="FFFFFF"/>
            <w:tcMar>
              <w:top w:w="80" w:type="dxa"/>
              <w:left w:w="100" w:type="dxa"/>
              <w:bottom w:w="80" w:type="dxa"/>
              <w:right w:w="100" w:type="dxa"/>
            </w:tcMar>
          </w:tcPr>
          <w:p w14:paraId="780B21CE">
            <w:pPr>
              <w:jc w:val="center"/>
            </w:pPr>
            <w:r>
              <w:rPr>
                <w:rFonts w:ascii="Arial" w:hAnsi="Arial" w:eastAsia="Arial" w:cs="Arial"/>
                <w:b w:val="0"/>
                <w:bCs w:val="0"/>
                <w:color w:val="1A1A2E"/>
                <w:sz w:val="19"/>
                <w:szCs w:val="19"/>
              </w:rPr>
              <w:t>0.2028</w:t>
            </w:r>
          </w:p>
        </w:tc>
        <w:tc>
          <w:tcPr>
            <w:tcW w:w="900" w:type="pct"/>
            <w:shd w:val="solid" w:color="FFFFFF" w:fill="FFFFFF"/>
            <w:tcMar>
              <w:top w:w="80" w:type="dxa"/>
              <w:left w:w="100" w:type="dxa"/>
              <w:bottom w:w="80" w:type="dxa"/>
              <w:right w:w="100" w:type="dxa"/>
            </w:tcMar>
          </w:tcPr>
          <w:p w14:paraId="50CC2804">
            <w:pPr>
              <w:jc w:val="center"/>
            </w:pPr>
            <w:r>
              <w:rPr>
                <w:rFonts w:ascii="Arial" w:hAnsi="Arial" w:eastAsia="Arial" w:cs="Arial"/>
                <w:b w:val="0"/>
                <w:bCs w:val="0"/>
                <w:color w:val="1A1A2E"/>
                <w:sz w:val="19"/>
                <w:szCs w:val="19"/>
              </w:rPr>
              <w:t>0.3607</w:t>
            </w:r>
          </w:p>
        </w:tc>
        <w:tc>
          <w:tcPr>
            <w:tcW w:w="1200" w:type="pct"/>
            <w:shd w:val="solid" w:color="FFFFFF" w:fill="FFFFFF"/>
            <w:tcMar>
              <w:top w:w="80" w:type="dxa"/>
              <w:left w:w="100" w:type="dxa"/>
              <w:bottom w:w="80" w:type="dxa"/>
              <w:right w:w="100" w:type="dxa"/>
            </w:tcMar>
          </w:tcPr>
          <w:p w14:paraId="36F128F4">
            <w:pPr>
              <w:jc w:val="center"/>
            </w:pPr>
          </w:p>
        </w:tc>
      </w:tr>
    </w:tbl>
    <w:p w14:paraId="53FC7915">
      <w:pPr>
        <w:spacing w:before="60" w:after="60"/>
      </w:pPr>
    </w:p>
    <w:p w14:paraId="7308ABF0">
      <w:pPr>
        <w:spacing w:before="80" w:after="120"/>
        <w:jc w:val="both"/>
      </w:pPr>
      <w:r>
        <w:rPr>
          <w:rFonts w:ascii="Arial" w:hAnsi="Arial" w:eastAsia="Arial" w:cs="Arial"/>
          <w:sz w:val="22"/>
          <w:szCs w:val="22"/>
        </w:rPr>
        <w:t>mSBERT assigns a higher mean cosine similarity (0.438) to Bengali–English pairs than LaBSE (0.388). This difference is statistically significant (t=7.91, p&lt;0.001). mSBERT is more confident that same-meaning idioms across Bengali and English belong together. LaBSE's higher standard deviation (0.203 vs 0.142) shows it is less consistent — some pairs score very high while others score low.</w:t>
      </w:r>
    </w:p>
    <w:p w14:paraId="2095008C">
      <w:pPr>
        <w:spacing w:before="60" w:after="60"/>
      </w:pPr>
    </w:p>
    <w:p w14:paraId="16CAD30F">
      <w:pPr>
        <w:pStyle w:val="4"/>
        <w:spacing w:before="200" w:after="120"/>
      </w:pPr>
      <w:r>
        <w:rPr>
          <w:rFonts w:ascii="Arial" w:hAnsi="Arial" w:eastAsia="Arial" w:cs="Arial"/>
          <w:b/>
          <w:bCs/>
          <w:color w:val="1A7A6E"/>
          <w:sz w:val="23"/>
          <w:szCs w:val="23"/>
        </w:rPr>
        <w:t>Bengali–Hindi (bn-hi): 4,096 pairs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37"/>
        <w:gridCol w:w="1937"/>
        <w:gridCol w:w="1743"/>
        <w:gridCol w:w="1743"/>
        <w:gridCol w:w="2326"/>
      </w:tblGrid>
      <w:tr w14:paraId="78AAA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pct"/>
            <w:shd w:val="solid" w:color="2A5298" w:fill="2A5298"/>
            <w:tcMar>
              <w:top w:w="100" w:type="dxa"/>
              <w:left w:w="120" w:type="dxa"/>
              <w:bottom w:w="100" w:type="dxa"/>
              <w:right w:w="120" w:type="dxa"/>
            </w:tcMar>
          </w:tcPr>
          <w:p w14:paraId="47A0CEFD">
            <w:pPr>
              <w:jc w:val="center"/>
            </w:pPr>
            <w:r>
              <w:rPr>
                <w:rFonts w:ascii="Arial" w:hAnsi="Arial" w:eastAsia="Arial" w:cs="Arial"/>
                <w:b/>
                <w:bCs/>
                <w:color w:val="FFFFFF"/>
                <w:sz w:val="19"/>
                <w:szCs w:val="19"/>
              </w:rPr>
              <w:t>Model</w:t>
            </w:r>
          </w:p>
        </w:tc>
        <w:tc>
          <w:tcPr>
            <w:tcW w:w="1000" w:type="pct"/>
            <w:shd w:val="solid" w:color="2A5298" w:fill="2A5298"/>
            <w:tcMar>
              <w:top w:w="100" w:type="dxa"/>
              <w:left w:w="120" w:type="dxa"/>
              <w:bottom w:w="100" w:type="dxa"/>
              <w:right w:w="120" w:type="dxa"/>
            </w:tcMar>
          </w:tcPr>
          <w:p w14:paraId="359B2F9C">
            <w:pPr>
              <w:jc w:val="center"/>
            </w:pPr>
            <w:r>
              <w:rPr>
                <w:rFonts w:ascii="Arial" w:hAnsi="Arial" w:eastAsia="Arial" w:cs="Arial"/>
                <w:b/>
                <w:bCs/>
                <w:color w:val="FFFFFF"/>
                <w:sz w:val="19"/>
                <w:szCs w:val="19"/>
              </w:rPr>
              <w:t>Mean Cosine</w:t>
            </w:r>
          </w:p>
        </w:tc>
        <w:tc>
          <w:tcPr>
            <w:tcW w:w="900" w:type="pct"/>
            <w:shd w:val="solid" w:color="2A5298" w:fill="2A5298"/>
            <w:tcMar>
              <w:top w:w="100" w:type="dxa"/>
              <w:left w:w="120" w:type="dxa"/>
              <w:bottom w:w="100" w:type="dxa"/>
              <w:right w:w="120" w:type="dxa"/>
            </w:tcMar>
          </w:tcPr>
          <w:p w14:paraId="318B4438">
            <w:pPr>
              <w:jc w:val="center"/>
            </w:pPr>
            <w:r>
              <w:rPr>
                <w:rFonts w:ascii="Arial" w:hAnsi="Arial" w:eastAsia="Arial" w:cs="Arial"/>
                <w:b/>
                <w:bCs/>
                <w:color w:val="FFFFFF"/>
                <w:sz w:val="19"/>
                <w:szCs w:val="19"/>
              </w:rPr>
              <w:t>Std Dev</w:t>
            </w:r>
          </w:p>
        </w:tc>
        <w:tc>
          <w:tcPr>
            <w:tcW w:w="900" w:type="pct"/>
            <w:shd w:val="solid" w:color="2A5298" w:fill="2A5298"/>
            <w:tcMar>
              <w:top w:w="100" w:type="dxa"/>
              <w:left w:w="120" w:type="dxa"/>
              <w:bottom w:w="100" w:type="dxa"/>
              <w:right w:w="120" w:type="dxa"/>
            </w:tcMar>
          </w:tcPr>
          <w:p w14:paraId="05CF435D">
            <w:pPr>
              <w:jc w:val="center"/>
            </w:pPr>
            <w:r>
              <w:rPr>
                <w:rFonts w:ascii="Arial" w:hAnsi="Arial" w:eastAsia="Arial" w:cs="Arial"/>
                <w:b/>
                <w:bCs/>
                <w:color w:val="FFFFFF"/>
                <w:sz w:val="19"/>
                <w:szCs w:val="19"/>
              </w:rPr>
              <w:t>Median</w:t>
            </w:r>
          </w:p>
        </w:tc>
        <w:tc>
          <w:tcPr>
            <w:tcW w:w="1200" w:type="pct"/>
            <w:shd w:val="solid" w:color="2A5298" w:fill="2A5298"/>
            <w:tcMar>
              <w:top w:w="100" w:type="dxa"/>
              <w:left w:w="120" w:type="dxa"/>
              <w:bottom w:w="100" w:type="dxa"/>
              <w:right w:w="120" w:type="dxa"/>
            </w:tcMar>
          </w:tcPr>
          <w:p w14:paraId="38209C71">
            <w:pPr>
              <w:jc w:val="center"/>
            </w:pPr>
            <w:r>
              <w:rPr>
                <w:rFonts w:ascii="Arial" w:hAnsi="Arial" w:eastAsia="Arial" w:cs="Arial"/>
                <w:b/>
                <w:bCs/>
                <w:color w:val="FFFFFF"/>
                <w:sz w:val="19"/>
                <w:szCs w:val="19"/>
              </w:rPr>
              <w:t>Winner</w:t>
            </w:r>
          </w:p>
        </w:tc>
      </w:tr>
      <w:tr w14:paraId="2B225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pct"/>
            <w:shd w:val="solid" w:color="F0F4FF" w:fill="F0F4FF"/>
            <w:tcMar>
              <w:top w:w="80" w:type="dxa"/>
              <w:left w:w="100" w:type="dxa"/>
              <w:bottom w:w="80" w:type="dxa"/>
              <w:right w:w="100" w:type="dxa"/>
            </w:tcMar>
          </w:tcPr>
          <w:p w14:paraId="6982FB8B">
            <w:pPr>
              <w:jc w:val="center"/>
            </w:pPr>
            <w:r>
              <w:rPr>
                <w:rFonts w:ascii="Arial" w:hAnsi="Arial" w:eastAsia="Arial" w:cs="Arial"/>
                <w:b w:val="0"/>
                <w:bCs w:val="0"/>
                <w:color w:val="1A1A2E"/>
                <w:sz w:val="19"/>
                <w:szCs w:val="19"/>
              </w:rPr>
              <w:t>mSBERT</w:t>
            </w:r>
          </w:p>
        </w:tc>
        <w:tc>
          <w:tcPr>
            <w:tcW w:w="1000" w:type="pct"/>
            <w:shd w:val="solid" w:color="F0F4FF" w:fill="F0F4FF"/>
            <w:tcMar>
              <w:top w:w="80" w:type="dxa"/>
              <w:left w:w="100" w:type="dxa"/>
              <w:bottom w:w="80" w:type="dxa"/>
              <w:right w:w="100" w:type="dxa"/>
            </w:tcMar>
          </w:tcPr>
          <w:p w14:paraId="6C815FDD">
            <w:pPr>
              <w:jc w:val="center"/>
            </w:pPr>
            <w:r>
              <w:rPr>
                <w:rFonts w:ascii="Arial" w:hAnsi="Arial" w:eastAsia="Arial" w:cs="Arial"/>
                <w:b w:val="0"/>
                <w:bCs w:val="0"/>
                <w:color w:val="1A1A2E"/>
                <w:sz w:val="19"/>
                <w:szCs w:val="19"/>
              </w:rPr>
              <w:t>0.5467</w:t>
            </w:r>
          </w:p>
        </w:tc>
        <w:tc>
          <w:tcPr>
            <w:tcW w:w="900" w:type="pct"/>
            <w:shd w:val="solid" w:color="F0F4FF" w:fill="F0F4FF"/>
            <w:tcMar>
              <w:top w:w="80" w:type="dxa"/>
              <w:left w:w="100" w:type="dxa"/>
              <w:bottom w:w="80" w:type="dxa"/>
              <w:right w:w="100" w:type="dxa"/>
            </w:tcMar>
          </w:tcPr>
          <w:p w14:paraId="04EAC3C7">
            <w:pPr>
              <w:jc w:val="center"/>
            </w:pPr>
            <w:r>
              <w:rPr>
                <w:rFonts w:ascii="Arial" w:hAnsi="Arial" w:eastAsia="Arial" w:cs="Arial"/>
                <w:b w:val="0"/>
                <w:bCs w:val="0"/>
                <w:color w:val="1A1A2E"/>
                <w:sz w:val="19"/>
                <w:szCs w:val="19"/>
              </w:rPr>
              <w:t>0.1252</w:t>
            </w:r>
          </w:p>
        </w:tc>
        <w:tc>
          <w:tcPr>
            <w:tcW w:w="900" w:type="pct"/>
            <w:shd w:val="solid" w:color="F0F4FF" w:fill="F0F4FF"/>
            <w:tcMar>
              <w:top w:w="80" w:type="dxa"/>
              <w:left w:w="100" w:type="dxa"/>
              <w:bottom w:w="80" w:type="dxa"/>
              <w:right w:w="100" w:type="dxa"/>
            </w:tcMar>
          </w:tcPr>
          <w:p w14:paraId="5DF4C3B8">
            <w:pPr>
              <w:jc w:val="center"/>
            </w:pPr>
            <w:r>
              <w:rPr>
                <w:rFonts w:ascii="Arial" w:hAnsi="Arial" w:eastAsia="Arial" w:cs="Arial"/>
                <w:b w:val="0"/>
                <w:bCs w:val="0"/>
                <w:color w:val="1A1A2E"/>
                <w:sz w:val="19"/>
                <w:szCs w:val="19"/>
              </w:rPr>
              <w:t>0.5446</w:t>
            </w:r>
          </w:p>
        </w:tc>
        <w:tc>
          <w:tcPr>
            <w:tcW w:w="1200" w:type="pct"/>
            <w:shd w:val="solid" w:color="F0F4FF" w:fill="F0F4FF"/>
            <w:tcMar>
              <w:top w:w="80" w:type="dxa"/>
              <w:left w:w="100" w:type="dxa"/>
              <w:bottom w:w="80" w:type="dxa"/>
              <w:right w:w="100" w:type="dxa"/>
            </w:tcMar>
          </w:tcPr>
          <w:p w14:paraId="5DB8C684">
            <w:pPr>
              <w:jc w:val="center"/>
            </w:pPr>
            <w:r>
              <w:rPr>
                <w:rFonts w:ascii="Arial" w:hAnsi="Arial" w:eastAsia="Arial" w:cs="Arial"/>
                <w:b/>
                <w:bCs/>
                <w:color w:val="1A7A6E"/>
                <w:sz w:val="19"/>
                <w:szCs w:val="19"/>
              </w:rPr>
              <w:t>✓ mSBERT wins (large margin)</w:t>
            </w:r>
          </w:p>
        </w:tc>
      </w:tr>
      <w:tr w14:paraId="0ABD0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pct"/>
            <w:shd w:val="solid" w:color="FFFFFF" w:fill="FFFFFF"/>
            <w:tcMar>
              <w:top w:w="80" w:type="dxa"/>
              <w:left w:w="100" w:type="dxa"/>
              <w:bottom w:w="80" w:type="dxa"/>
              <w:right w:w="100" w:type="dxa"/>
            </w:tcMar>
          </w:tcPr>
          <w:p w14:paraId="0219E382">
            <w:pPr>
              <w:jc w:val="center"/>
            </w:pPr>
            <w:r>
              <w:rPr>
                <w:rFonts w:ascii="Arial" w:hAnsi="Arial" w:eastAsia="Arial" w:cs="Arial"/>
                <w:b w:val="0"/>
                <w:bCs w:val="0"/>
                <w:color w:val="1A1A2E"/>
                <w:sz w:val="19"/>
                <w:szCs w:val="19"/>
              </w:rPr>
              <w:t>LaBSE</w:t>
            </w:r>
          </w:p>
        </w:tc>
        <w:tc>
          <w:tcPr>
            <w:tcW w:w="1000" w:type="pct"/>
            <w:shd w:val="solid" w:color="FFFFFF" w:fill="FFFFFF"/>
            <w:tcMar>
              <w:top w:w="80" w:type="dxa"/>
              <w:left w:w="100" w:type="dxa"/>
              <w:bottom w:w="80" w:type="dxa"/>
              <w:right w:w="100" w:type="dxa"/>
            </w:tcMar>
          </w:tcPr>
          <w:p w14:paraId="0E31CB77">
            <w:pPr>
              <w:jc w:val="center"/>
            </w:pPr>
            <w:r>
              <w:rPr>
                <w:rFonts w:ascii="Arial" w:hAnsi="Arial" w:eastAsia="Arial" w:cs="Arial"/>
                <w:b w:val="0"/>
                <w:bCs w:val="0"/>
                <w:color w:val="1A1A2E"/>
                <w:sz w:val="19"/>
                <w:szCs w:val="19"/>
              </w:rPr>
              <w:t>0.3105</w:t>
            </w:r>
          </w:p>
        </w:tc>
        <w:tc>
          <w:tcPr>
            <w:tcW w:w="900" w:type="pct"/>
            <w:shd w:val="solid" w:color="FFFFFF" w:fill="FFFFFF"/>
            <w:tcMar>
              <w:top w:w="80" w:type="dxa"/>
              <w:left w:w="100" w:type="dxa"/>
              <w:bottom w:w="80" w:type="dxa"/>
              <w:right w:w="100" w:type="dxa"/>
            </w:tcMar>
          </w:tcPr>
          <w:p w14:paraId="39CAA3E8">
            <w:pPr>
              <w:jc w:val="center"/>
            </w:pPr>
            <w:r>
              <w:rPr>
                <w:rFonts w:ascii="Arial" w:hAnsi="Arial" w:eastAsia="Arial" w:cs="Arial"/>
                <w:b w:val="0"/>
                <w:bCs w:val="0"/>
                <w:color w:val="1A1A2E"/>
                <w:sz w:val="19"/>
                <w:szCs w:val="19"/>
              </w:rPr>
              <w:t>0.1328</w:t>
            </w:r>
          </w:p>
        </w:tc>
        <w:tc>
          <w:tcPr>
            <w:tcW w:w="900" w:type="pct"/>
            <w:shd w:val="solid" w:color="FFFFFF" w:fill="FFFFFF"/>
            <w:tcMar>
              <w:top w:w="80" w:type="dxa"/>
              <w:left w:w="100" w:type="dxa"/>
              <w:bottom w:w="80" w:type="dxa"/>
              <w:right w:w="100" w:type="dxa"/>
            </w:tcMar>
          </w:tcPr>
          <w:p w14:paraId="69539DE3">
            <w:pPr>
              <w:jc w:val="center"/>
            </w:pPr>
            <w:r>
              <w:rPr>
                <w:rFonts w:ascii="Arial" w:hAnsi="Arial" w:eastAsia="Arial" w:cs="Arial"/>
                <w:b w:val="0"/>
                <w:bCs w:val="0"/>
                <w:color w:val="1A1A2E"/>
                <w:sz w:val="19"/>
                <w:szCs w:val="19"/>
              </w:rPr>
              <w:t>0.3039</w:t>
            </w:r>
          </w:p>
        </w:tc>
        <w:tc>
          <w:tcPr>
            <w:tcW w:w="1200" w:type="pct"/>
            <w:shd w:val="solid" w:color="FFFFFF" w:fill="FFFFFF"/>
            <w:tcMar>
              <w:top w:w="80" w:type="dxa"/>
              <w:left w:w="100" w:type="dxa"/>
              <w:bottom w:w="80" w:type="dxa"/>
              <w:right w:w="100" w:type="dxa"/>
            </w:tcMar>
          </w:tcPr>
          <w:p w14:paraId="71FAD03D">
            <w:pPr>
              <w:jc w:val="center"/>
            </w:pPr>
          </w:p>
        </w:tc>
      </w:tr>
    </w:tbl>
    <w:p w14:paraId="6DDD99C7">
      <w:pPr>
        <w:spacing w:before="60" w:after="60"/>
      </w:pPr>
    </w:p>
    <w:p w14:paraId="2D1F502A">
      <w:pPr>
        <w:spacing w:before="80" w:after="120"/>
        <w:jc w:val="both"/>
      </w:pPr>
      <w:r>
        <w:rPr>
          <w:rFonts w:ascii="Arial" w:hAnsi="Arial" w:eastAsia="Arial" w:cs="Arial"/>
          <w:sz w:val="22"/>
          <w:szCs w:val="22"/>
        </w:rPr>
        <w:t>The Bengali–Hindi result is striking. mSBERT scores 0.547 mean cosine similarity — significantly higher than its own bn-en score of 0.438. This suggests mSBERT perceives Bengali and Hindi as more semantically similar than Bengali and English, which is linguistically plausible since both Bengali and Hindi are Indo-Aryan languages sharing cultural and etymological roots.</w:t>
      </w:r>
    </w:p>
    <w:p w14:paraId="70990953">
      <w:pPr>
        <w:spacing w:before="60" w:after="60"/>
      </w:pPr>
    </w:p>
    <w:p w14:paraId="7B7AC08B">
      <w:pPr>
        <w:spacing w:before="80" w:after="120"/>
        <w:jc w:val="both"/>
      </w:pPr>
      <w:r>
        <w:rPr>
          <w:rFonts w:ascii="Arial" w:hAnsi="Arial" w:eastAsia="Arial" w:cs="Arial"/>
          <w:sz w:val="22"/>
          <w:szCs w:val="22"/>
        </w:rPr>
        <w:t>LaBSE scores only 0.310 for bn-hi — lower than its bn-en score of 0.388. This is counter-intuitive given LaBSE's claimed strength in cross-lingual alignment. It may reflect the smaller and more domain-specific Hindi dataset used, or LaBSE's training data distribution favouring English-centric alignment over Indian language pairs. The difference is statistically significant (t=103.46, p&lt;0.001).</w:t>
      </w:r>
    </w:p>
    <w:p w14:paraId="2C19C43A">
      <w:pPr>
        <w:spacing w:before="60" w:after="60"/>
      </w:pPr>
    </w:p>
    <w:p w14:paraId="4F05F016">
      <w:pPr>
        <w:pStyle w:val="3"/>
        <w:spacing w:before="300" w:after="160"/>
      </w:pPr>
      <w:r>
        <w:rPr>
          <w:rFonts w:ascii="Arial" w:hAnsi="Arial" w:eastAsia="Arial" w:cs="Arial"/>
          <w:b/>
          <w:bCs/>
          <w:color w:val="2A5298"/>
          <w:sz w:val="26"/>
          <w:szCs w:val="26"/>
        </w:rPr>
        <w:t>5.2 Task 2 — Cross-Lingual Retrieval</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59"/>
        <w:gridCol w:w="1259"/>
        <w:gridCol w:w="1162"/>
        <w:gridCol w:w="1162"/>
        <w:gridCol w:w="1162"/>
        <w:gridCol w:w="1162"/>
        <w:gridCol w:w="1163"/>
        <w:gridCol w:w="1357"/>
      </w:tblGrid>
      <w:tr w14:paraId="5A12D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50" w:type="pct"/>
            <w:shd w:val="solid" w:color="2A5298" w:fill="2A5298"/>
            <w:tcMar>
              <w:top w:w="100" w:type="dxa"/>
              <w:left w:w="120" w:type="dxa"/>
              <w:bottom w:w="100" w:type="dxa"/>
              <w:right w:w="120" w:type="dxa"/>
            </w:tcMar>
          </w:tcPr>
          <w:p w14:paraId="6329839B">
            <w:pPr>
              <w:jc w:val="center"/>
            </w:pPr>
            <w:r>
              <w:rPr>
                <w:rFonts w:ascii="Arial" w:hAnsi="Arial" w:eastAsia="Arial" w:cs="Arial"/>
                <w:b/>
                <w:bCs/>
                <w:color w:val="FFFFFF"/>
                <w:sz w:val="19"/>
                <w:szCs w:val="19"/>
              </w:rPr>
              <w:t>Model</w:t>
            </w:r>
          </w:p>
        </w:tc>
        <w:tc>
          <w:tcPr>
            <w:tcW w:w="650" w:type="pct"/>
            <w:shd w:val="solid" w:color="2A5298" w:fill="2A5298"/>
            <w:tcMar>
              <w:top w:w="100" w:type="dxa"/>
              <w:left w:w="120" w:type="dxa"/>
              <w:bottom w:w="100" w:type="dxa"/>
              <w:right w:w="120" w:type="dxa"/>
            </w:tcMar>
          </w:tcPr>
          <w:p w14:paraId="6AC7CE23">
            <w:pPr>
              <w:jc w:val="center"/>
            </w:pPr>
            <w:r>
              <w:rPr>
                <w:rFonts w:ascii="Arial" w:hAnsi="Arial" w:eastAsia="Arial" w:cs="Arial"/>
                <w:b/>
                <w:bCs/>
                <w:color w:val="FFFFFF"/>
                <w:sz w:val="19"/>
                <w:szCs w:val="19"/>
              </w:rPr>
              <w:t>Lang Pair</w:t>
            </w:r>
          </w:p>
        </w:tc>
        <w:tc>
          <w:tcPr>
            <w:tcW w:w="600" w:type="pct"/>
            <w:shd w:val="solid" w:color="2A5298" w:fill="2A5298"/>
            <w:tcMar>
              <w:top w:w="100" w:type="dxa"/>
              <w:left w:w="120" w:type="dxa"/>
              <w:bottom w:w="100" w:type="dxa"/>
              <w:right w:w="120" w:type="dxa"/>
            </w:tcMar>
          </w:tcPr>
          <w:p w14:paraId="799CDAC2">
            <w:pPr>
              <w:jc w:val="center"/>
            </w:pPr>
            <w:r>
              <w:rPr>
                <w:rFonts w:ascii="Arial" w:hAnsi="Arial" w:eastAsia="Arial" w:cs="Arial"/>
                <w:b/>
                <w:bCs/>
                <w:color w:val="FFFFFF"/>
                <w:sz w:val="19"/>
                <w:szCs w:val="19"/>
              </w:rPr>
              <w:t>n Queries</w:t>
            </w:r>
          </w:p>
        </w:tc>
        <w:tc>
          <w:tcPr>
            <w:tcW w:w="600" w:type="pct"/>
            <w:shd w:val="solid" w:color="2A5298" w:fill="2A5298"/>
            <w:tcMar>
              <w:top w:w="100" w:type="dxa"/>
              <w:left w:w="120" w:type="dxa"/>
              <w:bottom w:w="100" w:type="dxa"/>
              <w:right w:w="120" w:type="dxa"/>
            </w:tcMar>
          </w:tcPr>
          <w:p w14:paraId="7EA43D5C">
            <w:pPr>
              <w:jc w:val="center"/>
            </w:pPr>
            <w:r>
              <w:rPr>
                <w:rFonts w:ascii="Arial" w:hAnsi="Arial" w:eastAsia="Arial" w:cs="Arial"/>
                <w:b/>
                <w:bCs/>
                <w:color w:val="FFFFFF"/>
                <w:sz w:val="19"/>
                <w:szCs w:val="19"/>
              </w:rPr>
              <w:t>MRR</w:t>
            </w:r>
          </w:p>
        </w:tc>
        <w:tc>
          <w:tcPr>
            <w:tcW w:w="600" w:type="pct"/>
            <w:shd w:val="solid" w:color="2A5298" w:fill="2A5298"/>
            <w:tcMar>
              <w:top w:w="100" w:type="dxa"/>
              <w:left w:w="120" w:type="dxa"/>
              <w:bottom w:w="100" w:type="dxa"/>
              <w:right w:w="120" w:type="dxa"/>
            </w:tcMar>
          </w:tcPr>
          <w:p w14:paraId="1DEBFF8B">
            <w:pPr>
              <w:jc w:val="center"/>
            </w:pPr>
            <w:r>
              <w:rPr>
                <w:rFonts w:ascii="Arial" w:hAnsi="Arial" w:eastAsia="Arial" w:cs="Arial"/>
                <w:b/>
                <w:bCs/>
                <w:color w:val="FFFFFF"/>
                <w:sz w:val="19"/>
                <w:szCs w:val="19"/>
              </w:rPr>
              <w:t>P@1</w:t>
            </w:r>
          </w:p>
        </w:tc>
        <w:tc>
          <w:tcPr>
            <w:tcW w:w="600" w:type="pct"/>
            <w:shd w:val="solid" w:color="2A5298" w:fill="2A5298"/>
            <w:tcMar>
              <w:top w:w="100" w:type="dxa"/>
              <w:left w:w="120" w:type="dxa"/>
              <w:bottom w:w="100" w:type="dxa"/>
              <w:right w:w="120" w:type="dxa"/>
            </w:tcMar>
          </w:tcPr>
          <w:p w14:paraId="376FF553">
            <w:pPr>
              <w:jc w:val="center"/>
            </w:pPr>
            <w:r>
              <w:rPr>
                <w:rFonts w:ascii="Arial" w:hAnsi="Arial" w:eastAsia="Arial" w:cs="Arial"/>
                <w:b/>
                <w:bCs/>
                <w:color w:val="FFFFFF"/>
                <w:sz w:val="19"/>
                <w:szCs w:val="19"/>
              </w:rPr>
              <w:t>P@5</w:t>
            </w:r>
          </w:p>
        </w:tc>
        <w:tc>
          <w:tcPr>
            <w:tcW w:w="600" w:type="pct"/>
            <w:shd w:val="solid" w:color="2A5298" w:fill="2A5298"/>
            <w:tcMar>
              <w:top w:w="100" w:type="dxa"/>
              <w:left w:w="120" w:type="dxa"/>
              <w:bottom w:w="100" w:type="dxa"/>
              <w:right w:w="120" w:type="dxa"/>
            </w:tcMar>
          </w:tcPr>
          <w:p w14:paraId="681C8D7E">
            <w:pPr>
              <w:jc w:val="center"/>
            </w:pPr>
            <w:r>
              <w:rPr>
                <w:rFonts w:ascii="Arial" w:hAnsi="Arial" w:eastAsia="Arial" w:cs="Arial"/>
                <w:b/>
                <w:bCs/>
                <w:color w:val="FFFFFF"/>
                <w:sz w:val="19"/>
                <w:szCs w:val="19"/>
              </w:rPr>
              <w:t>Hit@10</w:t>
            </w:r>
          </w:p>
        </w:tc>
        <w:tc>
          <w:tcPr>
            <w:tcW w:w="700" w:type="pct"/>
            <w:shd w:val="solid" w:color="2A5298" w:fill="2A5298"/>
            <w:tcMar>
              <w:top w:w="100" w:type="dxa"/>
              <w:left w:w="120" w:type="dxa"/>
              <w:bottom w:w="100" w:type="dxa"/>
              <w:right w:w="120" w:type="dxa"/>
            </w:tcMar>
          </w:tcPr>
          <w:p w14:paraId="15BFA4FD">
            <w:pPr>
              <w:jc w:val="center"/>
            </w:pPr>
            <w:r>
              <w:rPr>
                <w:rFonts w:ascii="Arial" w:hAnsi="Arial" w:eastAsia="Arial" w:cs="Arial"/>
                <w:b/>
                <w:bCs/>
                <w:color w:val="FFFFFF"/>
                <w:sz w:val="19"/>
                <w:szCs w:val="19"/>
              </w:rPr>
              <w:t>Winner</w:t>
            </w:r>
          </w:p>
        </w:tc>
      </w:tr>
      <w:tr w14:paraId="6DABA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pct"/>
            <w:shd w:val="solid" w:color="F0F4FF" w:fill="F0F4FF"/>
            <w:tcMar>
              <w:top w:w="80" w:type="dxa"/>
              <w:left w:w="100" w:type="dxa"/>
              <w:bottom w:w="80" w:type="dxa"/>
              <w:right w:w="100" w:type="dxa"/>
            </w:tcMar>
          </w:tcPr>
          <w:p w14:paraId="2781516C">
            <w:pPr>
              <w:jc w:val="center"/>
            </w:pPr>
            <w:r>
              <w:rPr>
                <w:rFonts w:ascii="Arial" w:hAnsi="Arial" w:eastAsia="Arial" w:cs="Arial"/>
                <w:b w:val="0"/>
                <w:bCs w:val="0"/>
                <w:color w:val="1A1A2E"/>
                <w:sz w:val="19"/>
                <w:szCs w:val="19"/>
              </w:rPr>
              <w:t>mSBERT</w:t>
            </w:r>
          </w:p>
        </w:tc>
        <w:tc>
          <w:tcPr>
            <w:tcW w:w="650" w:type="pct"/>
            <w:shd w:val="solid" w:color="F0F4FF" w:fill="F0F4FF"/>
            <w:tcMar>
              <w:top w:w="80" w:type="dxa"/>
              <w:left w:w="100" w:type="dxa"/>
              <w:bottom w:w="80" w:type="dxa"/>
              <w:right w:w="100" w:type="dxa"/>
            </w:tcMar>
          </w:tcPr>
          <w:p w14:paraId="093B313C">
            <w:pPr>
              <w:jc w:val="center"/>
            </w:pPr>
            <w:r>
              <w:rPr>
                <w:rFonts w:ascii="Arial" w:hAnsi="Arial" w:eastAsia="Arial" w:cs="Arial"/>
                <w:b w:val="0"/>
                <w:bCs w:val="0"/>
                <w:color w:val="1A1A2E"/>
                <w:sz w:val="19"/>
                <w:szCs w:val="19"/>
              </w:rPr>
              <w:t>bn-en</w:t>
            </w:r>
          </w:p>
        </w:tc>
        <w:tc>
          <w:tcPr>
            <w:tcW w:w="600" w:type="pct"/>
            <w:shd w:val="solid" w:color="F0F4FF" w:fill="F0F4FF"/>
            <w:tcMar>
              <w:top w:w="80" w:type="dxa"/>
              <w:left w:w="100" w:type="dxa"/>
              <w:bottom w:w="80" w:type="dxa"/>
              <w:right w:w="100" w:type="dxa"/>
            </w:tcMar>
          </w:tcPr>
          <w:p w14:paraId="6C9A3D32">
            <w:pPr>
              <w:jc w:val="center"/>
            </w:pPr>
            <w:r>
              <w:rPr>
                <w:rFonts w:ascii="Arial" w:hAnsi="Arial" w:eastAsia="Arial" w:cs="Arial"/>
                <w:b w:val="0"/>
                <w:bCs w:val="0"/>
                <w:color w:val="1A1A2E"/>
                <w:sz w:val="19"/>
                <w:szCs w:val="19"/>
              </w:rPr>
              <w:t>9,061</w:t>
            </w:r>
          </w:p>
        </w:tc>
        <w:tc>
          <w:tcPr>
            <w:tcW w:w="600" w:type="pct"/>
            <w:shd w:val="solid" w:color="F0F4FF" w:fill="F0F4FF"/>
            <w:tcMar>
              <w:top w:w="80" w:type="dxa"/>
              <w:left w:w="100" w:type="dxa"/>
              <w:bottom w:w="80" w:type="dxa"/>
              <w:right w:w="100" w:type="dxa"/>
            </w:tcMar>
          </w:tcPr>
          <w:p w14:paraId="4CD0B471">
            <w:pPr>
              <w:jc w:val="center"/>
            </w:pPr>
            <w:r>
              <w:rPr>
                <w:rFonts w:ascii="Arial" w:hAnsi="Arial" w:eastAsia="Arial" w:cs="Arial"/>
                <w:b w:val="0"/>
                <w:bCs w:val="0"/>
                <w:color w:val="1A1A2E"/>
                <w:sz w:val="19"/>
                <w:szCs w:val="19"/>
              </w:rPr>
              <w:t>0.0011</w:t>
            </w:r>
          </w:p>
        </w:tc>
        <w:tc>
          <w:tcPr>
            <w:tcW w:w="600" w:type="pct"/>
            <w:shd w:val="solid" w:color="F0F4FF" w:fill="F0F4FF"/>
            <w:tcMar>
              <w:top w:w="80" w:type="dxa"/>
              <w:left w:w="100" w:type="dxa"/>
              <w:bottom w:w="80" w:type="dxa"/>
              <w:right w:w="100" w:type="dxa"/>
            </w:tcMar>
          </w:tcPr>
          <w:p w14:paraId="0DC28CC1">
            <w:pPr>
              <w:jc w:val="center"/>
            </w:pPr>
            <w:r>
              <w:rPr>
                <w:rFonts w:ascii="Arial" w:hAnsi="Arial" w:eastAsia="Arial" w:cs="Arial"/>
                <w:b w:val="0"/>
                <w:bCs w:val="0"/>
                <w:color w:val="1A1A2E"/>
                <w:sz w:val="19"/>
                <w:szCs w:val="19"/>
              </w:rPr>
              <w:t>0.0004</w:t>
            </w:r>
          </w:p>
        </w:tc>
        <w:tc>
          <w:tcPr>
            <w:tcW w:w="600" w:type="pct"/>
            <w:shd w:val="solid" w:color="F0F4FF" w:fill="F0F4FF"/>
            <w:tcMar>
              <w:top w:w="80" w:type="dxa"/>
              <w:left w:w="100" w:type="dxa"/>
              <w:bottom w:w="80" w:type="dxa"/>
              <w:right w:w="100" w:type="dxa"/>
            </w:tcMar>
          </w:tcPr>
          <w:p w14:paraId="1D7825C6">
            <w:pPr>
              <w:jc w:val="center"/>
            </w:pPr>
            <w:r>
              <w:rPr>
                <w:rFonts w:ascii="Arial" w:hAnsi="Arial" w:eastAsia="Arial" w:cs="Arial"/>
                <w:b w:val="0"/>
                <w:bCs w:val="0"/>
                <w:color w:val="1A1A2E"/>
                <w:sz w:val="19"/>
                <w:szCs w:val="19"/>
              </w:rPr>
              <w:t>0.0019</w:t>
            </w:r>
          </w:p>
        </w:tc>
        <w:tc>
          <w:tcPr>
            <w:tcW w:w="600" w:type="pct"/>
            <w:shd w:val="solid" w:color="F0F4FF" w:fill="F0F4FF"/>
            <w:tcMar>
              <w:top w:w="80" w:type="dxa"/>
              <w:left w:w="100" w:type="dxa"/>
              <w:bottom w:w="80" w:type="dxa"/>
              <w:right w:w="100" w:type="dxa"/>
            </w:tcMar>
          </w:tcPr>
          <w:p w14:paraId="78B4230E">
            <w:pPr>
              <w:jc w:val="center"/>
            </w:pPr>
            <w:r>
              <w:rPr>
                <w:rFonts w:ascii="Arial" w:hAnsi="Arial" w:eastAsia="Arial" w:cs="Arial"/>
                <w:b w:val="0"/>
                <w:bCs w:val="0"/>
                <w:color w:val="1A1A2E"/>
                <w:sz w:val="19"/>
                <w:szCs w:val="19"/>
              </w:rPr>
              <w:t>0.0028</w:t>
            </w:r>
          </w:p>
        </w:tc>
        <w:tc>
          <w:tcPr>
            <w:tcW w:w="700" w:type="pct"/>
            <w:shd w:val="solid" w:color="F0F4FF" w:fill="F0F4FF"/>
            <w:tcMar>
              <w:top w:w="80" w:type="dxa"/>
              <w:left w:w="100" w:type="dxa"/>
              <w:bottom w:w="80" w:type="dxa"/>
              <w:right w:w="100" w:type="dxa"/>
            </w:tcMar>
          </w:tcPr>
          <w:p w14:paraId="4A6A27D4">
            <w:pPr>
              <w:jc w:val="center"/>
            </w:pPr>
          </w:p>
        </w:tc>
      </w:tr>
      <w:tr w14:paraId="619B5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pct"/>
            <w:shd w:val="solid" w:color="FFFFFF" w:fill="FFFFFF"/>
            <w:tcMar>
              <w:top w:w="80" w:type="dxa"/>
              <w:left w:w="100" w:type="dxa"/>
              <w:bottom w:w="80" w:type="dxa"/>
              <w:right w:w="100" w:type="dxa"/>
            </w:tcMar>
          </w:tcPr>
          <w:p w14:paraId="6FDAEB3D">
            <w:pPr>
              <w:jc w:val="center"/>
            </w:pPr>
            <w:r>
              <w:rPr>
                <w:rFonts w:ascii="Arial" w:hAnsi="Arial" w:eastAsia="Arial" w:cs="Arial"/>
                <w:b w:val="0"/>
                <w:bCs w:val="0"/>
                <w:color w:val="1A1A2E"/>
                <w:sz w:val="19"/>
                <w:szCs w:val="19"/>
              </w:rPr>
              <w:t>LaBSE</w:t>
            </w:r>
          </w:p>
        </w:tc>
        <w:tc>
          <w:tcPr>
            <w:tcW w:w="650" w:type="pct"/>
            <w:shd w:val="solid" w:color="FFFFFF" w:fill="FFFFFF"/>
            <w:tcMar>
              <w:top w:w="80" w:type="dxa"/>
              <w:left w:w="100" w:type="dxa"/>
              <w:bottom w:w="80" w:type="dxa"/>
              <w:right w:w="100" w:type="dxa"/>
            </w:tcMar>
          </w:tcPr>
          <w:p w14:paraId="0CAAF350">
            <w:pPr>
              <w:jc w:val="center"/>
            </w:pPr>
            <w:r>
              <w:rPr>
                <w:rFonts w:ascii="Arial" w:hAnsi="Arial" w:eastAsia="Arial" w:cs="Arial"/>
                <w:b w:val="0"/>
                <w:bCs w:val="0"/>
                <w:color w:val="1A1A2E"/>
                <w:sz w:val="19"/>
                <w:szCs w:val="19"/>
              </w:rPr>
              <w:t>bn-en</w:t>
            </w:r>
          </w:p>
        </w:tc>
        <w:tc>
          <w:tcPr>
            <w:tcW w:w="600" w:type="pct"/>
            <w:shd w:val="solid" w:color="FFFFFF" w:fill="FFFFFF"/>
            <w:tcMar>
              <w:top w:w="80" w:type="dxa"/>
              <w:left w:w="100" w:type="dxa"/>
              <w:bottom w:w="80" w:type="dxa"/>
              <w:right w:w="100" w:type="dxa"/>
            </w:tcMar>
          </w:tcPr>
          <w:p w14:paraId="021DFA5D">
            <w:pPr>
              <w:jc w:val="center"/>
            </w:pPr>
            <w:r>
              <w:rPr>
                <w:rFonts w:ascii="Arial" w:hAnsi="Arial" w:eastAsia="Arial" w:cs="Arial"/>
                <w:b w:val="0"/>
                <w:bCs w:val="0"/>
                <w:color w:val="1A1A2E"/>
                <w:sz w:val="19"/>
                <w:szCs w:val="19"/>
              </w:rPr>
              <w:t>9,061</w:t>
            </w:r>
          </w:p>
        </w:tc>
        <w:tc>
          <w:tcPr>
            <w:tcW w:w="600" w:type="pct"/>
            <w:shd w:val="solid" w:color="FFFFFF" w:fill="FFFFFF"/>
            <w:tcMar>
              <w:top w:w="80" w:type="dxa"/>
              <w:left w:w="100" w:type="dxa"/>
              <w:bottom w:w="80" w:type="dxa"/>
              <w:right w:w="100" w:type="dxa"/>
            </w:tcMar>
          </w:tcPr>
          <w:p w14:paraId="731A6CF1">
            <w:pPr>
              <w:jc w:val="center"/>
            </w:pPr>
            <w:r>
              <w:rPr>
                <w:rFonts w:ascii="Arial" w:hAnsi="Arial" w:eastAsia="Arial" w:cs="Arial"/>
                <w:b w:val="0"/>
                <w:bCs w:val="0"/>
                <w:color w:val="1A1A2E"/>
                <w:sz w:val="19"/>
                <w:szCs w:val="19"/>
              </w:rPr>
              <w:t>0.0084</w:t>
            </w:r>
          </w:p>
        </w:tc>
        <w:tc>
          <w:tcPr>
            <w:tcW w:w="600" w:type="pct"/>
            <w:shd w:val="solid" w:color="FFFFFF" w:fill="FFFFFF"/>
            <w:tcMar>
              <w:top w:w="80" w:type="dxa"/>
              <w:left w:w="100" w:type="dxa"/>
              <w:bottom w:w="80" w:type="dxa"/>
              <w:right w:w="100" w:type="dxa"/>
            </w:tcMar>
          </w:tcPr>
          <w:p w14:paraId="28FF6F01">
            <w:pPr>
              <w:jc w:val="center"/>
            </w:pPr>
            <w:r>
              <w:rPr>
                <w:rFonts w:ascii="Arial" w:hAnsi="Arial" w:eastAsia="Arial" w:cs="Arial"/>
                <w:b w:val="0"/>
                <w:bCs w:val="0"/>
                <w:color w:val="1A1A2E"/>
                <w:sz w:val="19"/>
                <w:szCs w:val="19"/>
              </w:rPr>
              <w:t>0.0055</w:t>
            </w:r>
          </w:p>
        </w:tc>
        <w:tc>
          <w:tcPr>
            <w:tcW w:w="600" w:type="pct"/>
            <w:shd w:val="solid" w:color="FFFFFF" w:fill="FFFFFF"/>
            <w:tcMar>
              <w:top w:w="80" w:type="dxa"/>
              <w:left w:w="100" w:type="dxa"/>
              <w:bottom w:w="80" w:type="dxa"/>
              <w:right w:w="100" w:type="dxa"/>
            </w:tcMar>
          </w:tcPr>
          <w:p w14:paraId="3D54F7CE">
            <w:pPr>
              <w:jc w:val="center"/>
            </w:pPr>
            <w:r>
              <w:rPr>
                <w:rFonts w:ascii="Arial" w:hAnsi="Arial" w:eastAsia="Arial" w:cs="Arial"/>
                <w:b w:val="0"/>
                <w:bCs w:val="0"/>
                <w:color w:val="1A1A2E"/>
                <w:sz w:val="19"/>
                <w:szCs w:val="19"/>
              </w:rPr>
              <w:t>0.0119</w:t>
            </w:r>
          </w:p>
        </w:tc>
        <w:tc>
          <w:tcPr>
            <w:tcW w:w="600" w:type="pct"/>
            <w:shd w:val="solid" w:color="FFFFFF" w:fill="FFFFFF"/>
            <w:tcMar>
              <w:top w:w="80" w:type="dxa"/>
              <w:left w:w="100" w:type="dxa"/>
              <w:bottom w:w="80" w:type="dxa"/>
              <w:right w:w="100" w:type="dxa"/>
            </w:tcMar>
          </w:tcPr>
          <w:p w14:paraId="7553B091">
            <w:pPr>
              <w:jc w:val="center"/>
            </w:pPr>
            <w:r>
              <w:rPr>
                <w:rFonts w:ascii="Arial" w:hAnsi="Arial" w:eastAsia="Arial" w:cs="Arial"/>
                <w:b w:val="0"/>
                <w:bCs w:val="0"/>
                <w:color w:val="1A1A2E"/>
                <w:sz w:val="19"/>
                <w:szCs w:val="19"/>
              </w:rPr>
              <w:t>0.0148</w:t>
            </w:r>
          </w:p>
        </w:tc>
        <w:tc>
          <w:tcPr>
            <w:tcW w:w="700" w:type="pct"/>
            <w:shd w:val="solid" w:color="FFFFFF" w:fill="FFFFFF"/>
            <w:tcMar>
              <w:top w:w="80" w:type="dxa"/>
              <w:left w:w="100" w:type="dxa"/>
              <w:bottom w:w="80" w:type="dxa"/>
              <w:right w:w="100" w:type="dxa"/>
            </w:tcMar>
          </w:tcPr>
          <w:p w14:paraId="3CD9C7D8">
            <w:pPr>
              <w:jc w:val="center"/>
            </w:pPr>
            <w:r>
              <w:rPr>
                <w:rFonts w:ascii="Arial" w:hAnsi="Arial" w:eastAsia="Arial" w:cs="Arial"/>
                <w:b/>
                <w:bCs/>
                <w:color w:val="C0392B"/>
                <w:sz w:val="19"/>
                <w:szCs w:val="19"/>
              </w:rPr>
              <w:t>✓ LaBSE wins</w:t>
            </w:r>
          </w:p>
        </w:tc>
      </w:tr>
      <w:tr w14:paraId="04BD4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pct"/>
            <w:shd w:val="solid" w:color="F0F4FF" w:fill="F0F4FF"/>
            <w:tcMar>
              <w:top w:w="80" w:type="dxa"/>
              <w:left w:w="100" w:type="dxa"/>
              <w:bottom w:w="80" w:type="dxa"/>
              <w:right w:w="100" w:type="dxa"/>
            </w:tcMar>
          </w:tcPr>
          <w:p w14:paraId="25B234DA">
            <w:pPr>
              <w:jc w:val="center"/>
            </w:pPr>
            <w:r>
              <w:rPr>
                <w:rFonts w:ascii="Arial" w:hAnsi="Arial" w:eastAsia="Arial" w:cs="Arial"/>
                <w:b w:val="0"/>
                <w:bCs w:val="0"/>
                <w:color w:val="1A1A2E"/>
                <w:sz w:val="19"/>
                <w:szCs w:val="19"/>
              </w:rPr>
              <w:t>mSBERT</w:t>
            </w:r>
          </w:p>
        </w:tc>
        <w:tc>
          <w:tcPr>
            <w:tcW w:w="650" w:type="pct"/>
            <w:shd w:val="solid" w:color="F0F4FF" w:fill="F0F4FF"/>
            <w:tcMar>
              <w:top w:w="80" w:type="dxa"/>
              <w:left w:w="100" w:type="dxa"/>
              <w:bottom w:w="80" w:type="dxa"/>
              <w:right w:w="100" w:type="dxa"/>
            </w:tcMar>
          </w:tcPr>
          <w:p w14:paraId="20D21F71">
            <w:pPr>
              <w:jc w:val="center"/>
            </w:pPr>
            <w:r>
              <w:rPr>
                <w:rFonts w:ascii="Arial" w:hAnsi="Arial" w:eastAsia="Arial" w:cs="Arial"/>
                <w:b w:val="0"/>
                <w:bCs w:val="0"/>
                <w:color w:val="1A1A2E"/>
                <w:sz w:val="19"/>
                <w:szCs w:val="19"/>
              </w:rPr>
              <w:t>bn-hi</w:t>
            </w:r>
          </w:p>
        </w:tc>
        <w:tc>
          <w:tcPr>
            <w:tcW w:w="600" w:type="pct"/>
            <w:shd w:val="solid" w:color="F0F4FF" w:fill="F0F4FF"/>
            <w:tcMar>
              <w:top w:w="80" w:type="dxa"/>
              <w:left w:w="100" w:type="dxa"/>
              <w:bottom w:w="80" w:type="dxa"/>
              <w:right w:w="100" w:type="dxa"/>
            </w:tcMar>
          </w:tcPr>
          <w:p w14:paraId="3CFF496C">
            <w:pPr>
              <w:jc w:val="center"/>
            </w:pPr>
            <w:r>
              <w:rPr>
                <w:rFonts w:ascii="Arial" w:hAnsi="Arial" w:eastAsia="Arial" w:cs="Arial"/>
                <w:b w:val="0"/>
                <w:bCs w:val="0"/>
                <w:color w:val="1A1A2E"/>
                <w:sz w:val="19"/>
                <w:szCs w:val="19"/>
              </w:rPr>
              <w:t>4,096</w:t>
            </w:r>
          </w:p>
        </w:tc>
        <w:tc>
          <w:tcPr>
            <w:tcW w:w="600" w:type="pct"/>
            <w:shd w:val="solid" w:color="F0F4FF" w:fill="F0F4FF"/>
            <w:tcMar>
              <w:top w:w="80" w:type="dxa"/>
              <w:left w:w="100" w:type="dxa"/>
              <w:bottom w:w="80" w:type="dxa"/>
              <w:right w:w="100" w:type="dxa"/>
            </w:tcMar>
          </w:tcPr>
          <w:p w14:paraId="4C35ADA3">
            <w:pPr>
              <w:jc w:val="center"/>
            </w:pPr>
            <w:r>
              <w:rPr>
                <w:rFonts w:ascii="Arial" w:hAnsi="Arial" w:eastAsia="Arial" w:cs="Arial"/>
                <w:b w:val="0"/>
                <w:bCs w:val="0"/>
                <w:color w:val="1A1A2E"/>
                <w:sz w:val="19"/>
                <w:szCs w:val="19"/>
              </w:rPr>
              <w:t>0.0256</w:t>
            </w:r>
          </w:p>
        </w:tc>
        <w:tc>
          <w:tcPr>
            <w:tcW w:w="600" w:type="pct"/>
            <w:shd w:val="solid" w:color="F0F4FF" w:fill="F0F4FF"/>
            <w:tcMar>
              <w:top w:w="80" w:type="dxa"/>
              <w:left w:w="100" w:type="dxa"/>
              <w:bottom w:w="80" w:type="dxa"/>
              <w:right w:w="100" w:type="dxa"/>
            </w:tcMar>
          </w:tcPr>
          <w:p w14:paraId="6E5EE315">
            <w:pPr>
              <w:jc w:val="center"/>
            </w:pPr>
            <w:r>
              <w:rPr>
                <w:rFonts w:ascii="Arial" w:hAnsi="Arial" w:eastAsia="Arial" w:cs="Arial"/>
                <w:b w:val="0"/>
                <w:bCs w:val="0"/>
                <w:color w:val="1A1A2E"/>
                <w:sz w:val="19"/>
                <w:szCs w:val="19"/>
              </w:rPr>
              <w:t>0.0112</w:t>
            </w:r>
          </w:p>
        </w:tc>
        <w:tc>
          <w:tcPr>
            <w:tcW w:w="600" w:type="pct"/>
            <w:shd w:val="solid" w:color="F0F4FF" w:fill="F0F4FF"/>
            <w:tcMar>
              <w:top w:w="80" w:type="dxa"/>
              <w:left w:w="100" w:type="dxa"/>
              <w:bottom w:w="80" w:type="dxa"/>
              <w:right w:w="100" w:type="dxa"/>
            </w:tcMar>
          </w:tcPr>
          <w:p w14:paraId="471A58BC">
            <w:pPr>
              <w:jc w:val="center"/>
            </w:pPr>
            <w:r>
              <w:rPr>
                <w:rFonts w:ascii="Arial" w:hAnsi="Arial" w:eastAsia="Arial" w:cs="Arial"/>
                <w:b w:val="0"/>
                <w:bCs w:val="0"/>
                <w:color w:val="1A1A2E"/>
                <w:sz w:val="19"/>
                <w:szCs w:val="19"/>
              </w:rPr>
              <w:t>0.0449</w:t>
            </w:r>
          </w:p>
        </w:tc>
        <w:tc>
          <w:tcPr>
            <w:tcW w:w="600" w:type="pct"/>
            <w:shd w:val="solid" w:color="F0F4FF" w:fill="F0F4FF"/>
            <w:tcMar>
              <w:top w:w="80" w:type="dxa"/>
              <w:left w:w="100" w:type="dxa"/>
              <w:bottom w:w="80" w:type="dxa"/>
              <w:right w:w="100" w:type="dxa"/>
            </w:tcMar>
          </w:tcPr>
          <w:p w14:paraId="78136DB6">
            <w:pPr>
              <w:jc w:val="center"/>
            </w:pPr>
            <w:r>
              <w:rPr>
                <w:rFonts w:ascii="Arial" w:hAnsi="Arial" w:eastAsia="Arial" w:cs="Arial"/>
                <w:b w:val="0"/>
                <w:bCs w:val="0"/>
                <w:color w:val="1A1A2E"/>
                <w:sz w:val="19"/>
                <w:szCs w:val="19"/>
              </w:rPr>
              <w:t>0.0713</w:t>
            </w:r>
          </w:p>
        </w:tc>
        <w:tc>
          <w:tcPr>
            <w:tcW w:w="700" w:type="pct"/>
            <w:shd w:val="solid" w:color="F0F4FF" w:fill="F0F4FF"/>
            <w:tcMar>
              <w:top w:w="80" w:type="dxa"/>
              <w:left w:w="100" w:type="dxa"/>
              <w:bottom w:w="80" w:type="dxa"/>
              <w:right w:w="100" w:type="dxa"/>
            </w:tcMar>
          </w:tcPr>
          <w:p w14:paraId="352DEB1F">
            <w:pPr>
              <w:jc w:val="center"/>
            </w:pPr>
          </w:p>
        </w:tc>
      </w:tr>
      <w:tr w14:paraId="0BB97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pct"/>
            <w:shd w:val="solid" w:color="FFFFFF" w:fill="FFFFFF"/>
            <w:tcMar>
              <w:top w:w="80" w:type="dxa"/>
              <w:left w:w="100" w:type="dxa"/>
              <w:bottom w:w="80" w:type="dxa"/>
              <w:right w:w="100" w:type="dxa"/>
            </w:tcMar>
          </w:tcPr>
          <w:p w14:paraId="46C4572B">
            <w:pPr>
              <w:jc w:val="center"/>
            </w:pPr>
            <w:r>
              <w:rPr>
                <w:rFonts w:ascii="Arial" w:hAnsi="Arial" w:eastAsia="Arial" w:cs="Arial"/>
                <w:b w:val="0"/>
                <w:bCs w:val="0"/>
                <w:color w:val="1A1A2E"/>
                <w:sz w:val="19"/>
                <w:szCs w:val="19"/>
              </w:rPr>
              <w:t>LaBSE</w:t>
            </w:r>
          </w:p>
        </w:tc>
        <w:tc>
          <w:tcPr>
            <w:tcW w:w="650" w:type="pct"/>
            <w:shd w:val="solid" w:color="FFFFFF" w:fill="FFFFFF"/>
            <w:tcMar>
              <w:top w:w="80" w:type="dxa"/>
              <w:left w:w="100" w:type="dxa"/>
              <w:bottom w:w="80" w:type="dxa"/>
              <w:right w:w="100" w:type="dxa"/>
            </w:tcMar>
          </w:tcPr>
          <w:p w14:paraId="2936CF2A">
            <w:pPr>
              <w:jc w:val="center"/>
            </w:pPr>
            <w:r>
              <w:rPr>
                <w:rFonts w:ascii="Arial" w:hAnsi="Arial" w:eastAsia="Arial" w:cs="Arial"/>
                <w:b w:val="0"/>
                <w:bCs w:val="0"/>
                <w:color w:val="1A1A2E"/>
                <w:sz w:val="19"/>
                <w:szCs w:val="19"/>
              </w:rPr>
              <w:t>bn-hi</w:t>
            </w:r>
          </w:p>
        </w:tc>
        <w:tc>
          <w:tcPr>
            <w:tcW w:w="600" w:type="pct"/>
            <w:shd w:val="solid" w:color="FFFFFF" w:fill="FFFFFF"/>
            <w:tcMar>
              <w:top w:w="80" w:type="dxa"/>
              <w:left w:w="100" w:type="dxa"/>
              <w:bottom w:w="80" w:type="dxa"/>
              <w:right w:w="100" w:type="dxa"/>
            </w:tcMar>
          </w:tcPr>
          <w:p w14:paraId="368EBF5C">
            <w:pPr>
              <w:jc w:val="center"/>
            </w:pPr>
            <w:r>
              <w:rPr>
                <w:rFonts w:ascii="Arial" w:hAnsi="Arial" w:eastAsia="Arial" w:cs="Arial"/>
                <w:b w:val="0"/>
                <w:bCs w:val="0"/>
                <w:color w:val="1A1A2E"/>
                <w:sz w:val="19"/>
                <w:szCs w:val="19"/>
              </w:rPr>
              <w:t>4,096</w:t>
            </w:r>
          </w:p>
        </w:tc>
        <w:tc>
          <w:tcPr>
            <w:tcW w:w="600" w:type="pct"/>
            <w:shd w:val="solid" w:color="FFFFFF" w:fill="FFFFFF"/>
            <w:tcMar>
              <w:top w:w="80" w:type="dxa"/>
              <w:left w:w="100" w:type="dxa"/>
              <w:bottom w:w="80" w:type="dxa"/>
              <w:right w:w="100" w:type="dxa"/>
            </w:tcMar>
          </w:tcPr>
          <w:p w14:paraId="125D8680">
            <w:pPr>
              <w:jc w:val="center"/>
            </w:pPr>
            <w:r>
              <w:rPr>
                <w:rFonts w:ascii="Arial" w:hAnsi="Arial" w:eastAsia="Arial" w:cs="Arial"/>
                <w:b w:val="0"/>
                <w:bCs w:val="0"/>
                <w:color w:val="1A1A2E"/>
                <w:sz w:val="19"/>
                <w:szCs w:val="19"/>
              </w:rPr>
              <w:t>0.0289</w:t>
            </w:r>
          </w:p>
        </w:tc>
        <w:tc>
          <w:tcPr>
            <w:tcW w:w="600" w:type="pct"/>
            <w:shd w:val="solid" w:color="FFFFFF" w:fill="FFFFFF"/>
            <w:tcMar>
              <w:top w:w="80" w:type="dxa"/>
              <w:left w:w="100" w:type="dxa"/>
              <w:bottom w:w="80" w:type="dxa"/>
              <w:right w:w="100" w:type="dxa"/>
            </w:tcMar>
          </w:tcPr>
          <w:p w14:paraId="5C12F387">
            <w:pPr>
              <w:jc w:val="center"/>
            </w:pPr>
            <w:r>
              <w:rPr>
                <w:rFonts w:ascii="Arial" w:hAnsi="Arial" w:eastAsia="Arial" w:cs="Arial"/>
                <w:b w:val="0"/>
                <w:bCs w:val="0"/>
                <w:color w:val="1A1A2E"/>
                <w:sz w:val="19"/>
                <w:szCs w:val="19"/>
              </w:rPr>
              <w:t>0.0129</w:t>
            </w:r>
          </w:p>
        </w:tc>
        <w:tc>
          <w:tcPr>
            <w:tcW w:w="600" w:type="pct"/>
            <w:shd w:val="solid" w:color="FFFFFF" w:fill="FFFFFF"/>
            <w:tcMar>
              <w:top w:w="80" w:type="dxa"/>
              <w:left w:w="100" w:type="dxa"/>
              <w:bottom w:w="80" w:type="dxa"/>
              <w:right w:w="100" w:type="dxa"/>
            </w:tcMar>
          </w:tcPr>
          <w:p w14:paraId="7FAC9BDA">
            <w:pPr>
              <w:jc w:val="center"/>
            </w:pPr>
            <w:r>
              <w:rPr>
                <w:rFonts w:ascii="Arial" w:hAnsi="Arial" w:eastAsia="Arial" w:cs="Arial"/>
                <w:b w:val="0"/>
                <w:bCs w:val="0"/>
                <w:color w:val="1A1A2E"/>
                <w:sz w:val="19"/>
                <w:szCs w:val="19"/>
              </w:rPr>
              <w:t>0.0471</w:t>
            </w:r>
          </w:p>
        </w:tc>
        <w:tc>
          <w:tcPr>
            <w:tcW w:w="600" w:type="pct"/>
            <w:shd w:val="solid" w:color="FFFFFF" w:fill="FFFFFF"/>
            <w:tcMar>
              <w:top w:w="80" w:type="dxa"/>
              <w:left w:w="100" w:type="dxa"/>
              <w:bottom w:w="80" w:type="dxa"/>
              <w:right w:w="100" w:type="dxa"/>
            </w:tcMar>
          </w:tcPr>
          <w:p w14:paraId="5B3DC3F5">
            <w:pPr>
              <w:jc w:val="center"/>
            </w:pPr>
            <w:r>
              <w:rPr>
                <w:rFonts w:ascii="Arial" w:hAnsi="Arial" w:eastAsia="Arial" w:cs="Arial"/>
                <w:b w:val="0"/>
                <w:bCs w:val="0"/>
                <w:color w:val="1A1A2E"/>
                <w:sz w:val="19"/>
                <w:szCs w:val="19"/>
              </w:rPr>
              <w:t>0.0859</w:t>
            </w:r>
          </w:p>
        </w:tc>
        <w:tc>
          <w:tcPr>
            <w:tcW w:w="700" w:type="pct"/>
            <w:shd w:val="solid" w:color="FFFFFF" w:fill="FFFFFF"/>
            <w:tcMar>
              <w:top w:w="80" w:type="dxa"/>
              <w:left w:w="100" w:type="dxa"/>
              <w:bottom w:w="80" w:type="dxa"/>
              <w:right w:w="100" w:type="dxa"/>
            </w:tcMar>
          </w:tcPr>
          <w:p w14:paraId="56F2C573">
            <w:pPr>
              <w:jc w:val="center"/>
            </w:pPr>
            <w:r>
              <w:rPr>
                <w:rFonts w:ascii="Arial" w:hAnsi="Arial" w:eastAsia="Arial" w:cs="Arial"/>
                <w:b/>
                <w:bCs/>
                <w:color w:val="C0392B"/>
                <w:sz w:val="19"/>
                <w:szCs w:val="19"/>
              </w:rPr>
              <w:t>✓ LaBSE wins</w:t>
            </w:r>
          </w:p>
        </w:tc>
      </w:tr>
    </w:tbl>
    <w:p w14:paraId="532E5B31">
      <w:pPr>
        <w:spacing w:before="60" w:after="60"/>
      </w:pPr>
    </w:p>
    <w:p w14:paraId="14BB50A3">
      <w:pPr>
        <w:spacing w:before="80" w:after="120"/>
        <w:jc w:val="both"/>
      </w:pPr>
      <w:r>
        <w:rPr>
          <w:rFonts w:ascii="Arial" w:hAnsi="Arial" w:eastAsia="Arial" w:cs="Arial"/>
          <w:sz w:val="22"/>
          <w:szCs w:val="22"/>
        </w:rPr>
        <w:t>LaBSE wins on every retrieval metric for both language pairs. For bn-en, LaBSE's MRR of 0.0084 is 7.6 times higher than mSBERT's 0.0011. For bn-hi, the gap is smaller — LaBSE MRR 0.0289 vs mSBERT 0.0256 — but LaBSE still leads consistently.</w:t>
      </w:r>
    </w:p>
    <w:p w14:paraId="60D6026F">
      <w:pPr>
        <w:spacing w:before="60" w:after="60"/>
      </w:pPr>
    </w:p>
    <w:p w14:paraId="523F9223">
      <w:pPr>
        <w:spacing w:before="80" w:after="120"/>
        <w:jc w:val="both"/>
      </w:pPr>
      <w:r>
        <w:rPr>
          <w:rFonts w:ascii="Arial" w:hAnsi="Arial" w:eastAsia="Arial" w:cs="Arial"/>
          <w:sz w:val="22"/>
          <w:szCs w:val="22"/>
        </w:rPr>
        <w:t>The bn-hi retrieval scores are substantially higher than bn-en for both models. mSBERT achieves Hit@10 of 0.0713 for bn-hi versus only 0.0028 for bn-en. This means that for Bengali–Hindi retrieval, mSBERT finds the correct Hindi idiom in the top 10 results for about 7.1% of queries — compared to only 0.28% for Bengali–English. This aligns with the higher similarity scores observed for bn-hi and again reflects the linguistic proximity of Bengali and Hindi.</w:t>
      </w:r>
    </w:p>
    <w:p w14:paraId="207A0AC2">
      <w:pPr>
        <w:spacing w:before="60" w:after="60"/>
      </w:pPr>
    </w:p>
    <w:p w14:paraId="49BB423F">
      <w:pPr>
        <w:spacing w:before="80" w:after="80"/>
        <w:ind w:left="360"/>
      </w:pPr>
      <w:r>
        <w:rPr>
          <w:rFonts w:ascii="Arial" w:hAnsi="Arial" w:eastAsia="Arial" w:cs="Arial"/>
          <w:i/>
          <w:iCs/>
          <w:color w:val="555555"/>
          <w:sz w:val="20"/>
          <w:szCs w:val="20"/>
        </w:rPr>
        <w:t>ℹ  All retrieval scores are low in absolute terms. This is expected: the Bengali pool contains 8,800+ idioms while the target pools are smaller, and most Bengali idioms have only one correct match. A random baseline would score near zero. Any score above zero demonstrates the model has learned meaningful cross-lingual alignment.</w:t>
      </w:r>
    </w:p>
    <w:p w14:paraId="5F63A2A0">
      <w:pPr>
        <w:spacing w:before="60" w:after="60"/>
      </w:pPr>
    </w:p>
    <w:p w14:paraId="088E2300">
      <w:pPr>
        <w:pStyle w:val="3"/>
        <w:spacing w:before="300" w:after="160"/>
      </w:pPr>
      <w:r>
        <w:rPr>
          <w:rFonts w:ascii="Arial" w:hAnsi="Arial" w:eastAsia="Arial" w:cs="Arial"/>
          <w:b/>
          <w:bCs/>
          <w:color w:val="2A5298"/>
          <w:sz w:val="26"/>
          <w:szCs w:val="26"/>
        </w:rPr>
        <w:t>5.3 Task 3 — Clustering</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56"/>
        <w:gridCol w:w="1259"/>
        <w:gridCol w:w="1162"/>
        <w:gridCol w:w="1259"/>
        <w:gridCol w:w="1162"/>
        <w:gridCol w:w="1647"/>
        <w:gridCol w:w="1841"/>
      </w:tblGrid>
      <w:tr w14:paraId="321CE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pct"/>
            <w:shd w:val="solid" w:color="2A5298" w:fill="2A5298"/>
            <w:tcMar>
              <w:top w:w="100" w:type="dxa"/>
              <w:left w:w="120" w:type="dxa"/>
              <w:bottom w:w="100" w:type="dxa"/>
              <w:right w:w="120" w:type="dxa"/>
            </w:tcMar>
          </w:tcPr>
          <w:p w14:paraId="1B18EE9E">
            <w:pPr>
              <w:jc w:val="center"/>
            </w:pPr>
            <w:r>
              <w:rPr>
                <w:rFonts w:ascii="Arial" w:hAnsi="Arial" w:eastAsia="Arial" w:cs="Arial"/>
                <w:b/>
                <w:bCs/>
                <w:color w:val="FFFFFF"/>
                <w:sz w:val="19"/>
                <w:szCs w:val="19"/>
              </w:rPr>
              <w:t>Model</w:t>
            </w:r>
          </w:p>
        </w:tc>
        <w:tc>
          <w:tcPr>
            <w:tcW w:w="650" w:type="pct"/>
            <w:shd w:val="solid" w:color="2A5298" w:fill="2A5298"/>
            <w:tcMar>
              <w:top w:w="100" w:type="dxa"/>
              <w:left w:w="120" w:type="dxa"/>
              <w:bottom w:w="100" w:type="dxa"/>
              <w:right w:w="120" w:type="dxa"/>
            </w:tcMar>
          </w:tcPr>
          <w:p w14:paraId="0EDB7E68">
            <w:pPr>
              <w:jc w:val="center"/>
            </w:pPr>
            <w:r>
              <w:rPr>
                <w:rFonts w:ascii="Arial" w:hAnsi="Arial" w:eastAsia="Arial" w:cs="Arial"/>
                <w:b/>
                <w:bCs/>
                <w:color w:val="FFFFFF"/>
                <w:sz w:val="19"/>
                <w:szCs w:val="19"/>
              </w:rPr>
              <w:t>Total Idioms</w:t>
            </w:r>
          </w:p>
        </w:tc>
        <w:tc>
          <w:tcPr>
            <w:tcW w:w="600" w:type="pct"/>
            <w:shd w:val="solid" w:color="2A5298" w:fill="2A5298"/>
            <w:tcMar>
              <w:top w:w="100" w:type="dxa"/>
              <w:left w:w="120" w:type="dxa"/>
              <w:bottom w:w="100" w:type="dxa"/>
              <w:right w:w="120" w:type="dxa"/>
            </w:tcMar>
          </w:tcPr>
          <w:p w14:paraId="13B0545A">
            <w:pPr>
              <w:jc w:val="center"/>
            </w:pPr>
            <w:r>
              <w:rPr>
                <w:rFonts w:ascii="Arial" w:hAnsi="Arial" w:eastAsia="Arial" w:cs="Arial"/>
                <w:b/>
                <w:bCs/>
                <w:color w:val="FFFFFF"/>
                <w:sz w:val="19"/>
                <w:szCs w:val="19"/>
              </w:rPr>
              <w:t>Clusters (k)</w:t>
            </w:r>
          </w:p>
        </w:tc>
        <w:tc>
          <w:tcPr>
            <w:tcW w:w="650" w:type="pct"/>
            <w:shd w:val="solid" w:color="2A5298" w:fill="2A5298"/>
            <w:tcMar>
              <w:top w:w="100" w:type="dxa"/>
              <w:left w:w="120" w:type="dxa"/>
              <w:bottom w:w="100" w:type="dxa"/>
              <w:right w:w="120" w:type="dxa"/>
            </w:tcMar>
          </w:tcPr>
          <w:p w14:paraId="54910002">
            <w:pPr>
              <w:jc w:val="center"/>
            </w:pPr>
            <w:r>
              <w:rPr>
                <w:rFonts w:ascii="Arial" w:hAnsi="Arial" w:eastAsia="Arial" w:cs="Arial"/>
                <w:b/>
                <w:bCs/>
                <w:color w:val="FFFFFF"/>
                <w:sz w:val="19"/>
                <w:szCs w:val="19"/>
              </w:rPr>
              <w:t>Silhouette</w:t>
            </w:r>
          </w:p>
        </w:tc>
        <w:tc>
          <w:tcPr>
            <w:tcW w:w="600" w:type="pct"/>
            <w:shd w:val="solid" w:color="2A5298" w:fill="2A5298"/>
            <w:tcMar>
              <w:top w:w="100" w:type="dxa"/>
              <w:left w:w="120" w:type="dxa"/>
              <w:bottom w:w="100" w:type="dxa"/>
              <w:right w:w="120" w:type="dxa"/>
            </w:tcMar>
          </w:tcPr>
          <w:p w14:paraId="39821C35">
            <w:pPr>
              <w:jc w:val="center"/>
            </w:pPr>
            <w:r>
              <w:rPr>
                <w:rFonts w:ascii="Arial" w:hAnsi="Arial" w:eastAsia="Arial" w:cs="Arial"/>
                <w:b/>
                <w:bCs/>
                <w:color w:val="FFFFFF"/>
                <w:sz w:val="19"/>
                <w:szCs w:val="19"/>
              </w:rPr>
              <w:t>Purity</w:t>
            </w:r>
          </w:p>
        </w:tc>
        <w:tc>
          <w:tcPr>
            <w:tcW w:w="850" w:type="pct"/>
            <w:shd w:val="solid" w:color="2A5298" w:fill="2A5298"/>
            <w:tcMar>
              <w:top w:w="100" w:type="dxa"/>
              <w:left w:w="120" w:type="dxa"/>
              <w:bottom w:w="100" w:type="dxa"/>
              <w:right w:w="120" w:type="dxa"/>
            </w:tcMar>
          </w:tcPr>
          <w:p w14:paraId="15B8F6AA">
            <w:pPr>
              <w:jc w:val="center"/>
            </w:pPr>
            <w:r>
              <w:rPr>
                <w:rFonts w:ascii="Arial" w:hAnsi="Arial" w:eastAsia="Arial" w:cs="Arial"/>
                <w:b/>
                <w:bCs/>
                <w:color w:val="FFFFFF"/>
                <w:sz w:val="19"/>
                <w:szCs w:val="19"/>
              </w:rPr>
              <w:t>Triplet Cohesion</w:t>
            </w:r>
          </w:p>
        </w:tc>
        <w:tc>
          <w:tcPr>
            <w:tcW w:w="950" w:type="pct"/>
            <w:shd w:val="solid" w:color="2A5298" w:fill="2A5298"/>
            <w:tcMar>
              <w:top w:w="100" w:type="dxa"/>
              <w:left w:w="120" w:type="dxa"/>
              <w:bottom w:w="100" w:type="dxa"/>
              <w:right w:w="120" w:type="dxa"/>
            </w:tcMar>
          </w:tcPr>
          <w:p w14:paraId="744A8026">
            <w:pPr>
              <w:jc w:val="center"/>
            </w:pPr>
            <w:r>
              <w:rPr>
                <w:rFonts w:ascii="Arial" w:hAnsi="Arial" w:eastAsia="Arial" w:cs="Arial"/>
                <w:b/>
                <w:bCs/>
                <w:color w:val="FFFFFF"/>
                <w:sz w:val="19"/>
                <w:szCs w:val="19"/>
              </w:rPr>
              <w:t>Best On</w:t>
            </w:r>
          </w:p>
        </w:tc>
      </w:tr>
      <w:tr w14:paraId="48A51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pct"/>
            <w:shd w:val="solid" w:color="F0F4FF" w:fill="F0F4FF"/>
            <w:tcMar>
              <w:top w:w="80" w:type="dxa"/>
              <w:left w:w="100" w:type="dxa"/>
              <w:bottom w:w="80" w:type="dxa"/>
              <w:right w:w="100" w:type="dxa"/>
            </w:tcMar>
          </w:tcPr>
          <w:p w14:paraId="0D1A06C6">
            <w:pPr>
              <w:jc w:val="center"/>
            </w:pPr>
            <w:r>
              <w:rPr>
                <w:rFonts w:ascii="Arial" w:hAnsi="Arial" w:eastAsia="Arial" w:cs="Arial"/>
                <w:b w:val="0"/>
                <w:bCs w:val="0"/>
                <w:color w:val="1A1A2E"/>
                <w:sz w:val="19"/>
                <w:szCs w:val="19"/>
              </w:rPr>
              <w:t>mSBERT</w:t>
            </w:r>
          </w:p>
        </w:tc>
        <w:tc>
          <w:tcPr>
            <w:tcW w:w="650" w:type="pct"/>
            <w:shd w:val="solid" w:color="F0F4FF" w:fill="F0F4FF"/>
            <w:tcMar>
              <w:top w:w="80" w:type="dxa"/>
              <w:left w:w="100" w:type="dxa"/>
              <w:bottom w:w="80" w:type="dxa"/>
              <w:right w:w="100" w:type="dxa"/>
            </w:tcMar>
          </w:tcPr>
          <w:p w14:paraId="078D0675">
            <w:pPr>
              <w:jc w:val="center"/>
            </w:pPr>
            <w:r>
              <w:rPr>
                <w:rFonts w:ascii="Arial" w:hAnsi="Arial" w:eastAsia="Arial" w:cs="Arial"/>
                <w:b w:val="0"/>
                <w:bCs w:val="0"/>
                <w:color w:val="1A1A2E"/>
                <w:sz w:val="19"/>
                <w:szCs w:val="19"/>
              </w:rPr>
              <w:t>23,216</w:t>
            </w:r>
          </w:p>
        </w:tc>
        <w:tc>
          <w:tcPr>
            <w:tcW w:w="600" w:type="pct"/>
            <w:shd w:val="solid" w:color="F0F4FF" w:fill="F0F4FF"/>
            <w:tcMar>
              <w:top w:w="80" w:type="dxa"/>
              <w:left w:w="100" w:type="dxa"/>
              <w:bottom w:w="80" w:type="dxa"/>
              <w:right w:w="100" w:type="dxa"/>
            </w:tcMar>
          </w:tcPr>
          <w:p w14:paraId="33793EA5">
            <w:pPr>
              <w:jc w:val="center"/>
            </w:pPr>
            <w:r>
              <w:rPr>
                <w:rFonts w:ascii="Arial" w:hAnsi="Arial" w:eastAsia="Arial" w:cs="Arial"/>
                <w:b w:val="0"/>
                <w:bCs w:val="0"/>
                <w:color w:val="1A1A2E"/>
                <w:sz w:val="19"/>
                <w:szCs w:val="19"/>
              </w:rPr>
              <w:t>50</w:t>
            </w:r>
          </w:p>
        </w:tc>
        <w:tc>
          <w:tcPr>
            <w:tcW w:w="650" w:type="pct"/>
            <w:shd w:val="solid" w:color="F0F4FF" w:fill="F0F4FF"/>
            <w:tcMar>
              <w:top w:w="80" w:type="dxa"/>
              <w:left w:w="100" w:type="dxa"/>
              <w:bottom w:w="80" w:type="dxa"/>
              <w:right w:w="100" w:type="dxa"/>
            </w:tcMar>
          </w:tcPr>
          <w:p w14:paraId="5BA5871B">
            <w:pPr>
              <w:jc w:val="center"/>
            </w:pPr>
            <w:r>
              <w:rPr>
                <w:rFonts w:ascii="Arial" w:hAnsi="Arial" w:eastAsia="Arial" w:cs="Arial"/>
                <w:b w:val="0"/>
                <w:bCs w:val="0"/>
                <w:color w:val="1A1A2E"/>
                <w:sz w:val="19"/>
                <w:szCs w:val="19"/>
              </w:rPr>
              <w:t>-0.0225</w:t>
            </w:r>
          </w:p>
        </w:tc>
        <w:tc>
          <w:tcPr>
            <w:tcW w:w="600" w:type="pct"/>
            <w:shd w:val="solid" w:color="F0F4FF" w:fill="F0F4FF"/>
            <w:tcMar>
              <w:top w:w="80" w:type="dxa"/>
              <w:left w:w="100" w:type="dxa"/>
              <w:bottom w:w="80" w:type="dxa"/>
              <w:right w:w="100" w:type="dxa"/>
            </w:tcMar>
          </w:tcPr>
          <w:p w14:paraId="4DA63294">
            <w:pPr>
              <w:jc w:val="center"/>
            </w:pPr>
            <w:r>
              <w:rPr>
                <w:rFonts w:ascii="Arial" w:hAnsi="Arial" w:eastAsia="Arial" w:cs="Arial"/>
                <w:b w:val="0"/>
                <w:bCs w:val="0"/>
                <w:color w:val="1A1A2E"/>
                <w:sz w:val="19"/>
                <w:szCs w:val="19"/>
              </w:rPr>
              <w:t>0.9164</w:t>
            </w:r>
          </w:p>
        </w:tc>
        <w:tc>
          <w:tcPr>
            <w:tcW w:w="850" w:type="pct"/>
            <w:shd w:val="solid" w:color="F0F4FF" w:fill="F0F4FF"/>
            <w:tcMar>
              <w:top w:w="80" w:type="dxa"/>
              <w:left w:w="100" w:type="dxa"/>
              <w:bottom w:w="80" w:type="dxa"/>
              <w:right w:w="100" w:type="dxa"/>
            </w:tcMar>
          </w:tcPr>
          <w:p w14:paraId="137D4E80">
            <w:pPr>
              <w:jc w:val="center"/>
            </w:pPr>
            <w:r>
              <w:rPr>
                <w:rFonts w:ascii="Arial" w:hAnsi="Arial" w:eastAsia="Arial" w:cs="Arial"/>
                <w:b w:val="0"/>
                <w:bCs w:val="0"/>
                <w:color w:val="1A1A2E"/>
                <w:sz w:val="19"/>
                <w:szCs w:val="19"/>
              </w:rPr>
              <w:t>0.0115</w:t>
            </w:r>
          </w:p>
        </w:tc>
        <w:tc>
          <w:tcPr>
            <w:tcW w:w="950" w:type="pct"/>
            <w:shd w:val="solid" w:color="F0F4FF" w:fill="F0F4FF"/>
            <w:tcMar>
              <w:top w:w="80" w:type="dxa"/>
              <w:left w:w="100" w:type="dxa"/>
              <w:bottom w:w="80" w:type="dxa"/>
              <w:right w:w="100" w:type="dxa"/>
            </w:tcMar>
          </w:tcPr>
          <w:p w14:paraId="00B835CF">
            <w:pPr>
              <w:jc w:val="center"/>
            </w:pPr>
            <w:r>
              <w:rPr>
                <w:rFonts w:ascii="Arial" w:hAnsi="Arial" w:eastAsia="Arial" w:cs="Arial"/>
                <w:b w:val="0"/>
                <w:bCs w:val="0"/>
                <w:color w:val="1A1A2E"/>
                <w:sz w:val="19"/>
                <w:szCs w:val="19"/>
              </w:rPr>
              <w:t>Purity, Triplet Cohesion</w:t>
            </w:r>
          </w:p>
        </w:tc>
      </w:tr>
      <w:tr w14:paraId="00F6D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pct"/>
            <w:shd w:val="solid" w:color="FFFFFF" w:fill="FFFFFF"/>
            <w:tcMar>
              <w:top w:w="80" w:type="dxa"/>
              <w:left w:w="100" w:type="dxa"/>
              <w:bottom w:w="80" w:type="dxa"/>
              <w:right w:w="100" w:type="dxa"/>
            </w:tcMar>
          </w:tcPr>
          <w:p w14:paraId="4E18D8AB">
            <w:pPr>
              <w:jc w:val="center"/>
            </w:pPr>
            <w:r>
              <w:rPr>
                <w:rFonts w:ascii="Arial" w:hAnsi="Arial" w:eastAsia="Arial" w:cs="Arial"/>
                <w:b w:val="0"/>
                <w:bCs w:val="0"/>
                <w:color w:val="1A1A2E"/>
                <w:sz w:val="19"/>
                <w:szCs w:val="19"/>
              </w:rPr>
              <w:t>LaBSE</w:t>
            </w:r>
          </w:p>
        </w:tc>
        <w:tc>
          <w:tcPr>
            <w:tcW w:w="650" w:type="pct"/>
            <w:shd w:val="solid" w:color="FFFFFF" w:fill="FFFFFF"/>
            <w:tcMar>
              <w:top w:w="80" w:type="dxa"/>
              <w:left w:w="100" w:type="dxa"/>
              <w:bottom w:w="80" w:type="dxa"/>
              <w:right w:w="100" w:type="dxa"/>
            </w:tcMar>
          </w:tcPr>
          <w:p w14:paraId="165AFD57">
            <w:pPr>
              <w:jc w:val="center"/>
            </w:pPr>
            <w:r>
              <w:rPr>
                <w:rFonts w:ascii="Arial" w:hAnsi="Arial" w:eastAsia="Arial" w:cs="Arial"/>
                <w:b w:val="0"/>
                <w:bCs w:val="0"/>
                <w:color w:val="1A1A2E"/>
                <w:sz w:val="19"/>
                <w:szCs w:val="19"/>
              </w:rPr>
              <w:t>23,216</w:t>
            </w:r>
          </w:p>
        </w:tc>
        <w:tc>
          <w:tcPr>
            <w:tcW w:w="600" w:type="pct"/>
            <w:shd w:val="solid" w:color="FFFFFF" w:fill="FFFFFF"/>
            <w:tcMar>
              <w:top w:w="80" w:type="dxa"/>
              <w:left w:w="100" w:type="dxa"/>
              <w:bottom w:w="80" w:type="dxa"/>
              <w:right w:w="100" w:type="dxa"/>
            </w:tcMar>
          </w:tcPr>
          <w:p w14:paraId="36A567AA">
            <w:pPr>
              <w:jc w:val="center"/>
            </w:pPr>
            <w:r>
              <w:rPr>
                <w:rFonts w:ascii="Arial" w:hAnsi="Arial" w:eastAsia="Arial" w:cs="Arial"/>
                <w:b w:val="0"/>
                <w:bCs w:val="0"/>
                <w:color w:val="1A1A2E"/>
                <w:sz w:val="19"/>
                <w:szCs w:val="19"/>
              </w:rPr>
              <w:t>50</w:t>
            </w:r>
          </w:p>
        </w:tc>
        <w:tc>
          <w:tcPr>
            <w:tcW w:w="650" w:type="pct"/>
            <w:shd w:val="solid" w:color="FFFFFF" w:fill="FFFFFF"/>
            <w:tcMar>
              <w:top w:w="80" w:type="dxa"/>
              <w:left w:w="100" w:type="dxa"/>
              <w:bottom w:w="80" w:type="dxa"/>
              <w:right w:w="100" w:type="dxa"/>
            </w:tcMar>
          </w:tcPr>
          <w:p w14:paraId="14E2B2AD">
            <w:pPr>
              <w:jc w:val="center"/>
            </w:pPr>
            <w:r>
              <w:rPr>
                <w:rFonts w:ascii="Arial" w:hAnsi="Arial" w:eastAsia="Arial" w:cs="Arial"/>
                <w:b w:val="0"/>
                <w:bCs w:val="0"/>
                <w:color w:val="1A1A2E"/>
                <w:sz w:val="19"/>
                <w:szCs w:val="19"/>
              </w:rPr>
              <w:t xml:space="preserve"> 0.0330</w:t>
            </w:r>
          </w:p>
        </w:tc>
        <w:tc>
          <w:tcPr>
            <w:tcW w:w="600" w:type="pct"/>
            <w:shd w:val="solid" w:color="FFFFFF" w:fill="FFFFFF"/>
            <w:tcMar>
              <w:top w:w="80" w:type="dxa"/>
              <w:left w:w="100" w:type="dxa"/>
              <w:bottom w:w="80" w:type="dxa"/>
              <w:right w:w="100" w:type="dxa"/>
            </w:tcMar>
          </w:tcPr>
          <w:p w14:paraId="20DD3179">
            <w:pPr>
              <w:jc w:val="center"/>
            </w:pPr>
            <w:r>
              <w:rPr>
                <w:rFonts w:ascii="Arial" w:hAnsi="Arial" w:eastAsia="Arial" w:cs="Arial"/>
                <w:b w:val="0"/>
                <w:bCs w:val="0"/>
                <w:color w:val="1A1A2E"/>
                <w:sz w:val="19"/>
                <w:szCs w:val="19"/>
              </w:rPr>
              <w:t>0.7511</w:t>
            </w:r>
          </w:p>
        </w:tc>
        <w:tc>
          <w:tcPr>
            <w:tcW w:w="850" w:type="pct"/>
            <w:shd w:val="solid" w:color="FFFFFF" w:fill="FFFFFF"/>
            <w:tcMar>
              <w:top w:w="80" w:type="dxa"/>
              <w:left w:w="100" w:type="dxa"/>
              <w:bottom w:w="80" w:type="dxa"/>
              <w:right w:w="100" w:type="dxa"/>
            </w:tcMar>
          </w:tcPr>
          <w:p w14:paraId="51C54FC8">
            <w:pPr>
              <w:jc w:val="center"/>
            </w:pPr>
            <w:r>
              <w:rPr>
                <w:rFonts w:ascii="Arial" w:hAnsi="Arial" w:eastAsia="Arial" w:cs="Arial"/>
                <w:b w:val="0"/>
                <w:bCs w:val="0"/>
                <w:color w:val="1A1A2E"/>
                <w:sz w:val="19"/>
                <w:szCs w:val="19"/>
              </w:rPr>
              <w:t>0.0000</w:t>
            </w:r>
          </w:p>
        </w:tc>
        <w:tc>
          <w:tcPr>
            <w:tcW w:w="950" w:type="pct"/>
            <w:shd w:val="solid" w:color="FFFFFF" w:fill="FFFFFF"/>
            <w:tcMar>
              <w:top w:w="80" w:type="dxa"/>
              <w:left w:w="100" w:type="dxa"/>
              <w:bottom w:w="80" w:type="dxa"/>
              <w:right w:w="100" w:type="dxa"/>
            </w:tcMar>
          </w:tcPr>
          <w:p w14:paraId="2FB9DC81">
            <w:pPr>
              <w:jc w:val="center"/>
            </w:pPr>
            <w:r>
              <w:rPr>
                <w:rFonts w:ascii="Arial" w:hAnsi="Arial" w:eastAsia="Arial" w:cs="Arial"/>
                <w:b w:val="0"/>
                <w:bCs w:val="0"/>
                <w:color w:val="1A1A2E"/>
                <w:sz w:val="19"/>
                <w:szCs w:val="19"/>
              </w:rPr>
              <w:t>Silhouette</w:t>
            </w:r>
          </w:p>
        </w:tc>
      </w:tr>
    </w:tbl>
    <w:p w14:paraId="3B54B7F1">
      <w:pPr>
        <w:spacing w:before="60" w:after="60"/>
      </w:pPr>
    </w:p>
    <w:p w14:paraId="2D722F34">
      <w:pPr>
        <w:spacing w:before="80" w:after="120"/>
        <w:jc w:val="both"/>
      </w:pPr>
      <w:r>
        <w:rPr>
          <w:rFonts w:ascii="Arial" w:hAnsi="Arial" w:eastAsia="Arial" w:cs="Arial"/>
          <w:sz w:val="22"/>
          <w:szCs w:val="22"/>
        </w:rPr>
        <w:t>LaBSE produces better-separated clusters (silhouette = +0.033 vs -0.023 for mSBERT). A negative silhouette score for mSBERT means its clusters actually overlap — points are on average closer to a neighbouring cluster than to their own. LaBSE's positive silhouette indicates at least some meaningful structure in the embedding space.</w:t>
      </w:r>
    </w:p>
    <w:p w14:paraId="08B5ABE9">
      <w:pPr>
        <w:spacing w:before="60" w:after="60"/>
      </w:pPr>
    </w:p>
    <w:p w14:paraId="3423A190">
      <w:pPr>
        <w:spacing w:before="80" w:after="120"/>
        <w:jc w:val="both"/>
      </w:pPr>
      <w:r>
        <w:rPr>
          <w:rFonts w:ascii="Arial" w:hAnsi="Arial" w:eastAsia="Arial" w:cs="Arial"/>
          <w:sz w:val="22"/>
          <w:szCs w:val="22"/>
        </w:rPr>
        <w:t>mSBERT achieves higher cluster purity (0.916 vs 0.751). This means nearly every mSBERT cluster is dominated by a single language. However, this is primarily a consequence of the dataset imbalance — Bengali has 8,800 idioms while Hindi has only ~200 and English ~500 — so Bengali naturally dominates most clusters. Paradoxically, LaBSE's lower purity (0.751) is actually a better sign: it means LaBSE mixes languages within clusters more readily, which is closer to the desired cross-lingual behaviour.</w:t>
      </w:r>
    </w:p>
    <w:p w14:paraId="3B2273A4">
      <w:pPr>
        <w:spacing w:before="60" w:after="60"/>
      </w:pPr>
    </w:p>
    <w:p w14:paraId="6F517C76">
      <w:pPr>
        <w:spacing w:before="80" w:after="120"/>
        <w:jc w:val="both"/>
      </w:pPr>
      <w:r>
        <w:rPr>
          <w:rFonts w:ascii="Arial" w:hAnsi="Arial" w:eastAsia="Arial" w:cs="Arial"/>
          <w:sz w:val="22"/>
          <w:szCs w:val="22"/>
        </w:rPr>
        <w:t>Most importantly, mSBERT achieves a small but non-zero triplet cohesion of 0.0115 — meaning that in about 1.15% of triplets, all three languages (Bengali, English, Hindi) landed in the same cluster. LaBSE scores exactly 0.0000. While both scores are low, mSBERT's non-zero cohesion is a meaningful result: it demonstrates that the model occasionally achieves true three-way cross-lingual alignment in its embedding space, without any supervision or translation.</w:t>
      </w:r>
    </w:p>
    <w:p w14:paraId="04ACC812">
      <w:pPr>
        <w:spacing w:before="60" w:after="60"/>
      </w:pPr>
    </w:p>
    <w:p w14:paraId="122C711B">
      <w:pPr>
        <w:pStyle w:val="2"/>
        <w:pBdr>
          <w:bottom w:val="single" w:color="1A7A6E" w:sz="6" w:space="4"/>
        </w:pBdr>
        <w:spacing w:before="400" w:after="200"/>
      </w:pPr>
      <w:r>
        <w:rPr>
          <w:rFonts w:ascii="Arial" w:hAnsi="Arial" w:eastAsia="Arial" w:cs="Arial"/>
          <w:b/>
          <w:bCs/>
          <w:color w:val="1A1A2E"/>
          <w:sz w:val="34"/>
          <w:szCs w:val="34"/>
        </w:rPr>
        <w:t>6. Explanation of Each Plot</w:t>
      </w:r>
    </w:p>
    <w:p w14:paraId="1AD4522E">
      <w:pPr>
        <w:pStyle w:val="3"/>
        <w:spacing w:before="300" w:after="160"/>
      </w:pPr>
      <w:r>
        <w:rPr>
          <w:rFonts w:ascii="Arial" w:hAnsi="Arial" w:eastAsia="Arial" w:cs="Arial"/>
          <w:b/>
          <w:bCs/>
          <w:color w:val="2A5298"/>
          <w:sz w:val="26"/>
          <w:szCs w:val="26"/>
        </w:rPr>
        <w:t>Plot 1 — Similarity Score Distributions (score_distributions.png)</w:t>
      </w:r>
    </w:p>
    <w:p w14:paraId="689C2850">
      <w:pPr>
        <w:spacing w:before="80" w:after="120"/>
        <w:jc w:val="both"/>
      </w:pPr>
      <w:r>
        <w:rPr>
          <w:rFonts w:ascii="Arial" w:hAnsi="Arial" w:eastAsia="Arial" w:cs="Arial"/>
          <w:sz w:val="22"/>
          <w:szCs w:val="22"/>
        </w:rPr>
        <w:t>A 2×2 grid of histograms showing the distribution of cosine similarity scores. The x-axis is the cosine similarity score (0 to 1) and the y-axis is how many idiom pairs received that score. The dashed vertical line shows the mean. Rows are language pairs (bn-en, bn-hi) and columns are models (mSBERT, LaBSE).</w:t>
      </w:r>
    </w:p>
    <w:p w14:paraId="429F615B">
      <w:pPr>
        <w:spacing w:before="60" w:after="60"/>
      </w:pPr>
    </w:p>
    <w:p w14:paraId="4CEC450F">
      <w:pPr>
        <w:pStyle w:val="16"/>
        <w:numPr>
          <w:ilvl w:val="0"/>
          <w:numId w:val="1"/>
        </w:numPr>
        <w:spacing w:before="60" w:after="60"/>
      </w:pPr>
      <w:r>
        <w:rPr>
          <w:rFonts w:ascii="Arial" w:hAnsi="Arial" w:eastAsia="Arial" w:cs="Arial"/>
          <w:b/>
          <w:bCs/>
          <w:sz w:val="22"/>
          <w:szCs w:val="22"/>
        </w:rPr>
        <w:t xml:space="preserve">mSBERT bn-en (top-left): </w:t>
      </w:r>
      <w:r>
        <w:rPr>
          <w:rFonts w:ascii="Arial" w:hAnsi="Arial" w:eastAsia="Arial" w:cs="Arial"/>
          <w:sz w:val="22"/>
          <w:szCs w:val="22"/>
        </w:rPr>
        <w:t>Bell-shaped histogram centred at 0.438. The compact shape means mSBERT assigns consistently moderate-to-high similarity to Bengali–English pairs.</w:t>
      </w:r>
    </w:p>
    <w:p w14:paraId="70ADF624">
      <w:pPr>
        <w:pStyle w:val="16"/>
        <w:numPr>
          <w:ilvl w:val="0"/>
          <w:numId w:val="1"/>
        </w:numPr>
        <w:spacing w:before="60" w:after="60"/>
      </w:pPr>
      <w:r>
        <w:rPr>
          <w:rFonts w:ascii="Arial" w:hAnsi="Arial" w:eastAsia="Arial" w:cs="Arial"/>
          <w:b/>
          <w:bCs/>
          <w:sz w:val="22"/>
          <w:szCs w:val="22"/>
        </w:rPr>
        <w:t xml:space="preserve">LaBSE bn-en (top-right): </w:t>
      </w:r>
      <w:r>
        <w:rPr>
          <w:rFonts w:ascii="Arial" w:hAnsi="Arial" w:eastAsia="Arial" w:cs="Arial"/>
          <w:sz w:val="22"/>
          <w:szCs w:val="22"/>
        </w:rPr>
        <w:t>Wider, flatter distribution spread from 0.0 to 0.9. LaBSE is more variable — very confident on some pairs, very uncertain on others.</w:t>
      </w:r>
    </w:p>
    <w:p w14:paraId="47B77103">
      <w:pPr>
        <w:pStyle w:val="16"/>
        <w:numPr>
          <w:ilvl w:val="0"/>
          <w:numId w:val="1"/>
        </w:numPr>
        <w:spacing w:before="60" w:after="60"/>
      </w:pPr>
      <w:r>
        <w:rPr>
          <w:rFonts w:ascii="Arial" w:hAnsi="Arial" w:eastAsia="Arial" w:cs="Arial"/>
          <w:b/>
          <w:bCs/>
          <w:sz w:val="22"/>
          <w:szCs w:val="22"/>
        </w:rPr>
        <w:t xml:space="preserve">mSBERT bn-hi (bottom-left): </w:t>
      </w:r>
      <w:r>
        <w:rPr>
          <w:rFonts w:ascii="Arial" w:hAnsi="Arial" w:eastAsia="Arial" w:cs="Arial"/>
          <w:sz w:val="22"/>
          <w:szCs w:val="22"/>
        </w:rPr>
        <w:t>Tighter bell centred at 0.547. The highest mean of all four panels. mSBERT is most confident and consistent on Bengali–Hindi pairs.</w:t>
      </w:r>
    </w:p>
    <w:p w14:paraId="2A783F98">
      <w:pPr>
        <w:pStyle w:val="16"/>
        <w:numPr>
          <w:ilvl w:val="0"/>
          <w:numId w:val="1"/>
        </w:numPr>
        <w:spacing w:before="60" w:after="60"/>
      </w:pPr>
      <w:r>
        <w:rPr>
          <w:rFonts w:ascii="Arial" w:hAnsi="Arial" w:eastAsia="Arial" w:cs="Arial"/>
          <w:b/>
          <w:bCs/>
          <w:sz w:val="22"/>
          <w:szCs w:val="22"/>
        </w:rPr>
        <w:t xml:space="preserve">LaBSE bn-hi (bottom-right): </w:t>
      </w:r>
      <w:r>
        <w:rPr>
          <w:rFonts w:ascii="Arial" w:hAnsi="Arial" w:eastAsia="Arial" w:cs="Arial"/>
          <w:sz w:val="22"/>
          <w:szCs w:val="22"/>
        </w:rPr>
        <w:t>Mean of only 0.310 — the lowest of all four panels. LaBSE struggles most with Bengali–Hindi alignment. The distribution is left-skewed indicating many low-scoring pairs.</w:t>
      </w:r>
    </w:p>
    <w:p w14:paraId="114DA997">
      <w:pPr>
        <w:pStyle w:val="16"/>
        <w:numPr>
          <w:ilvl w:val="0"/>
          <w:numId w:val="1"/>
        </w:numPr>
        <w:spacing w:before="60" w:after="60"/>
      </w:pPr>
      <w:r>
        <w:rPr>
          <w:rFonts w:ascii="Arial" w:hAnsi="Arial" w:eastAsia="Arial" w:cs="Arial"/>
          <w:b/>
          <w:bCs/>
          <w:sz w:val="22"/>
          <w:szCs w:val="22"/>
        </w:rPr>
        <w:t xml:space="preserve">Key takeaway: </w:t>
      </w:r>
      <w:r>
        <w:rPr>
          <w:rFonts w:ascii="Arial" w:hAnsi="Arial" w:eastAsia="Arial" w:cs="Arial"/>
          <w:sz w:val="22"/>
          <w:szCs w:val="22"/>
        </w:rPr>
        <w:t>mSBERT produces higher and more consistent similarity scores for both language pairs. LaBSE has higher variance suggesting it is less calibrated for idiom-level cross-lingual matching.</w:t>
      </w:r>
    </w:p>
    <w:p w14:paraId="034F9BED">
      <w:pPr>
        <w:spacing w:before="60" w:after="60"/>
      </w:pPr>
    </w:p>
    <w:p w14:paraId="50F5589C">
      <w:pPr>
        <w:pStyle w:val="3"/>
        <w:spacing w:before="300" w:after="160"/>
      </w:pPr>
      <w:r>
        <w:rPr>
          <w:rFonts w:ascii="Arial" w:hAnsi="Arial" w:eastAsia="Arial" w:cs="Arial"/>
          <w:b/>
          <w:bCs/>
          <w:color w:val="2A5298"/>
          <w:sz w:val="26"/>
          <w:szCs w:val="26"/>
        </w:rPr>
        <w:t>Plot 2 — Radar Chart (evaluation_radar.png)</w:t>
      </w:r>
    </w:p>
    <w:p w14:paraId="2A9ECB57">
      <w:pPr>
        <w:spacing w:before="80" w:after="120"/>
        <w:jc w:val="both"/>
      </w:pPr>
      <w:r>
        <w:rPr>
          <w:rFonts w:ascii="Arial" w:hAnsi="Arial" w:eastAsia="Arial" w:cs="Arial"/>
          <w:sz w:val="22"/>
          <w:szCs w:val="22"/>
        </w:rPr>
        <w:t>The radar chart (spider chart) shows all metrics simultaneously on one circular plot. Each spoke represents one metric. Distance from the centre = performance on that metric. Green shape = mSBERT, red shape = LaBSE. The larger the area, the better the overall performance.</w:t>
      </w:r>
    </w:p>
    <w:p w14:paraId="2BB3D7AF">
      <w:pPr>
        <w:spacing w:before="60" w:after="60"/>
      </w:pPr>
    </w:p>
    <w:p w14:paraId="16DDE6C3">
      <w:pPr>
        <w:pStyle w:val="16"/>
        <w:numPr>
          <w:ilvl w:val="0"/>
          <w:numId w:val="1"/>
        </w:numPr>
        <w:spacing w:before="60" w:after="60"/>
      </w:pPr>
      <w:r>
        <w:rPr>
          <w:rFonts w:ascii="Arial" w:hAnsi="Arial" w:eastAsia="Arial" w:cs="Arial"/>
          <w:b/>
          <w:bCs/>
          <w:sz w:val="22"/>
          <w:szCs w:val="22"/>
        </w:rPr>
        <w:t xml:space="preserve">mean_cosine (right spoke): </w:t>
      </w:r>
      <w:r>
        <w:rPr>
          <w:rFonts w:ascii="Arial" w:hAnsi="Arial" w:eastAsia="Arial" w:cs="Arial"/>
          <w:sz w:val="22"/>
          <w:szCs w:val="22"/>
        </w:rPr>
        <w:t>mSBERT extends further right — wins on similarity scoring for both language pairs.</w:t>
      </w:r>
    </w:p>
    <w:p w14:paraId="320476CA">
      <w:pPr>
        <w:pStyle w:val="16"/>
        <w:numPr>
          <w:ilvl w:val="0"/>
          <w:numId w:val="1"/>
        </w:numPr>
        <w:spacing w:before="60" w:after="60"/>
      </w:pPr>
      <w:r>
        <w:rPr>
          <w:rFonts w:ascii="Arial" w:hAnsi="Arial" w:eastAsia="Arial" w:cs="Arial"/>
          <w:b/>
          <w:bCs/>
          <w:sz w:val="22"/>
          <w:szCs w:val="22"/>
        </w:rPr>
        <w:t xml:space="preserve">purity (bottom spoke): </w:t>
      </w:r>
      <w:r>
        <w:rPr>
          <w:rFonts w:ascii="Arial" w:hAnsi="Arial" w:eastAsia="Arial" w:cs="Arial"/>
          <w:sz w:val="22"/>
          <w:szCs w:val="22"/>
        </w:rPr>
        <w:t>mSBERT spike goes far beyond LaBSE — wins on cluster purity, though this is partly explained by Bengali dataset dominance.</w:t>
      </w:r>
    </w:p>
    <w:p w14:paraId="7884D97E">
      <w:pPr>
        <w:pStyle w:val="16"/>
        <w:numPr>
          <w:ilvl w:val="0"/>
          <w:numId w:val="1"/>
        </w:numPr>
        <w:spacing w:before="60" w:after="60"/>
      </w:pPr>
      <w:r>
        <w:rPr>
          <w:rFonts w:ascii="Arial" w:hAnsi="Arial" w:eastAsia="Arial" w:cs="Arial"/>
          <w:b/>
          <w:bCs/>
          <w:sz w:val="22"/>
          <w:szCs w:val="22"/>
        </w:rPr>
        <w:t xml:space="preserve">triplet_cohesion (lower-right spoke): </w:t>
      </w:r>
      <w:r>
        <w:rPr>
          <w:rFonts w:ascii="Arial" w:hAnsi="Arial" w:eastAsia="Arial" w:cs="Arial"/>
          <w:sz w:val="22"/>
          <w:szCs w:val="22"/>
        </w:rPr>
        <w:t>mSBERT has a small but visible extension; LaBSE is at zero.</w:t>
      </w:r>
    </w:p>
    <w:p w14:paraId="4E6ABE22">
      <w:pPr>
        <w:pStyle w:val="16"/>
        <w:numPr>
          <w:ilvl w:val="0"/>
          <w:numId w:val="1"/>
        </w:numPr>
        <w:spacing w:before="60" w:after="60"/>
      </w:pPr>
      <w:r>
        <w:rPr>
          <w:rFonts w:ascii="Arial" w:hAnsi="Arial" w:eastAsia="Arial" w:cs="Arial"/>
          <w:b/>
          <w:bCs/>
          <w:sz w:val="22"/>
          <w:szCs w:val="22"/>
        </w:rPr>
        <w:t xml:space="preserve">MRR, P@1, P@5, Hit@10 (left spokes): </w:t>
      </w:r>
      <w:r>
        <w:rPr>
          <w:rFonts w:ascii="Arial" w:hAnsi="Arial" w:eastAsia="Arial" w:cs="Arial"/>
          <w:sz w:val="22"/>
          <w:szCs w:val="22"/>
        </w:rPr>
        <w:t>Both models are very small here due to the difficulty of retrieval. LaBSE is slightly larger on retrieval metrics.</w:t>
      </w:r>
    </w:p>
    <w:p w14:paraId="52F11956">
      <w:pPr>
        <w:pStyle w:val="16"/>
        <w:numPr>
          <w:ilvl w:val="0"/>
          <w:numId w:val="1"/>
        </w:numPr>
        <w:spacing w:before="60" w:after="60"/>
      </w:pPr>
      <w:r>
        <w:rPr>
          <w:rFonts w:ascii="Arial" w:hAnsi="Arial" w:eastAsia="Arial" w:cs="Arial"/>
          <w:b/>
          <w:bCs/>
          <w:sz w:val="22"/>
          <w:szCs w:val="22"/>
        </w:rPr>
        <w:t xml:space="preserve">silhouette (bottom-left spoke): </w:t>
      </w:r>
      <w:r>
        <w:rPr>
          <w:rFonts w:ascii="Arial" w:hAnsi="Arial" w:eastAsia="Arial" w:cs="Arial"/>
          <w:sz w:val="22"/>
          <w:szCs w:val="22"/>
        </w:rPr>
        <w:t>LaBSE extends further — wins on cluster separation quality.</w:t>
      </w:r>
    </w:p>
    <w:p w14:paraId="730EAB69">
      <w:pPr>
        <w:pStyle w:val="16"/>
        <w:numPr>
          <w:ilvl w:val="0"/>
          <w:numId w:val="1"/>
        </w:numPr>
        <w:spacing w:before="60" w:after="60"/>
      </w:pPr>
      <w:r>
        <w:rPr>
          <w:rFonts w:ascii="Arial" w:hAnsi="Arial" w:eastAsia="Arial" w:cs="Arial"/>
          <w:b/>
          <w:bCs/>
          <w:sz w:val="22"/>
          <w:szCs w:val="22"/>
        </w:rPr>
        <w:t xml:space="preserve">Overall interpretation: </w:t>
      </w:r>
      <w:r>
        <w:rPr>
          <w:rFonts w:ascii="Arial" w:hAnsi="Arial" w:eastAsia="Arial" w:cs="Arial"/>
          <w:sz w:val="22"/>
          <w:szCs w:val="22"/>
        </w:rPr>
        <w:t>mSBERT has the larger total area due to purity and similarity dominance. LaBSE wins on retrieval and silhouette. The radar chart makes the trade-off between the two models visually clear.</w:t>
      </w:r>
    </w:p>
    <w:p w14:paraId="70684C24">
      <w:pPr>
        <w:spacing w:before="60" w:after="60"/>
      </w:pPr>
    </w:p>
    <w:p w14:paraId="6616F0CA">
      <w:pPr>
        <w:pStyle w:val="3"/>
        <w:spacing w:before="300" w:after="160"/>
      </w:pPr>
      <w:r>
        <w:rPr>
          <w:rFonts w:ascii="Arial" w:hAnsi="Arial" w:eastAsia="Arial" w:cs="Arial"/>
          <w:b/>
          <w:bCs/>
          <w:color w:val="2A5298"/>
          <w:sz w:val="26"/>
          <w:szCs w:val="26"/>
        </w:rPr>
        <w:t>Plot 3 — Final Comparison Bar Chart (final_comparison.png)</w:t>
      </w:r>
    </w:p>
    <w:p w14:paraId="7086DFBA">
      <w:pPr>
        <w:spacing w:before="80" w:after="120"/>
        <w:jc w:val="both"/>
      </w:pPr>
      <w:r>
        <w:rPr>
          <w:rFonts w:ascii="Arial" w:hAnsi="Arial" w:eastAsia="Arial" w:cs="Arial"/>
          <w:sz w:val="22"/>
          <w:szCs w:val="22"/>
        </w:rPr>
        <w:t>Three side-by-side bar charts comparing both models across all three task groups. Green bars = mSBERT, red bars = LaBSE.</w:t>
      </w:r>
    </w:p>
    <w:p w14:paraId="7E9E8D46">
      <w:pPr>
        <w:spacing w:before="60" w:after="60"/>
      </w:pPr>
    </w:p>
    <w:p w14:paraId="6D6308A1">
      <w:pPr>
        <w:pStyle w:val="16"/>
        <w:numPr>
          <w:ilvl w:val="0"/>
          <w:numId w:val="1"/>
        </w:numPr>
        <w:spacing w:before="60" w:after="60"/>
      </w:pPr>
      <w:r>
        <w:rPr>
          <w:rFonts w:ascii="Arial" w:hAnsi="Arial" w:eastAsia="Arial" w:cs="Arial"/>
          <w:b/>
          <w:bCs/>
          <w:sz w:val="22"/>
          <w:szCs w:val="22"/>
        </w:rPr>
        <w:t xml:space="preserve">Left chart (Similarity): </w:t>
      </w:r>
      <w:r>
        <w:rPr>
          <w:rFonts w:ascii="Arial" w:hAnsi="Arial" w:eastAsia="Arial" w:cs="Arial"/>
          <w:sz w:val="22"/>
          <w:szCs w:val="22"/>
        </w:rPr>
        <w:t>Two pairs of bars — one for bn-en and one for bn-hi. mSBERT is taller for both: 0.438 vs 0.388 (bn-en) and 0.547 vs 0.310 (bn-hi). The bn-hi gap is dramatically larger than the bn-en gap.</w:t>
      </w:r>
    </w:p>
    <w:p w14:paraId="55EF4911">
      <w:pPr>
        <w:pStyle w:val="16"/>
        <w:numPr>
          <w:ilvl w:val="0"/>
          <w:numId w:val="1"/>
        </w:numPr>
        <w:spacing w:before="60" w:after="60"/>
      </w:pPr>
      <w:r>
        <w:rPr>
          <w:rFonts w:ascii="Arial" w:hAnsi="Arial" w:eastAsia="Arial" w:cs="Arial"/>
          <w:b/>
          <w:bCs/>
          <w:sz w:val="22"/>
          <w:szCs w:val="22"/>
        </w:rPr>
        <w:t xml:space="preserve">Middle chart (Retrieval): </w:t>
      </w:r>
      <w:r>
        <w:rPr>
          <w:rFonts w:ascii="Arial" w:hAnsi="Arial" w:eastAsia="Arial" w:cs="Arial"/>
          <w:sz w:val="22"/>
          <w:szCs w:val="22"/>
        </w:rPr>
        <w:t>All bars are small (near zero) due to retrieval difficulty. LaBSE bars are consistently slightly taller across MRR, P@1, P@5, and Hit@10. The pattern confirms LaBSE's retrieval advantage.</w:t>
      </w:r>
    </w:p>
    <w:p w14:paraId="186C452B">
      <w:pPr>
        <w:pStyle w:val="16"/>
        <w:numPr>
          <w:ilvl w:val="0"/>
          <w:numId w:val="1"/>
        </w:numPr>
        <w:spacing w:before="60" w:after="60"/>
      </w:pPr>
      <w:r>
        <w:rPr>
          <w:rFonts w:ascii="Arial" w:hAnsi="Arial" w:eastAsia="Arial" w:cs="Arial"/>
          <w:b/>
          <w:bCs/>
          <w:sz w:val="22"/>
          <w:szCs w:val="22"/>
        </w:rPr>
        <w:t xml:space="preserve">Right chart (Clustering): </w:t>
      </w:r>
      <w:r>
        <w:rPr>
          <w:rFonts w:ascii="Arial" w:hAnsi="Arial" w:eastAsia="Arial" w:cs="Arial"/>
          <w:sz w:val="22"/>
          <w:szCs w:val="22"/>
        </w:rPr>
        <w:t>The silhouette bars show LaBSE (0.033) clearly above mSBERT (-0.022). The purity bar shows mSBERT (0.916) far above LaBSE (0.751). The triplet cohesion bars show mSBERT (0.011) narrowly above LaBSE (0.000).</w:t>
      </w:r>
    </w:p>
    <w:p w14:paraId="0109B127">
      <w:pPr>
        <w:spacing w:before="60" w:after="60"/>
      </w:pPr>
    </w:p>
    <w:p w14:paraId="64756A69">
      <w:pPr>
        <w:pStyle w:val="3"/>
        <w:spacing w:before="300" w:after="160"/>
      </w:pPr>
      <w:r>
        <w:rPr>
          <w:rFonts w:ascii="Arial" w:hAnsi="Arial" w:eastAsia="Arial" w:cs="Arial"/>
          <w:b/>
          <w:bCs/>
          <w:color w:val="2A5298"/>
          <w:sz w:val="26"/>
          <w:szCs w:val="26"/>
        </w:rPr>
        <w:t>Plot 4 — Clustering Visualisation — mSBERT (clustering_mSBERT.png)</w:t>
      </w:r>
    </w:p>
    <w:p w14:paraId="260DC6D9">
      <w:pPr>
        <w:spacing w:before="80" w:after="120"/>
        <w:jc w:val="both"/>
      </w:pPr>
      <w:r>
        <w:rPr>
          <w:rFonts w:ascii="Arial" w:hAnsi="Arial" w:eastAsia="Arial" w:cs="Arial"/>
          <w:sz w:val="22"/>
          <w:szCs w:val="22"/>
        </w:rPr>
        <w:t>Two scatter plots of all 23,216 idiom embeddings reduced to 2D using t-SNE or UMAP dimensionality reduction. Each dot is one idiom coloured by language (left) or by cluster (right).</w:t>
      </w:r>
    </w:p>
    <w:p w14:paraId="79DDA1E6">
      <w:pPr>
        <w:spacing w:before="60" w:after="60"/>
      </w:pPr>
    </w:p>
    <w:p w14:paraId="14DF4512">
      <w:pPr>
        <w:pStyle w:val="16"/>
        <w:numPr>
          <w:ilvl w:val="0"/>
          <w:numId w:val="1"/>
        </w:numPr>
        <w:spacing w:before="60" w:after="60"/>
      </w:pPr>
      <w:r>
        <w:rPr>
          <w:rFonts w:ascii="Arial" w:hAnsi="Arial" w:eastAsia="Arial" w:cs="Arial"/>
          <w:b/>
          <w:bCs/>
          <w:sz w:val="22"/>
          <w:szCs w:val="22"/>
        </w:rPr>
        <w:t xml:space="preserve">Left plot (language colours): </w:t>
      </w:r>
      <w:r>
        <w:rPr>
          <w:rFonts w:ascii="Arial" w:hAnsi="Arial" w:eastAsia="Arial" w:cs="Arial"/>
          <w:sz w:val="22"/>
          <w:szCs w:val="22"/>
        </w:rPr>
        <w:t>Bengali (red) forms a dense compact blob in the centre-right of the space. English (orange) is spread widely across the plot with many dots visible. Hindi (teal) has a small cluster of dots visible. The Bengali and English clouds are somewhat separate, with partial overlap at their boundaries. This separation partly explains mSBERT's negative silhouette.</w:t>
      </w:r>
    </w:p>
    <w:p w14:paraId="52079652">
      <w:pPr>
        <w:pStyle w:val="16"/>
        <w:numPr>
          <w:ilvl w:val="0"/>
          <w:numId w:val="1"/>
        </w:numPr>
        <w:spacing w:before="60" w:after="60"/>
      </w:pPr>
      <w:r>
        <w:rPr>
          <w:rFonts w:ascii="Arial" w:hAnsi="Arial" w:eastAsia="Arial" w:cs="Arial"/>
          <w:b/>
          <w:bCs/>
          <w:sz w:val="22"/>
          <w:szCs w:val="22"/>
        </w:rPr>
        <w:t xml:space="preserve">Right plot (cluster colours): </w:t>
      </w:r>
      <w:r>
        <w:rPr>
          <w:rFonts w:ascii="Arial" w:hAnsi="Arial" w:eastAsia="Arial" w:cs="Arial"/>
          <w:sz w:val="22"/>
          <w:szCs w:val="22"/>
        </w:rPr>
        <w:t>50 different-coloured regions. mSBERT creates clear, compact blob-like clusters — each cluster is tightly grouped but each is mostly one language. The clustering has geometric structure but not cross-lingual mixing.</w:t>
      </w:r>
    </w:p>
    <w:p w14:paraId="37F05413">
      <w:pPr>
        <w:pStyle w:val="16"/>
        <w:numPr>
          <w:ilvl w:val="0"/>
          <w:numId w:val="1"/>
        </w:numPr>
        <w:spacing w:before="60" w:after="60"/>
      </w:pPr>
      <w:r>
        <w:rPr>
          <w:rFonts w:ascii="Arial" w:hAnsi="Arial" w:eastAsia="Arial" w:cs="Arial"/>
          <w:b/>
          <w:bCs/>
          <w:sz w:val="22"/>
          <w:szCs w:val="22"/>
        </w:rPr>
        <w:t xml:space="preserve">Key observation: </w:t>
      </w:r>
      <w:r>
        <w:rPr>
          <w:rFonts w:ascii="Arial" w:hAnsi="Arial" w:eastAsia="Arial" w:cs="Arial"/>
          <w:sz w:val="22"/>
          <w:szCs w:val="22"/>
        </w:rPr>
        <w:t>mSBERT keeps languages somewhat separate in embedding space. This explains its high purity but low silhouette and low cross-lingual retrieval performance.</w:t>
      </w:r>
    </w:p>
    <w:p w14:paraId="46D5FF6F">
      <w:pPr>
        <w:spacing w:before="60" w:after="60"/>
      </w:pPr>
    </w:p>
    <w:p w14:paraId="45E99016">
      <w:pPr>
        <w:pStyle w:val="3"/>
        <w:spacing w:before="300" w:after="160"/>
      </w:pPr>
      <w:r>
        <w:rPr>
          <w:rFonts w:ascii="Arial" w:hAnsi="Arial" w:eastAsia="Arial" w:cs="Arial"/>
          <w:b/>
          <w:bCs/>
          <w:color w:val="2A5298"/>
          <w:sz w:val="26"/>
          <w:szCs w:val="26"/>
        </w:rPr>
        <w:t>Plot 5 — Clustering Visualisation — LaBSE (clustering_LaBSE.png)</w:t>
      </w:r>
    </w:p>
    <w:p w14:paraId="069EF13C">
      <w:pPr>
        <w:spacing w:before="80" w:after="120"/>
        <w:jc w:val="both"/>
      </w:pPr>
      <w:r>
        <w:rPr>
          <w:rFonts w:ascii="Arial" w:hAnsi="Arial" w:eastAsia="Arial" w:cs="Arial"/>
          <w:sz w:val="22"/>
          <w:szCs w:val="22"/>
        </w:rPr>
        <w:t>Same structure as the mSBERT plot but for LaBSE embeddings.</w:t>
      </w:r>
    </w:p>
    <w:p w14:paraId="460BFB98">
      <w:pPr>
        <w:spacing w:before="60" w:after="60"/>
      </w:pPr>
    </w:p>
    <w:p w14:paraId="53A2756C">
      <w:pPr>
        <w:pStyle w:val="16"/>
        <w:numPr>
          <w:ilvl w:val="0"/>
          <w:numId w:val="1"/>
        </w:numPr>
        <w:spacing w:before="60" w:after="60"/>
      </w:pPr>
      <w:r>
        <w:rPr>
          <w:rFonts w:ascii="Arial" w:hAnsi="Arial" w:eastAsia="Arial" w:cs="Arial"/>
          <w:b/>
          <w:bCs/>
          <w:sz w:val="22"/>
          <w:szCs w:val="22"/>
        </w:rPr>
        <w:t xml:space="preserve">Left plot (language colours): </w:t>
      </w:r>
      <w:r>
        <w:rPr>
          <w:rFonts w:ascii="Arial" w:hAnsi="Arial" w:eastAsia="Arial" w:cs="Arial"/>
          <w:sz w:val="22"/>
          <w:szCs w:val="22"/>
        </w:rPr>
        <w:t>Unlike mSBERT, Bengali (red) and English (orange) dots are visibly interleaved throughout the space. You can see red and orange dots mixed together in many regions rather than forming separate blobs. Hindi (teal) dots are scattered within this mixed space. This interleaving is exactly the cross-lingual alignment behaviour you want — same-meaning idioms from different languages occupying shared space regions.</w:t>
      </w:r>
    </w:p>
    <w:p w14:paraId="05A23943">
      <w:pPr>
        <w:pStyle w:val="16"/>
        <w:numPr>
          <w:ilvl w:val="0"/>
          <w:numId w:val="1"/>
        </w:numPr>
        <w:spacing w:before="60" w:after="60"/>
      </w:pPr>
      <w:r>
        <w:rPr>
          <w:rFonts w:ascii="Arial" w:hAnsi="Arial" w:eastAsia="Arial" w:cs="Arial"/>
          <w:b/>
          <w:bCs/>
          <w:sz w:val="22"/>
          <w:szCs w:val="22"/>
        </w:rPr>
        <w:t xml:space="preserve">Right plot (cluster colours): </w:t>
      </w:r>
      <w:r>
        <w:rPr>
          <w:rFonts w:ascii="Arial" w:hAnsi="Arial" w:eastAsia="Arial" w:cs="Arial"/>
          <w:sz w:val="22"/>
          <w:szCs w:val="22"/>
        </w:rPr>
        <w:t>Clusters are more spread out and less perfectly blob-like than mSBERT. LaBSE's clusters have rounder, more diffuse boundaries — which corresponds to the better silhouette score (clusters are more internally coherent even if not perfectly separated).</w:t>
      </w:r>
    </w:p>
    <w:p w14:paraId="57760B6C">
      <w:pPr>
        <w:pStyle w:val="16"/>
        <w:numPr>
          <w:ilvl w:val="0"/>
          <w:numId w:val="1"/>
        </w:numPr>
        <w:spacing w:before="60" w:after="60"/>
      </w:pPr>
      <w:r>
        <w:rPr>
          <w:rFonts w:ascii="Arial" w:hAnsi="Arial" w:eastAsia="Arial" w:cs="Arial"/>
          <w:b/>
          <w:bCs/>
          <w:sz w:val="22"/>
          <w:szCs w:val="22"/>
        </w:rPr>
        <w:t xml:space="preserve">Key observation: </w:t>
      </w:r>
      <w:r>
        <w:rPr>
          <w:rFonts w:ascii="Arial" w:hAnsi="Arial" w:eastAsia="Arial" w:cs="Arial"/>
          <w:sz w:val="22"/>
          <w:szCs w:val="22"/>
        </w:rPr>
        <w:t>LaBSE achieves more genuine cross-lingual mixing in its embedding space. Bengali and English (and to a lesser extent Hindi) idioms co-occupy regions. This is why LaBSE wins on silhouette and retrieval. The visual evidence directly supports the quantitative results.</w:t>
      </w:r>
    </w:p>
    <w:p w14:paraId="19730CEC">
      <w:pPr>
        <w:spacing w:before="60" w:after="60"/>
      </w:pPr>
    </w:p>
    <w:p w14:paraId="2074DFB6">
      <w:pPr>
        <w:pStyle w:val="2"/>
        <w:pBdr>
          <w:bottom w:val="single" w:color="1A7A6E" w:sz="6" w:space="4"/>
        </w:pBdr>
        <w:spacing w:before="400" w:after="200"/>
      </w:pPr>
      <w:r>
        <w:rPr>
          <w:rFonts w:ascii="Arial" w:hAnsi="Arial" w:eastAsia="Arial" w:cs="Arial"/>
          <w:b/>
          <w:bCs/>
          <w:color w:val="1A1A2E"/>
          <w:sz w:val="34"/>
          <w:szCs w:val="34"/>
        </w:rPr>
        <w:t>7. Overall Results and Verdict</w:t>
      </w:r>
    </w:p>
    <w:p w14:paraId="50A8E323">
      <w:pPr>
        <w:pStyle w:val="3"/>
        <w:spacing w:before="300" w:after="160"/>
      </w:pPr>
      <w:r>
        <w:rPr>
          <w:rFonts w:ascii="Arial" w:hAnsi="Arial" w:eastAsia="Arial" w:cs="Arial"/>
          <w:b/>
          <w:bCs/>
          <w:color w:val="2A5298"/>
          <w:sz w:val="26"/>
          <w:szCs w:val="26"/>
        </w:rPr>
        <w:t>7.1 Metric-by-Metric Comparison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56"/>
        <w:gridCol w:w="1937"/>
        <w:gridCol w:w="1259"/>
        <w:gridCol w:w="1259"/>
        <w:gridCol w:w="1937"/>
        <w:gridCol w:w="1938"/>
      </w:tblGrid>
      <w:tr w14:paraId="3F3B6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pct"/>
            <w:shd w:val="solid" w:color="2A5298" w:fill="2A5298"/>
            <w:tcMar>
              <w:top w:w="100" w:type="dxa"/>
              <w:left w:w="120" w:type="dxa"/>
              <w:bottom w:w="100" w:type="dxa"/>
              <w:right w:w="120" w:type="dxa"/>
            </w:tcMar>
          </w:tcPr>
          <w:p w14:paraId="5E665D3E">
            <w:pPr>
              <w:jc w:val="center"/>
            </w:pPr>
            <w:r>
              <w:rPr>
                <w:rFonts w:ascii="Arial" w:hAnsi="Arial" w:eastAsia="Arial" w:cs="Arial"/>
                <w:b/>
                <w:bCs/>
                <w:color w:val="FFFFFF"/>
                <w:sz w:val="19"/>
                <w:szCs w:val="19"/>
              </w:rPr>
              <w:t>Task</w:t>
            </w:r>
          </w:p>
        </w:tc>
        <w:tc>
          <w:tcPr>
            <w:tcW w:w="1000" w:type="pct"/>
            <w:shd w:val="solid" w:color="2A5298" w:fill="2A5298"/>
            <w:tcMar>
              <w:top w:w="100" w:type="dxa"/>
              <w:left w:w="120" w:type="dxa"/>
              <w:bottom w:w="100" w:type="dxa"/>
              <w:right w:w="120" w:type="dxa"/>
            </w:tcMar>
          </w:tcPr>
          <w:p w14:paraId="4640B99C">
            <w:pPr>
              <w:jc w:val="center"/>
            </w:pPr>
            <w:r>
              <w:rPr>
                <w:rFonts w:ascii="Arial" w:hAnsi="Arial" w:eastAsia="Arial" w:cs="Arial"/>
                <w:b/>
                <w:bCs/>
                <w:color w:val="FFFFFF"/>
                <w:sz w:val="19"/>
                <w:szCs w:val="19"/>
              </w:rPr>
              <w:t>Metric</w:t>
            </w:r>
          </w:p>
        </w:tc>
        <w:tc>
          <w:tcPr>
            <w:tcW w:w="650" w:type="pct"/>
            <w:shd w:val="solid" w:color="2A5298" w:fill="2A5298"/>
            <w:tcMar>
              <w:top w:w="100" w:type="dxa"/>
              <w:left w:w="120" w:type="dxa"/>
              <w:bottom w:w="100" w:type="dxa"/>
              <w:right w:w="120" w:type="dxa"/>
            </w:tcMar>
          </w:tcPr>
          <w:p w14:paraId="10DBE158">
            <w:pPr>
              <w:jc w:val="center"/>
            </w:pPr>
            <w:r>
              <w:rPr>
                <w:rFonts w:ascii="Arial" w:hAnsi="Arial" w:eastAsia="Arial" w:cs="Arial"/>
                <w:b/>
                <w:bCs/>
                <w:color w:val="FFFFFF"/>
                <w:sz w:val="19"/>
                <w:szCs w:val="19"/>
              </w:rPr>
              <w:t>mSBERT</w:t>
            </w:r>
          </w:p>
        </w:tc>
        <w:tc>
          <w:tcPr>
            <w:tcW w:w="650" w:type="pct"/>
            <w:shd w:val="solid" w:color="2A5298" w:fill="2A5298"/>
            <w:tcMar>
              <w:top w:w="100" w:type="dxa"/>
              <w:left w:w="120" w:type="dxa"/>
              <w:bottom w:w="100" w:type="dxa"/>
              <w:right w:w="120" w:type="dxa"/>
            </w:tcMar>
          </w:tcPr>
          <w:p w14:paraId="18E9C142">
            <w:pPr>
              <w:jc w:val="center"/>
            </w:pPr>
            <w:r>
              <w:rPr>
                <w:rFonts w:ascii="Arial" w:hAnsi="Arial" w:eastAsia="Arial" w:cs="Arial"/>
                <w:b/>
                <w:bCs/>
                <w:color w:val="FFFFFF"/>
                <w:sz w:val="19"/>
                <w:szCs w:val="19"/>
              </w:rPr>
              <w:t>LaBSE</w:t>
            </w:r>
          </w:p>
        </w:tc>
        <w:tc>
          <w:tcPr>
            <w:tcW w:w="1000" w:type="pct"/>
            <w:shd w:val="solid" w:color="2A5298" w:fill="2A5298"/>
            <w:tcMar>
              <w:top w:w="100" w:type="dxa"/>
              <w:left w:w="120" w:type="dxa"/>
              <w:bottom w:w="100" w:type="dxa"/>
              <w:right w:w="120" w:type="dxa"/>
            </w:tcMar>
          </w:tcPr>
          <w:p w14:paraId="156E4180">
            <w:pPr>
              <w:jc w:val="center"/>
            </w:pPr>
            <w:r>
              <w:rPr>
                <w:rFonts w:ascii="Arial" w:hAnsi="Arial" w:eastAsia="Arial" w:cs="Arial"/>
                <w:b/>
                <w:bCs/>
                <w:color w:val="FFFFFF"/>
                <w:sz w:val="19"/>
                <w:szCs w:val="19"/>
              </w:rPr>
              <w:t>Winner</w:t>
            </w:r>
          </w:p>
        </w:tc>
        <w:tc>
          <w:tcPr>
            <w:tcW w:w="1000" w:type="pct"/>
            <w:shd w:val="solid" w:color="2A5298" w:fill="2A5298"/>
            <w:tcMar>
              <w:top w:w="100" w:type="dxa"/>
              <w:left w:w="120" w:type="dxa"/>
              <w:bottom w:w="100" w:type="dxa"/>
              <w:right w:w="120" w:type="dxa"/>
            </w:tcMar>
          </w:tcPr>
          <w:p w14:paraId="2C98246E">
            <w:pPr>
              <w:jc w:val="center"/>
            </w:pPr>
            <w:r>
              <w:rPr>
                <w:rFonts w:ascii="Arial" w:hAnsi="Arial" w:eastAsia="Arial" w:cs="Arial"/>
                <w:b/>
                <w:bCs/>
                <w:color w:val="FFFFFF"/>
                <w:sz w:val="19"/>
                <w:szCs w:val="19"/>
              </w:rPr>
              <w:t>Margin</w:t>
            </w:r>
          </w:p>
        </w:tc>
      </w:tr>
      <w:tr w14:paraId="17F80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pct"/>
            <w:shd w:val="solid" w:color="F0F4FF" w:fill="F0F4FF"/>
            <w:tcMar>
              <w:top w:w="80" w:type="dxa"/>
              <w:left w:w="100" w:type="dxa"/>
              <w:bottom w:w="80" w:type="dxa"/>
              <w:right w:w="100" w:type="dxa"/>
            </w:tcMar>
          </w:tcPr>
          <w:p w14:paraId="2833C3E3">
            <w:pPr>
              <w:jc w:val="center"/>
            </w:pPr>
            <w:r>
              <w:rPr>
                <w:rFonts w:ascii="Arial" w:hAnsi="Arial" w:eastAsia="Arial" w:cs="Arial"/>
                <w:b w:val="0"/>
                <w:bCs w:val="0"/>
                <w:color w:val="1A1A2E"/>
                <w:sz w:val="19"/>
                <w:szCs w:val="19"/>
              </w:rPr>
              <w:t>Similarity</w:t>
            </w:r>
          </w:p>
        </w:tc>
        <w:tc>
          <w:tcPr>
            <w:tcW w:w="1000" w:type="pct"/>
            <w:shd w:val="solid" w:color="F0F4FF" w:fill="F0F4FF"/>
            <w:tcMar>
              <w:top w:w="80" w:type="dxa"/>
              <w:left w:w="100" w:type="dxa"/>
              <w:bottom w:w="80" w:type="dxa"/>
              <w:right w:w="100" w:type="dxa"/>
            </w:tcMar>
          </w:tcPr>
          <w:p w14:paraId="14C45CAF">
            <w:pPr>
              <w:jc w:val="center"/>
            </w:pPr>
            <w:r>
              <w:rPr>
                <w:rFonts w:ascii="Arial" w:hAnsi="Arial" w:eastAsia="Arial" w:cs="Arial"/>
                <w:b w:val="0"/>
                <w:bCs w:val="0"/>
                <w:color w:val="1A1A2E"/>
                <w:sz w:val="19"/>
                <w:szCs w:val="19"/>
              </w:rPr>
              <w:t>bn-en mean cosine</w:t>
            </w:r>
          </w:p>
        </w:tc>
        <w:tc>
          <w:tcPr>
            <w:tcW w:w="650" w:type="pct"/>
            <w:shd w:val="solid" w:color="F0F4FF" w:fill="F0F4FF"/>
            <w:tcMar>
              <w:top w:w="80" w:type="dxa"/>
              <w:left w:w="100" w:type="dxa"/>
              <w:bottom w:w="80" w:type="dxa"/>
              <w:right w:w="100" w:type="dxa"/>
            </w:tcMar>
          </w:tcPr>
          <w:p w14:paraId="1AC9134B">
            <w:pPr>
              <w:jc w:val="center"/>
            </w:pPr>
            <w:r>
              <w:rPr>
                <w:rFonts w:ascii="Arial" w:hAnsi="Arial" w:eastAsia="Arial" w:cs="Arial"/>
                <w:b w:val="0"/>
                <w:bCs w:val="0"/>
                <w:color w:val="1A1A2E"/>
                <w:sz w:val="19"/>
                <w:szCs w:val="19"/>
              </w:rPr>
              <w:t>0.4376</w:t>
            </w:r>
          </w:p>
        </w:tc>
        <w:tc>
          <w:tcPr>
            <w:tcW w:w="650" w:type="pct"/>
            <w:shd w:val="solid" w:color="F0F4FF" w:fill="F0F4FF"/>
            <w:tcMar>
              <w:top w:w="80" w:type="dxa"/>
              <w:left w:w="100" w:type="dxa"/>
              <w:bottom w:w="80" w:type="dxa"/>
              <w:right w:w="100" w:type="dxa"/>
            </w:tcMar>
          </w:tcPr>
          <w:p w14:paraId="0B1218CB">
            <w:pPr>
              <w:jc w:val="center"/>
            </w:pPr>
            <w:r>
              <w:rPr>
                <w:rFonts w:ascii="Arial" w:hAnsi="Arial" w:eastAsia="Arial" w:cs="Arial"/>
                <w:b w:val="0"/>
                <w:bCs w:val="0"/>
                <w:color w:val="1A1A2E"/>
                <w:sz w:val="19"/>
                <w:szCs w:val="19"/>
              </w:rPr>
              <w:t>0.3878</w:t>
            </w:r>
          </w:p>
        </w:tc>
        <w:tc>
          <w:tcPr>
            <w:tcW w:w="1000" w:type="pct"/>
            <w:shd w:val="solid" w:color="F0F4FF" w:fill="F0F4FF"/>
            <w:tcMar>
              <w:top w:w="80" w:type="dxa"/>
              <w:left w:w="100" w:type="dxa"/>
              <w:bottom w:w="80" w:type="dxa"/>
              <w:right w:w="100" w:type="dxa"/>
            </w:tcMar>
          </w:tcPr>
          <w:p w14:paraId="5F1419B4">
            <w:pPr>
              <w:jc w:val="center"/>
            </w:pPr>
            <w:r>
              <w:rPr>
                <w:rFonts w:ascii="Arial" w:hAnsi="Arial" w:eastAsia="Arial" w:cs="Arial"/>
                <w:b/>
                <w:bCs/>
                <w:color w:val="1A7A6E"/>
                <w:sz w:val="19"/>
                <w:szCs w:val="19"/>
              </w:rPr>
              <w:t>✓ mSBERT wins</w:t>
            </w:r>
          </w:p>
        </w:tc>
        <w:tc>
          <w:tcPr>
            <w:tcW w:w="1000" w:type="pct"/>
            <w:shd w:val="solid" w:color="F0F4FF" w:fill="F0F4FF"/>
            <w:tcMar>
              <w:top w:w="80" w:type="dxa"/>
              <w:left w:w="100" w:type="dxa"/>
              <w:bottom w:w="80" w:type="dxa"/>
              <w:right w:w="100" w:type="dxa"/>
            </w:tcMar>
          </w:tcPr>
          <w:p w14:paraId="68D7808E">
            <w:pPr>
              <w:jc w:val="center"/>
            </w:pPr>
            <w:r>
              <w:rPr>
                <w:rFonts w:ascii="Arial" w:hAnsi="Arial" w:eastAsia="Arial" w:cs="Arial"/>
                <w:b w:val="0"/>
                <w:bCs w:val="0"/>
                <w:color w:val="1A1A2E"/>
                <w:sz w:val="19"/>
                <w:szCs w:val="19"/>
              </w:rPr>
              <w:t>Moderate (stat. significant)</w:t>
            </w:r>
          </w:p>
        </w:tc>
      </w:tr>
      <w:tr w14:paraId="370D5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pct"/>
            <w:shd w:val="solid" w:color="FFFFFF" w:fill="FFFFFF"/>
            <w:tcMar>
              <w:top w:w="80" w:type="dxa"/>
              <w:left w:w="100" w:type="dxa"/>
              <w:bottom w:w="80" w:type="dxa"/>
              <w:right w:w="100" w:type="dxa"/>
            </w:tcMar>
          </w:tcPr>
          <w:p w14:paraId="5D786D0E">
            <w:pPr>
              <w:jc w:val="center"/>
            </w:pPr>
            <w:r>
              <w:rPr>
                <w:rFonts w:ascii="Arial" w:hAnsi="Arial" w:eastAsia="Arial" w:cs="Arial"/>
                <w:b w:val="0"/>
                <w:bCs w:val="0"/>
                <w:color w:val="1A1A2E"/>
                <w:sz w:val="19"/>
                <w:szCs w:val="19"/>
              </w:rPr>
              <w:t>Similarity</w:t>
            </w:r>
          </w:p>
        </w:tc>
        <w:tc>
          <w:tcPr>
            <w:tcW w:w="1000" w:type="pct"/>
            <w:shd w:val="solid" w:color="FFFFFF" w:fill="FFFFFF"/>
            <w:tcMar>
              <w:top w:w="80" w:type="dxa"/>
              <w:left w:w="100" w:type="dxa"/>
              <w:bottom w:w="80" w:type="dxa"/>
              <w:right w:w="100" w:type="dxa"/>
            </w:tcMar>
          </w:tcPr>
          <w:p w14:paraId="552945DD">
            <w:pPr>
              <w:jc w:val="center"/>
            </w:pPr>
            <w:r>
              <w:rPr>
                <w:rFonts w:ascii="Arial" w:hAnsi="Arial" w:eastAsia="Arial" w:cs="Arial"/>
                <w:b w:val="0"/>
                <w:bCs w:val="0"/>
                <w:color w:val="1A1A2E"/>
                <w:sz w:val="19"/>
                <w:szCs w:val="19"/>
              </w:rPr>
              <w:t>bn-hi mean cosine</w:t>
            </w:r>
          </w:p>
        </w:tc>
        <w:tc>
          <w:tcPr>
            <w:tcW w:w="650" w:type="pct"/>
            <w:shd w:val="solid" w:color="FFFFFF" w:fill="FFFFFF"/>
            <w:tcMar>
              <w:top w:w="80" w:type="dxa"/>
              <w:left w:w="100" w:type="dxa"/>
              <w:bottom w:w="80" w:type="dxa"/>
              <w:right w:w="100" w:type="dxa"/>
            </w:tcMar>
          </w:tcPr>
          <w:p w14:paraId="6DCF923C">
            <w:pPr>
              <w:jc w:val="center"/>
            </w:pPr>
            <w:r>
              <w:rPr>
                <w:rFonts w:ascii="Arial" w:hAnsi="Arial" w:eastAsia="Arial" w:cs="Arial"/>
                <w:b w:val="0"/>
                <w:bCs w:val="0"/>
                <w:color w:val="1A1A2E"/>
                <w:sz w:val="19"/>
                <w:szCs w:val="19"/>
              </w:rPr>
              <w:t>0.5467</w:t>
            </w:r>
          </w:p>
        </w:tc>
        <w:tc>
          <w:tcPr>
            <w:tcW w:w="650" w:type="pct"/>
            <w:shd w:val="solid" w:color="FFFFFF" w:fill="FFFFFF"/>
            <w:tcMar>
              <w:top w:w="80" w:type="dxa"/>
              <w:left w:w="100" w:type="dxa"/>
              <w:bottom w:w="80" w:type="dxa"/>
              <w:right w:w="100" w:type="dxa"/>
            </w:tcMar>
          </w:tcPr>
          <w:p w14:paraId="5C9603E7">
            <w:pPr>
              <w:jc w:val="center"/>
            </w:pPr>
            <w:r>
              <w:rPr>
                <w:rFonts w:ascii="Arial" w:hAnsi="Arial" w:eastAsia="Arial" w:cs="Arial"/>
                <w:b w:val="0"/>
                <w:bCs w:val="0"/>
                <w:color w:val="1A1A2E"/>
                <w:sz w:val="19"/>
                <w:szCs w:val="19"/>
              </w:rPr>
              <w:t>0.3105</w:t>
            </w:r>
          </w:p>
        </w:tc>
        <w:tc>
          <w:tcPr>
            <w:tcW w:w="1000" w:type="pct"/>
            <w:shd w:val="solid" w:color="FFFFFF" w:fill="FFFFFF"/>
            <w:tcMar>
              <w:top w:w="80" w:type="dxa"/>
              <w:left w:w="100" w:type="dxa"/>
              <w:bottom w:w="80" w:type="dxa"/>
              <w:right w:w="100" w:type="dxa"/>
            </w:tcMar>
          </w:tcPr>
          <w:p w14:paraId="313D3F53">
            <w:pPr>
              <w:jc w:val="center"/>
            </w:pPr>
            <w:r>
              <w:rPr>
                <w:rFonts w:ascii="Arial" w:hAnsi="Arial" w:eastAsia="Arial" w:cs="Arial"/>
                <w:b/>
                <w:bCs/>
                <w:color w:val="1A7A6E"/>
                <w:sz w:val="19"/>
                <w:szCs w:val="19"/>
              </w:rPr>
              <w:t>✓ mSBERT wins</w:t>
            </w:r>
          </w:p>
        </w:tc>
        <w:tc>
          <w:tcPr>
            <w:tcW w:w="1000" w:type="pct"/>
            <w:shd w:val="solid" w:color="FFFFFF" w:fill="FFFFFF"/>
            <w:tcMar>
              <w:top w:w="80" w:type="dxa"/>
              <w:left w:w="100" w:type="dxa"/>
              <w:bottom w:w="80" w:type="dxa"/>
              <w:right w:w="100" w:type="dxa"/>
            </w:tcMar>
          </w:tcPr>
          <w:p w14:paraId="71278AC2">
            <w:pPr>
              <w:jc w:val="center"/>
            </w:pPr>
            <w:r>
              <w:rPr>
                <w:rFonts w:ascii="Arial" w:hAnsi="Arial" w:eastAsia="Arial" w:cs="Arial"/>
                <w:b w:val="0"/>
                <w:bCs w:val="0"/>
                <w:color w:val="1A1A2E"/>
                <w:sz w:val="19"/>
                <w:szCs w:val="19"/>
              </w:rPr>
              <w:t>Large (stat. significant)</w:t>
            </w:r>
          </w:p>
        </w:tc>
      </w:tr>
      <w:tr w14:paraId="10A0D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pct"/>
            <w:shd w:val="solid" w:color="F0F4FF" w:fill="F0F4FF"/>
            <w:tcMar>
              <w:top w:w="80" w:type="dxa"/>
              <w:left w:w="100" w:type="dxa"/>
              <w:bottom w:w="80" w:type="dxa"/>
              <w:right w:w="100" w:type="dxa"/>
            </w:tcMar>
          </w:tcPr>
          <w:p w14:paraId="626EB1F2">
            <w:pPr>
              <w:jc w:val="center"/>
            </w:pPr>
            <w:r>
              <w:rPr>
                <w:rFonts w:ascii="Arial" w:hAnsi="Arial" w:eastAsia="Arial" w:cs="Arial"/>
                <w:b w:val="0"/>
                <w:bCs w:val="0"/>
                <w:color w:val="1A1A2E"/>
                <w:sz w:val="19"/>
                <w:szCs w:val="19"/>
              </w:rPr>
              <w:t>Retrieval</w:t>
            </w:r>
          </w:p>
        </w:tc>
        <w:tc>
          <w:tcPr>
            <w:tcW w:w="1000" w:type="pct"/>
            <w:shd w:val="solid" w:color="F0F4FF" w:fill="F0F4FF"/>
            <w:tcMar>
              <w:top w:w="80" w:type="dxa"/>
              <w:left w:w="100" w:type="dxa"/>
              <w:bottom w:w="80" w:type="dxa"/>
              <w:right w:w="100" w:type="dxa"/>
            </w:tcMar>
          </w:tcPr>
          <w:p w14:paraId="052D6BC0">
            <w:pPr>
              <w:jc w:val="center"/>
            </w:pPr>
            <w:r>
              <w:rPr>
                <w:rFonts w:ascii="Arial" w:hAnsi="Arial" w:eastAsia="Arial" w:cs="Arial"/>
                <w:b w:val="0"/>
                <w:bCs w:val="0"/>
                <w:color w:val="1A1A2E"/>
                <w:sz w:val="19"/>
                <w:szCs w:val="19"/>
              </w:rPr>
              <w:t>MRR (avg)</w:t>
            </w:r>
          </w:p>
        </w:tc>
        <w:tc>
          <w:tcPr>
            <w:tcW w:w="650" w:type="pct"/>
            <w:shd w:val="solid" w:color="F0F4FF" w:fill="F0F4FF"/>
            <w:tcMar>
              <w:top w:w="80" w:type="dxa"/>
              <w:left w:w="100" w:type="dxa"/>
              <w:bottom w:w="80" w:type="dxa"/>
              <w:right w:w="100" w:type="dxa"/>
            </w:tcMar>
          </w:tcPr>
          <w:p w14:paraId="07E7629F">
            <w:pPr>
              <w:jc w:val="center"/>
            </w:pPr>
            <w:r>
              <w:rPr>
                <w:rFonts w:ascii="Arial" w:hAnsi="Arial" w:eastAsia="Arial" w:cs="Arial"/>
                <w:b w:val="0"/>
                <w:bCs w:val="0"/>
                <w:color w:val="1A1A2E"/>
                <w:sz w:val="19"/>
                <w:szCs w:val="19"/>
              </w:rPr>
              <w:t>0.0134</w:t>
            </w:r>
          </w:p>
        </w:tc>
        <w:tc>
          <w:tcPr>
            <w:tcW w:w="650" w:type="pct"/>
            <w:shd w:val="solid" w:color="F0F4FF" w:fill="F0F4FF"/>
            <w:tcMar>
              <w:top w:w="80" w:type="dxa"/>
              <w:left w:w="100" w:type="dxa"/>
              <w:bottom w:w="80" w:type="dxa"/>
              <w:right w:w="100" w:type="dxa"/>
            </w:tcMar>
          </w:tcPr>
          <w:p w14:paraId="14BAAC4C">
            <w:pPr>
              <w:jc w:val="center"/>
            </w:pPr>
            <w:r>
              <w:rPr>
                <w:rFonts w:ascii="Arial" w:hAnsi="Arial" w:eastAsia="Arial" w:cs="Arial"/>
                <w:b w:val="0"/>
                <w:bCs w:val="0"/>
                <w:color w:val="1A1A2E"/>
                <w:sz w:val="19"/>
                <w:szCs w:val="19"/>
              </w:rPr>
              <w:t>0.0186</w:t>
            </w:r>
          </w:p>
        </w:tc>
        <w:tc>
          <w:tcPr>
            <w:tcW w:w="1000" w:type="pct"/>
            <w:shd w:val="solid" w:color="F0F4FF" w:fill="F0F4FF"/>
            <w:tcMar>
              <w:top w:w="80" w:type="dxa"/>
              <w:left w:w="100" w:type="dxa"/>
              <w:bottom w:w="80" w:type="dxa"/>
              <w:right w:w="100" w:type="dxa"/>
            </w:tcMar>
          </w:tcPr>
          <w:p w14:paraId="44648AFA">
            <w:pPr>
              <w:jc w:val="center"/>
            </w:pPr>
            <w:r>
              <w:rPr>
                <w:rFonts w:ascii="Arial" w:hAnsi="Arial" w:eastAsia="Arial" w:cs="Arial"/>
                <w:b/>
                <w:bCs/>
                <w:color w:val="C0392B"/>
                <w:sz w:val="19"/>
                <w:szCs w:val="19"/>
              </w:rPr>
              <w:t>✓ LaBSE wins</w:t>
            </w:r>
          </w:p>
        </w:tc>
        <w:tc>
          <w:tcPr>
            <w:tcW w:w="1000" w:type="pct"/>
            <w:shd w:val="solid" w:color="F0F4FF" w:fill="F0F4FF"/>
            <w:tcMar>
              <w:top w:w="80" w:type="dxa"/>
              <w:left w:w="100" w:type="dxa"/>
              <w:bottom w:w="80" w:type="dxa"/>
              <w:right w:w="100" w:type="dxa"/>
            </w:tcMar>
          </w:tcPr>
          <w:p w14:paraId="3C964F1E">
            <w:pPr>
              <w:jc w:val="center"/>
            </w:pPr>
            <w:r>
              <w:rPr>
                <w:rFonts w:ascii="Arial" w:hAnsi="Arial" w:eastAsia="Arial" w:cs="Arial"/>
                <w:b w:val="0"/>
                <w:bCs w:val="0"/>
                <w:color w:val="1A1A2E"/>
                <w:sz w:val="19"/>
                <w:szCs w:val="19"/>
              </w:rPr>
              <w:t>Moderate</w:t>
            </w:r>
          </w:p>
        </w:tc>
      </w:tr>
      <w:tr w14:paraId="4D966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pct"/>
            <w:shd w:val="solid" w:color="FFFFFF" w:fill="FFFFFF"/>
            <w:tcMar>
              <w:top w:w="80" w:type="dxa"/>
              <w:left w:w="100" w:type="dxa"/>
              <w:bottom w:w="80" w:type="dxa"/>
              <w:right w:w="100" w:type="dxa"/>
            </w:tcMar>
          </w:tcPr>
          <w:p w14:paraId="14EBF8CF">
            <w:pPr>
              <w:jc w:val="center"/>
            </w:pPr>
            <w:r>
              <w:rPr>
                <w:rFonts w:ascii="Arial" w:hAnsi="Arial" w:eastAsia="Arial" w:cs="Arial"/>
                <w:b w:val="0"/>
                <w:bCs w:val="0"/>
                <w:color w:val="1A1A2E"/>
                <w:sz w:val="19"/>
                <w:szCs w:val="19"/>
              </w:rPr>
              <w:t>Retrieval</w:t>
            </w:r>
          </w:p>
        </w:tc>
        <w:tc>
          <w:tcPr>
            <w:tcW w:w="1000" w:type="pct"/>
            <w:shd w:val="solid" w:color="FFFFFF" w:fill="FFFFFF"/>
            <w:tcMar>
              <w:top w:w="80" w:type="dxa"/>
              <w:left w:w="100" w:type="dxa"/>
              <w:bottom w:w="80" w:type="dxa"/>
              <w:right w:w="100" w:type="dxa"/>
            </w:tcMar>
          </w:tcPr>
          <w:p w14:paraId="307E48BC">
            <w:pPr>
              <w:jc w:val="center"/>
            </w:pPr>
            <w:r>
              <w:rPr>
                <w:rFonts w:ascii="Arial" w:hAnsi="Arial" w:eastAsia="Arial" w:cs="Arial"/>
                <w:b w:val="0"/>
                <w:bCs w:val="0"/>
                <w:color w:val="1A1A2E"/>
                <w:sz w:val="19"/>
                <w:szCs w:val="19"/>
              </w:rPr>
              <w:t>P@1 (avg)</w:t>
            </w:r>
          </w:p>
        </w:tc>
        <w:tc>
          <w:tcPr>
            <w:tcW w:w="650" w:type="pct"/>
            <w:shd w:val="solid" w:color="FFFFFF" w:fill="FFFFFF"/>
            <w:tcMar>
              <w:top w:w="80" w:type="dxa"/>
              <w:left w:w="100" w:type="dxa"/>
              <w:bottom w:w="80" w:type="dxa"/>
              <w:right w:w="100" w:type="dxa"/>
            </w:tcMar>
          </w:tcPr>
          <w:p w14:paraId="67B3EF8E">
            <w:pPr>
              <w:jc w:val="center"/>
            </w:pPr>
            <w:r>
              <w:rPr>
                <w:rFonts w:ascii="Arial" w:hAnsi="Arial" w:eastAsia="Arial" w:cs="Arial"/>
                <w:b w:val="0"/>
                <w:bCs w:val="0"/>
                <w:color w:val="1A1A2E"/>
                <w:sz w:val="19"/>
                <w:szCs w:val="19"/>
              </w:rPr>
              <w:t>0.0058</w:t>
            </w:r>
          </w:p>
        </w:tc>
        <w:tc>
          <w:tcPr>
            <w:tcW w:w="650" w:type="pct"/>
            <w:shd w:val="solid" w:color="FFFFFF" w:fill="FFFFFF"/>
            <w:tcMar>
              <w:top w:w="80" w:type="dxa"/>
              <w:left w:w="100" w:type="dxa"/>
              <w:bottom w:w="80" w:type="dxa"/>
              <w:right w:w="100" w:type="dxa"/>
            </w:tcMar>
          </w:tcPr>
          <w:p w14:paraId="244F6BFF">
            <w:pPr>
              <w:jc w:val="center"/>
            </w:pPr>
            <w:r>
              <w:rPr>
                <w:rFonts w:ascii="Arial" w:hAnsi="Arial" w:eastAsia="Arial" w:cs="Arial"/>
                <w:b w:val="0"/>
                <w:bCs w:val="0"/>
                <w:color w:val="1A1A2E"/>
                <w:sz w:val="19"/>
                <w:szCs w:val="19"/>
              </w:rPr>
              <w:t>0.0092</w:t>
            </w:r>
          </w:p>
        </w:tc>
        <w:tc>
          <w:tcPr>
            <w:tcW w:w="1000" w:type="pct"/>
            <w:shd w:val="solid" w:color="FFFFFF" w:fill="FFFFFF"/>
            <w:tcMar>
              <w:top w:w="80" w:type="dxa"/>
              <w:left w:w="100" w:type="dxa"/>
              <w:bottom w:w="80" w:type="dxa"/>
              <w:right w:w="100" w:type="dxa"/>
            </w:tcMar>
          </w:tcPr>
          <w:p w14:paraId="7A615C93">
            <w:pPr>
              <w:jc w:val="center"/>
            </w:pPr>
            <w:r>
              <w:rPr>
                <w:rFonts w:ascii="Arial" w:hAnsi="Arial" w:eastAsia="Arial" w:cs="Arial"/>
                <w:b/>
                <w:bCs/>
                <w:color w:val="C0392B"/>
                <w:sz w:val="19"/>
                <w:szCs w:val="19"/>
              </w:rPr>
              <w:t>✓ LaBSE wins</w:t>
            </w:r>
          </w:p>
        </w:tc>
        <w:tc>
          <w:tcPr>
            <w:tcW w:w="1000" w:type="pct"/>
            <w:shd w:val="solid" w:color="FFFFFF" w:fill="FFFFFF"/>
            <w:tcMar>
              <w:top w:w="80" w:type="dxa"/>
              <w:left w:w="100" w:type="dxa"/>
              <w:bottom w:w="80" w:type="dxa"/>
              <w:right w:w="100" w:type="dxa"/>
            </w:tcMar>
          </w:tcPr>
          <w:p w14:paraId="4394DE2C">
            <w:pPr>
              <w:jc w:val="center"/>
            </w:pPr>
            <w:r>
              <w:rPr>
                <w:rFonts w:ascii="Arial" w:hAnsi="Arial" w:eastAsia="Arial" w:cs="Arial"/>
                <w:b w:val="0"/>
                <w:bCs w:val="0"/>
                <w:color w:val="1A1A2E"/>
                <w:sz w:val="19"/>
                <w:szCs w:val="19"/>
              </w:rPr>
              <w:t>Moderate</w:t>
            </w:r>
          </w:p>
        </w:tc>
      </w:tr>
      <w:tr w14:paraId="7FE4D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pct"/>
            <w:shd w:val="solid" w:color="F0F4FF" w:fill="F0F4FF"/>
            <w:tcMar>
              <w:top w:w="80" w:type="dxa"/>
              <w:left w:w="100" w:type="dxa"/>
              <w:bottom w:w="80" w:type="dxa"/>
              <w:right w:w="100" w:type="dxa"/>
            </w:tcMar>
          </w:tcPr>
          <w:p w14:paraId="0995C6C7">
            <w:pPr>
              <w:jc w:val="center"/>
            </w:pPr>
            <w:r>
              <w:rPr>
                <w:rFonts w:ascii="Arial" w:hAnsi="Arial" w:eastAsia="Arial" w:cs="Arial"/>
                <w:b w:val="0"/>
                <w:bCs w:val="0"/>
                <w:color w:val="1A1A2E"/>
                <w:sz w:val="19"/>
                <w:szCs w:val="19"/>
              </w:rPr>
              <w:t>Retrieval</w:t>
            </w:r>
          </w:p>
        </w:tc>
        <w:tc>
          <w:tcPr>
            <w:tcW w:w="1000" w:type="pct"/>
            <w:shd w:val="solid" w:color="F0F4FF" w:fill="F0F4FF"/>
            <w:tcMar>
              <w:top w:w="80" w:type="dxa"/>
              <w:left w:w="100" w:type="dxa"/>
              <w:bottom w:w="80" w:type="dxa"/>
              <w:right w:w="100" w:type="dxa"/>
            </w:tcMar>
          </w:tcPr>
          <w:p w14:paraId="54DB0EF5">
            <w:pPr>
              <w:jc w:val="center"/>
            </w:pPr>
            <w:r>
              <w:rPr>
                <w:rFonts w:ascii="Arial" w:hAnsi="Arial" w:eastAsia="Arial" w:cs="Arial"/>
                <w:b w:val="0"/>
                <w:bCs w:val="0"/>
                <w:color w:val="1A1A2E"/>
                <w:sz w:val="19"/>
                <w:szCs w:val="19"/>
              </w:rPr>
              <w:t>P@5 (avg)</w:t>
            </w:r>
          </w:p>
        </w:tc>
        <w:tc>
          <w:tcPr>
            <w:tcW w:w="650" w:type="pct"/>
            <w:shd w:val="solid" w:color="F0F4FF" w:fill="F0F4FF"/>
            <w:tcMar>
              <w:top w:w="80" w:type="dxa"/>
              <w:left w:w="100" w:type="dxa"/>
              <w:bottom w:w="80" w:type="dxa"/>
              <w:right w:w="100" w:type="dxa"/>
            </w:tcMar>
          </w:tcPr>
          <w:p w14:paraId="49296C8C">
            <w:pPr>
              <w:jc w:val="center"/>
            </w:pPr>
            <w:r>
              <w:rPr>
                <w:rFonts w:ascii="Arial" w:hAnsi="Arial" w:eastAsia="Arial" w:cs="Arial"/>
                <w:b w:val="0"/>
                <w:bCs w:val="0"/>
                <w:color w:val="1A1A2E"/>
                <w:sz w:val="19"/>
                <w:szCs w:val="19"/>
              </w:rPr>
              <w:t>0.0234</w:t>
            </w:r>
          </w:p>
        </w:tc>
        <w:tc>
          <w:tcPr>
            <w:tcW w:w="650" w:type="pct"/>
            <w:shd w:val="solid" w:color="F0F4FF" w:fill="F0F4FF"/>
            <w:tcMar>
              <w:top w:w="80" w:type="dxa"/>
              <w:left w:w="100" w:type="dxa"/>
              <w:bottom w:w="80" w:type="dxa"/>
              <w:right w:w="100" w:type="dxa"/>
            </w:tcMar>
          </w:tcPr>
          <w:p w14:paraId="5FC88928">
            <w:pPr>
              <w:jc w:val="center"/>
            </w:pPr>
            <w:r>
              <w:rPr>
                <w:rFonts w:ascii="Arial" w:hAnsi="Arial" w:eastAsia="Arial" w:cs="Arial"/>
                <w:b w:val="0"/>
                <w:bCs w:val="0"/>
                <w:color w:val="1A1A2E"/>
                <w:sz w:val="19"/>
                <w:szCs w:val="19"/>
              </w:rPr>
              <w:t>0.0295</w:t>
            </w:r>
          </w:p>
        </w:tc>
        <w:tc>
          <w:tcPr>
            <w:tcW w:w="1000" w:type="pct"/>
            <w:shd w:val="solid" w:color="F0F4FF" w:fill="F0F4FF"/>
            <w:tcMar>
              <w:top w:w="80" w:type="dxa"/>
              <w:left w:w="100" w:type="dxa"/>
              <w:bottom w:w="80" w:type="dxa"/>
              <w:right w:w="100" w:type="dxa"/>
            </w:tcMar>
          </w:tcPr>
          <w:p w14:paraId="489B97BC">
            <w:pPr>
              <w:jc w:val="center"/>
            </w:pPr>
            <w:r>
              <w:rPr>
                <w:rFonts w:ascii="Arial" w:hAnsi="Arial" w:eastAsia="Arial" w:cs="Arial"/>
                <w:b/>
                <w:bCs/>
                <w:color w:val="C0392B"/>
                <w:sz w:val="19"/>
                <w:szCs w:val="19"/>
              </w:rPr>
              <w:t>✓ LaBSE wins</w:t>
            </w:r>
          </w:p>
        </w:tc>
        <w:tc>
          <w:tcPr>
            <w:tcW w:w="1000" w:type="pct"/>
            <w:shd w:val="solid" w:color="F0F4FF" w:fill="F0F4FF"/>
            <w:tcMar>
              <w:top w:w="80" w:type="dxa"/>
              <w:left w:w="100" w:type="dxa"/>
              <w:bottom w:w="80" w:type="dxa"/>
              <w:right w:w="100" w:type="dxa"/>
            </w:tcMar>
          </w:tcPr>
          <w:p w14:paraId="71707A73">
            <w:pPr>
              <w:jc w:val="center"/>
            </w:pPr>
            <w:r>
              <w:rPr>
                <w:rFonts w:ascii="Arial" w:hAnsi="Arial" w:eastAsia="Arial" w:cs="Arial"/>
                <w:b w:val="0"/>
                <w:bCs w:val="0"/>
                <w:color w:val="1A1A2E"/>
                <w:sz w:val="19"/>
                <w:szCs w:val="19"/>
              </w:rPr>
              <w:t>Small</w:t>
            </w:r>
          </w:p>
        </w:tc>
      </w:tr>
      <w:tr w14:paraId="0C72F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pct"/>
            <w:shd w:val="solid" w:color="FFFFFF" w:fill="FFFFFF"/>
            <w:tcMar>
              <w:top w:w="80" w:type="dxa"/>
              <w:left w:w="100" w:type="dxa"/>
              <w:bottom w:w="80" w:type="dxa"/>
              <w:right w:w="100" w:type="dxa"/>
            </w:tcMar>
          </w:tcPr>
          <w:p w14:paraId="5C172025">
            <w:pPr>
              <w:jc w:val="center"/>
            </w:pPr>
            <w:r>
              <w:rPr>
                <w:rFonts w:ascii="Arial" w:hAnsi="Arial" w:eastAsia="Arial" w:cs="Arial"/>
                <w:b w:val="0"/>
                <w:bCs w:val="0"/>
                <w:color w:val="1A1A2E"/>
                <w:sz w:val="19"/>
                <w:szCs w:val="19"/>
              </w:rPr>
              <w:t>Retrieval</w:t>
            </w:r>
          </w:p>
        </w:tc>
        <w:tc>
          <w:tcPr>
            <w:tcW w:w="1000" w:type="pct"/>
            <w:shd w:val="solid" w:color="FFFFFF" w:fill="FFFFFF"/>
            <w:tcMar>
              <w:top w:w="80" w:type="dxa"/>
              <w:left w:w="100" w:type="dxa"/>
              <w:bottom w:w="80" w:type="dxa"/>
              <w:right w:w="100" w:type="dxa"/>
            </w:tcMar>
          </w:tcPr>
          <w:p w14:paraId="55B49E2A">
            <w:pPr>
              <w:jc w:val="center"/>
            </w:pPr>
            <w:r>
              <w:rPr>
                <w:rFonts w:ascii="Arial" w:hAnsi="Arial" w:eastAsia="Arial" w:cs="Arial"/>
                <w:b w:val="0"/>
                <w:bCs w:val="0"/>
                <w:color w:val="1A1A2E"/>
                <w:sz w:val="19"/>
                <w:szCs w:val="19"/>
              </w:rPr>
              <w:t>Hit@10 (avg)</w:t>
            </w:r>
          </w:p>
        </w:tc>
        <w:tc>
          <w:tcPr>
            <w:tcW w:w="650" w:type="pct"/>
            <w:shd w:val="solid" w:color="FFFFFF" w:fill="FFFFFF"/>
            <w:tcMar>
              <w:top w:w="80" w:type="dxa"/>
              <w:left w:w="100" w:type="dxa"/>
              <w:bottom w:w="80" w:type="dxa"/>
              <w:right w:w="100" w:type="dxa"/>
            </w:tcMar>
          </w:tcPr>
          <w:p w14:paraId="125F0F2C">
            <w:pPr>
              <w:jc w:val="center"/>
            </w:pPr>
            <w:r>
              <w:rPr>
                <w:rFonts w:ascii="Arial" w:hAnsi="Arial" w:eastAsia="Arial" w:cs="Arial"/>
                <w:b w:val="0"/>
                <w:bCs w:val="0"/>
                <w:color w:val="1A1A2E"/>
                <w:sz w:val="19"/>
                <w:szCs w:val="19"/>
              </w:rPr>
              <w:t>0.0370</w:t>
            </w:r>
          </w:p>
        </w:tc>
        <w:tc>
          <w:tcPr>
            <w:tcW w:w="650" w:type="pct"/>
            <w:shd w:val="solid" w:color="FFFFFF" w:fill="FFFFFF"/>
            <w:tcMar>
              <w:top w:w="80" w:type="dxa"/>
              <w:left w:w="100" w:type="dxa"/>
              <w:bottom w:w="80" w:type="dxa"/>
              <w:right w:w="100" w:type="dxa"/>
            </w:tcMar>
          </w:tcPr>
          <w:p w14:paraId="67F84FF8">
            <w:pPr>
              <w:jc w:val="center"/>
            </w:pPr>
            <w:r>
              <w:rPr>
                <w:rFonts w:ascii="Arial" w:hAnsi="Arial" w:eastAsia="Arial" w:cs="Arial"/>
                <w:b w:val="0"/>
                <w:bCs w:val="0"/>
                <w:color w:val="1A1A2E"/>
                <w:sz w:val="19"/>
                <w:szCs w:val="19"/>
              </w:rPr>
              <w:t>0.0504</w:t>
            </w:r>
          </w:p>
        </w:tc>
        <w:tc>
          <w:tcPr>
            <w:tcW w:w="1000" w:type="pct"/>
            <w:shd w:val="solid" w:color="FFFFFF" w:fill="FFFFFF"/>
            <w:tcMar>
              <w:top w:w="80" w:type="dxa"/>
              <w:left w:w="100" w:type="dxa"/>
              <w:bottom w:w="80" w:type="dxa"/>
              <w:right w:w="100" w:type="dxa"/>
            </w:tcMar>
          </w:tcPr>
          <w:p w14:paraId="09DDFC5A">
            <w:pPr>
              <w:jc w:val="center"/>
            </w:pPr>
            <w:r>
              <w:rPr>
                <w:rFonts w:ascii="Arial" w:hAnsi="Arial" w:eastAsia="Arial" w:cs="Arial"/>
                <w:b/>
                <w:bCs/>
                <w:color w:val="C0392B"/>
                <w:sz w:val="19"/>
                <w:szCs w:val="19"/>
              </w:rPr>
              <w:t>✓ LaBSE wins</w:t>
            </w:r>
          </w:p>
        </w:tc>
        <w:tc>
          <w:tcPr>
            <w:tcW w:w="1000" w:type="pct"/>
            <w:shd w:val="solid" w:color="FFFFFF" w:fill="FFFFFF"/>
            <w:tcMar>
              <w:top w:w="80" w:type="dxa"/>
              <w:left w:w="100" w:type="dxa"/>
              <w:bottom w:w="80" w:type="dxa"/>
              <w:right w:w="100" w:type="dxa"/>
            </w:tcMar>
          </w:tcPr>
          <w:p w14:paraId="7368785A">
            <w:pPr>
              <w:jc w:val="center"/>
            </w:pPr>
            <w:r>
              <w:rPr>
                <w:rFonts w:ascii="Arial" w:hAnsi="Arial" w:eastAsia="Arial" w:cs="Arial"/>
                <w:b w:val="0"/>
                <w:bCs w:val="0"/>
                <w:color w:val="1A1A2E"/>
                <w:sz w:val="19"/>
                <w:szCs w:val="19"/>
              </w:rPr>
              <w:t>Moderate</w:t>
            </w:r>
          </w:p>
        </w:tc>
      </w:tr>
      <w:tr w14:paraId="130FC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pct"/>
            <w:shd w:val="solid" w:color="F0F4FF" w:fill="F0F4FF"/>
            <w:tcMar>
              <w:top w:w="80" w:type="dxa"/>
              <w:left w:w="100" w:type="dxa"/>
              <w:bottom w:w="80" w:type="dxa"/>
              <w:right w:w="100" w:type="dxa"/>
            </w:tcMar>
          </w:tcPr>
          <w:p w14:paraId="14192A4F">
            <w:pPr>
              <w:jc w:val="center"/>
            </w:pPr>
            <w:r>
              <w:rPr>
                <w:rFonts w:ascii="Arial" w:hAnsi="Arial" w:eastAsia="Arial" w:cs="Arial"/>
                <w:b w:val="0"/>
                <w:bCs w:val="0"/>
                <w:color w:val="1A1A2E"/>
                <w:sz w:val="19"/>
                <w:szCs w:val="19"/>
              </w:rPr>
              <w:t>Clustering</w:t>
            </w:r>
          </w:p>
        </w:tc>
        <w:tc>
          <w:tcPr>
            <w:tcW w:w="1000" w:type="pct"/>
            <w:shd w:val="solid" w:color="F0F4FF" w:fill="F0F4FF"/>
            <w:tcMar>
              <w:top w:w="80" w:type="dxa"/>
              <w:left w:w="100" w:type="dxa"/>
              <w:bottom w:w="80" w:type="dxa"/>
              <w:right w:w="100" w:type="dxa"/>
            </w:tcMar>
          </w:tcPr>
          <w:p w14:paraId="2858B16C">
            <w:pPr>
              <w:jc w:val="center"/>
            </w:pPr>
            <w:r>
              <w:rPr>
                <w:rFonts w:ascii="Arial" w:hAnsi="Arial" w:eastAsia="Arial" w:cs="Arial"/>
                <w:b w:val="0"/>
                <w:bCs w:val="0"/>
                <w:color w:val="1A1A2E"/>
                <w:sz w:val="19"/>
                <w:szCs w:val="19"/>
              </w:rPr>
              <w:t>Silhouette</w:t>
            </w:r>
          </w:p>
        </w:tc>
        <w:tc>
          <w:tcPr>
            <w:tcW w:w="650" w:type="pct"/>
            <w:shd w:val="solid" w:color="F0F4FF" w:fill="F0F4FF"/>
            <w:tcMar>
              <w:top w:w="80" w:type="dxa"/>
              <w:left w:w="100" w:type="dxa"/>
              <w:bottom w:w="80" w:type="dxa"/>
              <w:right w:w="100" w:type="dxa"/>
            </w:tcMar>
          </w:tcPr>
          <w:p w14:paraId="2CEAFB9C">
            <w:pPr>
              <w:jc w:val="center"/>
            </w:pPr>
            <w:r>
              <w:rPr>
                <w:rFonts w:ascii="Arial" w:hAnsi="Arial" w:eastAsia="Arial" w:cs="Arial"/>
                <w:b w:val="0"/>
                <w:bCs w:val="0"/>
                <w:color w:val="1A1A2E"/>
                <w:sz w:val="19"/>
                <w:szCs w:val="19"/>
              </w:rPr>
              <w:t>-0.0225</w:t>
            </w:r>
          </w:p>
        </w:tc>
        <w:tc>
          <w:tcPr>
            <w:tcW w:w="650" w:type="pct"/>
            <w:shd w:val="solid" w:color="F0F4FF" w:fill="F0F4FF"/>
            <w:tcMar>
              <w:top w:w="80" w:type="dxa"/>
              <w:left w:w="100" w:type="dxa"/>
              <w:bottom w:w="80" w:type="dxa"/>
              <w:right w:w="100" w:type="dxa"/>
            </w:tcMar>
          </w:tcPr>
          <w:p w14:paraId="7C9A3F9F">
            <w:pPr>
              <w:jc w:val="center"/>
            </w:pPr>
            <w:r>
              <w:rPr>
                <w:rFonts w:ascii="Arial" w:hAnsi="Arial" w:eastAsia="Arial" w:cs="Arial"/>
                <w:b w:val="0"/>
                <w:bCs w:val="0"/>
                <w:color w:val="1A1A2E"/>
                <w:sz w:val="19"/>
                <w:szCs w:val="19"/>
              </w:rPr>
              <w:t>0.0330</w:t>
            </w:r>
          </w:p>
        </w:tc>
        <w:tc>
          <w:tcPr>
            <w:tcW w:w="1000" w:type="pct"/>
            <w:shd w:val="solid" w:color="F0F4FF" w:fill="F0F4FF"/>
            <w:tcMar>
              <w:top w:w="80" w:type="dxa"/>
              <w:left w:w="100" w:type="dxa"/>
              <w:bottom w:w="80" w:type="dxa"/>
              <w:right w:w="100" w:type="dxa"/>
            </w:tcMar>
          </w:tcPr>
          <w:p w14:paraId="3812FB59">
            <w:pPr>
              <w:jc w:val="center"/>
            </w:pPr>
            <w:r>
              <w:rPr>
                <w:rFonts w:ascii="Arial" w:hAnsi="Arial" w:eastAsia="Arial" w:cs="Arial"/>
                <w:b/>
                <w:bCs/>
                <w:color w:val="C0392B"/>
                <w:sz w:val="19"/>
                <w:szCs w:val="19"/>
              </w:rPr>
              <w:t>✓ LaBSE wins</w:t>
            </w:r>
          </w:p>
        </w:tc>
        <w:tc>
          <w:tcPr>
            <w:tcW w:w="1000" w:type="pct"/>
            <w:shd w:val="solid" w:color="F0F4FF" w:fill="F0F4FF"/>
            <w:tcMar>
              <w:top w:w="80" w:type="dxa"/>
              <w:left w:w="100" w:type="dxa"/>
              <w:bottom w:w="80" w:type="dxa"/>
              <w:right w:w="100" w:type="dxa"/>
            </w:tcMar>
          </w:tcPr>
          <w:p w14:paraId="2E6548CE">
            <w:pPr>
              <w:jc w:val="center"/>
            </w:pPr>
            <w:r>
              <w:rPr>
                <w:rFonts w:ascii="Arial" w:hAnsi="Arial" w:eastAsia="Arial" w:cs="Arial"/>
                <w:b w:val="0"/>
                <w:bCs w:val="0"/>
                <w:color w:val="1A1A2E"/>
                <w:sz w:val="19"/>
                <w:szCs w:val="19"/>
              </w:rPr>
              <w:t>Moderate</w:t>
            </w:r>
          </w:p>
        </w:tc>
      </w:tr>
      <w:tr w14:paraId="1A5A9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pct"/>
            <w:shd w:val="solid" w:color="FFFFFF" w:fill="FFFFFF"/>
            <w:tcMar>
              <w:top w:w="80" w:type="dxa"/>
              <w:left w:w="100" w:type="dxa"/>
              <w:bottom w:w="80" w:type="dxa"/>
              <w:right w:w="100" w:type="dxa"/>
            </w:tcMar>
          </w:tcPr>
          <w:p w14:paraId="78F56807">
            <w:pPr>
              <w:jc w:val="center"/>
            </w:pPr>
            <w:r>
              <w:rPr>
                <w:rFonts w:ascii="Arial" w:hAnsi="Arial" w:eastAsia="Arial" w:cs="Arial"/>
                <w:b w:val="0"/>
                <w:bCs w:val="0"/>
                <w:color w:val="1A1A2E"/>
                <w:sz w:val="19"/>
                <w:szCs w:val="19"/>
              </w:rPr>
              <w:t>Clustering</w:t>
            </w:r>
          </w:p>
        </w:tc>
        <w:tc>
          <w:tcPr>
            <w:tcW w:w="1000" w:type="pct"/>
            <w:shd w:val="solid" w:color="FFFFFF" w:fill="FFFFFF"/>
            <w:tcMar>
              <w:top w:w="80" w:type="dxa"/>
              <w:left w:w="100" w:type="dxa"/>
              <w:bottom w:w="80" w:type="dxa"/>
              <w:right w:w="100" w:type="dxa"/>
            </w:tcMar>
          </w:tcPr>
          <w:p w14:paraId="4F284FBB">
            <w:pPr>
              <w:jc w:val="center"/>
            </w:pPr>
            <w:r>
              <w:rPr>
                <w:rFonts w:ascii="Arial" w:hAnsi="Arial" w:eastAsia="Arial" w:cs="Arial"/>
                <w:b w:val="0"/>
                <w:bCs w:val="0"/>
                <w:color w:val="1A1A2E"/>
                <w:sz w:val="19"/>
                <w:szCs w:val="19"/>
              </w:rPr>
              <w:t>Purity</w:t>
            </w:r>
          </w:p>
        </w:tc>
        <w:tc>
          <w:tcPr>
            <w:tcW w:w="650" w:type="pct"/>
            <w:shd w:val="solid" w:color="FFFFFF" w:fill="FFFFFF"/>
            <w:tcMar>
              <w:top w:w="80" w:type="dxa"/>
              <w:left w:w="100" w:type="dxa"/>
              <w:bottom w:w="80" w:type="dxa"/>
              <w:right w:w="100" w:type="dxa"/>
            </w:tcMar>
          </w:tcPr>
          <w:p w14:paraId="503D3650">
            <w:pPr>
              <w:jc w:val="center"/>
            </w:pPr>
            <w:r>
              <w:rPr>
                <w:rFonts w:ascii="Arial" w:hAnsi="Arial" w:eastAsia="Arial" w:cs="Arial"/>
                <w:b w:val="0"/>
                <w:bCs w:val="0"/>
                <w:color w:val="1A1A2E"/>
                <w:sz w:val="19"/>
                <w:szCs w:val="19"/>
              </w:rPr>
              <w:t>0.9164</w:t>
            </w:r>
          </w:p>
        </w:tc>
        <w:tc>
          <w:tcPr>
            <w:tcW w:w="650" w:type="pct"/>
            <w:shd w:val="solid" w:color="FFFFFF" w:fill="FFFFFF"/>
            <w:tcMar>
              <w:top w:w="80" w:type="dxa"/>
              <w:left w:w="100" w:type="dxa"/>
              <w:bottom w:w="80" w:type="dxa"/>
              <w:right w:w="100" w:type="dxa"/>
            </w:tcMar>
          </w:tcPr>
          <w:p w14:paraId="1A512C6F">
            <w:pPr>
              <w:jc w:val="center"/>
            </w:pPr>
            <w:r>
              <w:rPr>
                <w:rFonts w:ascii="Arial" w:hAnsi="Arial" w:eastAsia="Arial" w:cs="Arial"/>
                <w:b w:val="0"/>
                <w:bCs w:val="0"/>
                <w:color w:val="1A1A2E"/>
                <w:sz w:val="19"/>
                <w:szCs w:val="19"/>
              </w:rPr>
              <w:t>0.7511</w:t>
            </w:r>
          </w:p>
        </w:tc>
        <w:tc>
          <w:tcPr>
            <w:tcW w:w="1000" w:type="pct"/>
            <w:shd w:val="solid" w:color="FFFFFF" w:fill="FFFFFF"/>
            <w:tcMar>
              <w:top w:w="80" w:type="dxa"/>
              <w:left w:w="100" w:type="dxa"/>
              <w:bottom w:w="80" w:type="dxa"/>
              <w:right w:w="100" w:type="dxa"/>
            </w:tcMar>
          </w:tcPr>
          <w:p w14:paraId="67FB3063">
            <w:pPr>
              <w:jc w:val="center"/>
            </w:pPr>
            <w:r>
              <w:rPr>
                <w:rFonts w:ascii="Arial" w:hAnsi="Arial" w:eastAsia="Arial" w:cs="Arial"/>
                <w:b/>
                <w:bCs/>
                <w:color w:val="1A7A6E"/>
                <w:sz w:val="19"/>
                <w:szCs w:val="19"/>
              </w:rPr>
              <w:t>✓ mSBERT wins</w:t>
            </w:r>
          </w:p>
        </w:tc>
        <w:tc>
          <w:tcPr>
            <w:tcW w:w="1000" w:type="pct"/>
            <w:shd w:val="solid" w:color="FFFFFF" w:fill="FFFFFF"/>
            <w:tcMar>
              <w:top w:w="80" w:type="dxa"/>
              <w:left w:w="100" w:type="dxa"/>
              <w:bottom w:w="80" w:type="dxa"/>
              <w:right w:w="100" w:type="dxa"/>
            </w:tcMar>
          </w:tcPr>
          <w:p w14:paraId="52E891EC">
            <w:pPr>
              <w:jc w:val="center"/>
            </w:pPr>
            <w:r>
              <w:rPr>
                <w:rFonts w:ascii="Arial" w:hAnsi="Arial" w:eastAsia="Arial" w:cs="Arial"/>
                <w:b w:val="0"/>
                <w:bCs w:val="0"/>
                <w:color w:val="1A1A2E"/>
                <w:sz w:val="19"/>
                <w:szCs w:val="19"/>
              </w:rPr>
              <w:t>Large (partly due to imbalance)</w:t>
            </w:r>
          </w:p>
        </w:tc>
      </w:tr>
      <w:tr w14:paraId="31AD0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pct"/>
            <w:shd w:val="solid" w:color="F0F4FF" w:fill="F0F4FF"/>
            <w:tcMar>
              <w:top w:w="80" w:type="dxa"/>
              <w:left w:w="100" w:type="dxa"/>
              <w:bottom w:w="80" w:type="dxa"/>
              <w:right w:w="100" w:type="dxa"/>
            </w:tcMar>
          </w:tcPr>
          <w:p w14:paraId="3D171396">
            <w:pPr>
              <w:jc w:val="center"/>
            </w:pPr>
            <w:r>
              <w:rPr>
                <w:rFonts w:ascii="Arial" w:hAnsi="Arial" w:eastAsia="Arial" w:cs="Arial"/>
                <w:b w:val="0"/>
                <w:bCs w:val="0"/>
                <w:color w:val="1A1A2E"/>
                <w:sz w:val="19"/>
                <w:szCs w:val="19"/>
              </w:rPr>
              <w:t>Clustering</w:t>
            </w:r>
          </w:p>
        </w:tc>
        <w:tc>
          <w:tcPr>
            <w:tcW w:w="1000" w:type="pct"/>
            <w:shd w:val="solid" w:color="F0F4FF" w:fill="F0F4FF"/>
            <w:tcMar>
              <w:top w:w="80" w:type="dxa"/>
              <w:left w:w="100" w:type="dxa"/>
              <w:bottom w:w="80" w:type="dxa"/>
              <w:right w:w="100" w:type="dxa"/>
            </w:tcMar>
          </w:tcPr>
          <w:p w14:paraId="31D49506">
            <w:pPr>
              <w:jc w:val="center"/>
            </w:pPr>
            <w:r>
              <w:rPr>
                <w:rFonts w:ascii="Arial" w:hAnsi="Arial" w:eastAsia="Arial" w:cs="Arial"/>
                <w:b w:val="0"/>
                <w:bCs w:val="0"/>
                <w:color w:val="1A1A2E"/>
                <w:sz w:val="19"/>
                <w:szCs w:val="19"/>
              </w:rPr>
              <w:t>Triplet Cohesion</w:t>
            </w:r>
          </w:p>
        </w:tc>
        <w:tc>
          <w:tcPr>
            <w:tcW w:w="650" w:type="pct"/>
            <w:shd w:val="solid" w:color="F0F4FF" w:fill="F0F4FF"/>
            <w:tcMar>
              <w:top w:w="80" w:type="dxa"/>
              <w:left w:w="100" w:type="dxa"/>
              <w:bottom w:w="80" w:type="dxa"/>
              <w:right w:w="100" w:type="dxa"/>
            </w:tcMar>
          </w:tcPr>
          <w:p w14:paraId="6CA7337F">
            <w:pPr>
              <w:jc w:val="center"/>
            </w:pPr>
            <w:r>
              <w:rPr>
                <w:rFonts w:ascii="Arial" w:hAnsi="Arial" w:eastAsia="Arial" w:cs="Arial"/>
                <w:b w:val="0"/>
                <w:bCs w:val="0"/>
                <w:color w:val="1A1A2E"/>
                <w:sz w:val="19"/>
                <w:szCs w:val="19"/>
              </w:rPr>
              <w:t>0.0115</w:t>
            </w:r>
          </w:p>
        </w:tc>
        <w:tc>
          <w:tcPr>
            <w:tcW w:w="650" w:type="pct"/>
            <w:shd w:val="solid" w:color="F0F4FF" w:fill="F0F4FF"/>
            <w:tcMar>
              <w:top w:w="80" w:type="dxa"/>
              <w:left w:w="100" w:type="dxa"/>
              <w:bottom w:w="80" w:type="dxa"/>
              <w:right w:w="100" w:type="dxa"/>
            </w:tcMar>
          </w:tcPr>
          <w:p w14:paraId="7777BE4A">
            <w:pPr>
              <w:jc w:val="center"/>
            </w:pPr>
            <w:r>
              <w:rPr>
                <w:rFonts w:ascii="Arial" w:hAnsi="Arial" w:eastAsia="Arial" w:cs="Arial"/>
                <w:b w:val="0"/>
                <w:bCs w:val="0"/>
                <w:color w:val="1A1A2E"/>
                <w:sz w:val="19"/>
                <w:szCs w:val="19"/>
              </w:rPr>
              <w:t>0.0000</w:t>
            </w:r>
          </w:p>
        </w:tc>
        <w:tc>
          <w:tcPr>
            <w:tcW w:w="1000" w:type="pct"/>
            <w:shd w:val="solid" w:color="F0F4FF" w:fill="F0F4FF"/>
            <w:tcMar>
              <w:top w:w="80" w:type="dxa"/>
              <w:left w:w="100" w:type="dxa"/>
              <w:bottom w:w="80" w:type="dxa"/>
              <w:right w:w="100" w:type="dxa"/>
            </w:tcMar>
          </w:tcPr>
          <w:p w14:paraId="38C425AA">
            <w:pPr>
              <w:jc w:val="center"/>
            </w:pPr>
            <w:r>
              <w:rPr>
                <w:rFonts w:ascii="Arial" w:hAnsi="Arial" w:eastAsia="Arial" w:cs="Arial"/>
                <w:b/>
                <w:bCs/>
                <w:color w:val="1A7A6E"/>
                <w:sz w:val="19"/>
                <w:szCs w:val="19"/>
              </w:rPr>
              <w:t>✓ mSBERT wins</w:t>
            </w:r>
          </w:p>
        </w:tc>
        <w:tc>
          <w:tcPr>
            <w:tcW w:w="1000" w:type="pct"/>
            <w:shd w:val="solid" w:color="F0F4FF" w:fill="F0F4FF"/>
            <w:tcMar>
              <w:top w:w="80" w:type="dxa"/>
              <w:left w:w="100" w:type="dxa"/>
              <w:bottom w:w="80" w:type="dxa"/>
              <w:right w:w="100" w:type="dxa"/>
            </w:tcMar>
          </w:tcPr>
          <w:p w14:paraId="5020E9C2">
            <w:pPr>
              <w:jc w:val="center"/>
            </w:pPr>
            <w:r>
              <w:rPr>
                <w:rFonts w:ascii="Arial" w:hAnsi="Arial" w:eastAsia="Arial" w:cs="Arial"/>
                <w:b w:val="0"/>
                <w:bCs w:val="0"/>
                <w:color w:val="1A1A2E"/>
                <w:sz w:val="19"/>
                <w:szCs w:val="19"/>
              </w:rPr>
              <w:t>Small but significant</w:t>
            </w:r>
          </w:p>
        </w:tc>
      </w:tr>
      <w:tr w14:paraId="7336C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pct"/>
            <w:shd w:val="solid" w:color="FFFFFF" w:fill="FFFFFF"/>
            <w:tcMar>
              <w:top w:w="80" w:type="dxa"/>
              <w:left w:w="100" w:type="dxa"/>
              <w:bottom w:w="80" w:type="dxa"/>
              <w:right w:w="100" w:type="dxa"/>
            </w:tcMar>
          </w:tcPr>
          <w:p w14:paraId="6C282658">
            <w:pPr>
              <w:jc w:val="center"/>
            </w:pPr>
            <w:r>
              <w:rPr>
                <w:rFonts w:ascii="Arial" w:hAnsi="Arial" w:eastAsia="Arial" w:cs="Arial"/>
                <w:b w:val="0"/>
                <w:bCs w:val="0"/>
                <w:color w:val="1A1A2E"/>
                <w:sz w:val="19"/>
                <w:szCs w:val="19"/>
              </w:rPr>
              <w:t>OVERALL</w:t>
            </w:r>
          </w:p>
        </w:tc>
        <w:tc>
          <w:tcPr>
            <w:tcW w:w="1000" w:type="pct"/>
            <w:shd w:val="solid" w:color="FFFFFF" w:fill="FFFFFF"/>
            <w:tcMar>
              <w:top w:w="80" w:type="dxa"/>
              <w:left w:w="100" w:type="dxa"/>
              <w:bottom w:w="80" w:type="dxa"/>
              <w:right w:w="100" w:type="dxa"/>
            </w:tcMar>
          </w:tcPr>
          <w:p w14:paraId="60E61CFC">
            <w:pPr>
              <w:jc w:val="center"/>
            </w:pPr>
            <w:r>
              <w:rPr>
                <w:rFonts w:ascii="Arial" w:hAnsi="Arial" w:eastAsia="Arial" w:cs="Arial"/>
                <w:b w:val="0"/>
                <w:bCs w:val="0"/>
                <w:color w:val="1A1A2E"/>
                <w:sz w:val="19"/>
                <w:szCs w:val="19"/>
              </w:rPr>
              <w:t>Score Tally</w:t>
            </w:r>
          </w:p>
        </w:tc>
        <w:tc>
          <w:tcPr>
            <w:tcW w:w="650" w:type="pct"/>
            <w:shd w:val="solid" w:color="FFFFFF" w:fill="FFFFFF"/>
            <w:tcMar>
              <w:top w:w="80" w:type="dxa"/>
              <w:left w:w="100" w:type="dxa"/>
              <w:bottom w:w="80" w:type="dxa"/>
              <w:right w:w="100" w:type="dxa"/>
            </w:tcMar>
          </w:tcPr>
          <w:p w14:paraId="5329C809">
            <w:pPr>
              <w:jc w:val="center"/>
            </w:pPr>
            <w:r>
              <w:rPr>
                <w:rFonts w:ascii="Arial" w:hAnsi="Arial" w:eastAsia="Arial" w:cs="Arial"/>
                <w:b w:val="0"/>
                <w:bCs w:val="0"/>
                <w:color w:val="1A1A2E"/>
                <w:sz w:val="19"/>
                <w:szCs w:val="19"/>
              </w:rPr>
              <w:t>4 wins</w:t>
            </w:r>
          </w:p>
        </w:tc>
        <w:tc>
          <w:tcPr>
            <w:tcW w:w="650" w:type="pct"/>
            <w:shd w:val="solid" w:color="FFFFFF" w:fill="FFFFFF"/>
            <w:tcMar>
              <w:top w:w="80" w:type="dxa"/>
              <w:left w:w="100" w:type="dxa"/>
              <w:bottom w:w="80" w:type="dxa"/>
              <w:right w:w="100" w:type="dxa"/>
            </w:tcMar>
          </w:tcPr>
          <w:p w14:paraId="385460B2">
            <w:pPr>
              <w:jc w:val="center"/>
            </w:pPr>
            <w:r>
              <w:rPr>
                <w:rFonts w:ascii="Arial" w:hAnsi="Arial" w:eastAsia="Arial" w:cs="Arial"/>
                <w:b w:val="0"/>
                <w:bCs w:val="0"/>
                <w:color w:val="1A1A2E"/>
                <w:sz w:val="19"/>
                <w:szCs w:val="19"/>
              </w:rPr>
              <w:t>5 wins</w:t>
            </w:r>
          </w:p>
        </w:tc>
        <w:tc>
          <w:tcPr>
            <w:tcW w:w="1000" w:type="pct"/>
            <w:shd w:val="solid" w:color="FFFFFF" w:fill="FFFFFF"/>
            <w:tcMar>
              <w:top w:w="80" w:type="dxa"/>
              <w:left w:w="100" w:type="dxa"/>
              <w:bottom w:w="80" w:type="dxa"/>
              <w:right w:w="100" w:type="dxa"/>
            </w:tcMar>
          </w:tcPr>
          <w:p w14:paraId="51F9EC4C">
            <w:pPr>
              <w:jc w:val="center"/>
            </w:pPr>
            <w:r>
              <w:rPr>
                <w:rFonts w:ascii="Arial" w:hAnsi="Arial" w:eastAsia="Arial" w:cs="Arial"/>
                <w:b/>
                <w:bCs/>
                <w:color w:val="C0392B"/>
                <w:sz w:val="19"/>
                <w:szCs w:val="19"/>
              </w:rPr>
              <w:t>✓ LaBSE wins</w:t>
            </w:r>
          </w:p>
        </w:tc>
        <w:tc>
          <w:tcPr>
            <w:tcW w:w="1000" w:type="pct"/>
            <w:shd w:val="solid" w:color="FFFFFF" w:fill="FFFFFF"/>
            <w:tcMar>
              <w:top w:w="80" w:type="dxa"/>
              <w:left w:w="100" w:type="dxa"/>
              <w:bottom w:w="80" w:type="dxa"/>
              <w:right w:w="100" w:type="dxa"/>
            </w:tcMar>
          </w:tcPr>
          <w:p w14:paraId="57DED4DC">
            <w:pPr>
              <w:jc w:val="center"/>
            </w:pPr>
            <w:r>
              <w:rPr>
                <w:rFonts w:ascii="Arial" w:hAnsi="Arial" w:eastAsia="Arial" w:cs="Arial"/>
                <w:b w:val="0"/>
                <w:bCs w:val="0"/>
                <w:color w:val="1A1A2E"/>
                <w:sz w:val="19"/>
                <w:szCs w:val="19"/>
              </w:rPr>
              <w:t>Narrow</w:t>
            </w:r>
          </w:p>
        </w:tc>
      </w:tr>
    </w:tbl>
    <w:p w14:paraId="3893F808">
      <w:pPr>
        <w:spacing w:before="60" w:after="60"/>
      </w:pPr>
    </w:p>
    <w:p w14:paraId="02CE1D06">
      <w:pPr>
        <w:pStyle w:val="3"/>
        <w:spacing w:before="300" w:after="160"/>
      </w:pPr>
      <w:r>
        <w:rPr>
          <w:rFonts w:ascii="Arial" w:hAnsi="Arial" w:eastAsia="Arial" w:cs="Arial"/>
          <w:b/>
          <w:bCs/>
          <w:color w:val="2A5298"/>
          <w:sz w:val="26"/>
          <w:szCs w:val="26"/>
        </w:rPr>
        <w:t>7.2 Overall Winner: LaBSE</w:t>
      </w:r>
    </w:p>
    <w:p w14:paraId="34A187C3">
      <w:pPr>
        <w:spacing w:before="80" w:after="120"/>
        <w:jc w:val="both"/>
      </w:pPr>
      <w:r>
        <w:rPr>
          <w:rFonts w:ascii="Arial" w:hAnsi="Arial" w:eastAsia="Arial" w:cs="Arial"/>
          <w:sz w:val="22"/>
          <w:szCs w:val="22"/>
        </w:rPr>
        <w:t>LaBSE wins the overall comparison by 5 metrics to 4. The verdict is narrow rather than decisive, reflecting that the two models have genuinely different strengths that suit different sub-tasks.</w:t>
      </w:r>
    </w:p>
    <w:p w14:paraId="74F496C9">
      <w:pPr>
        <w:spacing w:before="60" w:after="60"/>
      </w:pPr>
    </w:p>
    <w:p w14:paraId="5A9036B7">
      <w:pPr>
        <w:pStyle w:val="16"/>
        <w:numPr>
          <w:ilvl w:val="0"/>
          <w:numId w:val="1"/>
        </w:numPr>
        <w:spacing w:before="60" w:after="60"/>
      </w:pPr>
      <w:r>
        <w:rPr>
          <w:rFonts w:ascii="Arial" w:hAnsi="Arial" w:eastAsia="Arial" w:cs="Arial"/>
          <w:b/>
          <w:bCs/>
          <w:sz w:val="22"/>
          <w:szCs w:val="22"/>
        </w:rPr>
        <w:t xml:space="preserve">LaBSE is better at: </w:t>
      </w:r>
      <w:r>
        <w:rPr>
          <w:rFonts w:ascii="Arial" w:hAnsi="Arial" w:eastAsia="Arial" w:cs="Arial"/>
          <w:sz w:val="22"/>
          <w:szCs w:val="22"/>
        </w:rPr>
        <w:t>retrieving the correct idiom match from a pool of candidates (all four retrieval metrics) and producing better-separated clusters (silhouette). Its cross-lingual embedding space is more genuinely language-agnostic, mixing Bengali and English/Hindi idioms together rather than keeping them in separate language blobs.</w:t>
      </w:r>
    </w:p>
    <w:p w14:paraId="74C2605A">
      <w:pPr>
        <w:pStyle w:val="16"/>
        <w:numPr>
          <w:ilvl w:val="0"/>
          <w:numId w:val="1"/>
        </w:numPr>
        <w:spacing w:before="60" w:after="60"/>
      </w:pPr>
      <w:r>
        <w:rPr>
          <w:rFonts w:ascii="Arial" w:hAnsi="Arial" w:eastAsia="Arial" w:cs="Arial"/>
          <w:b/>
          <w:bCs/>
          <w:sz w:val="22"/>
          <w:szCs w:val="22"/>
        </w:rPr>
        <w:t xml:space="preserve">mSBERT is better at: </w:t>
      </w:r>
      <w:r>
        <w:rPr>
          <w:rFonts w:ascii="Arial" w:hAnsi="Arial" w:eastAsia="Arial" w:cs="Arial"/>
          <w:sz w:val="22"/>
          <w:szCs w:val="22"/>
        </w:rPr>
        <w:t>assigning high similarity scores to known same-meaning pairs (both language pairs), producing pure single-language clusters, and achieving non-zero triplet cohesion. Its paraphrase-based training gives it stronger raw confidence about what 'similar meaning' looks like.</w:t>
      </w:r>
    </w:p>
    <w:p w14:paraId="11AFF5F1">
      <w:pPr>
        <w:spacing w:before="60" w:after="60"/>
      </w:pPr>
    </w:p>
    <w:p w14:paraId="3BF41827">
      <w:pPr>
        <w:pStyle w:val="3"/>
        <w:spacing w:before="300" w:after="160"/>
      </w:pPr>
      <w:r>
        <w:rPr>
          <w:rFonts w:ascii="Arial" w:hAnsi="Arial" w:eastAsia="Arial" w:cs="Arial"/>
          <w:b/>
          <w:bCs/>
          <w:color w:val="2A5298"/>
          <w:sz w:val="26"/>
          <w:szCs w:val="26"/>
        </w:rPr>
        <w:t>7.3 Interpreting the bn-hi Results Specifically</w:t>
      </w:r>
    </w:p>
    <w:p w14:paraId="5A28AABF">
      <w:pPr>
        <w:spacing w:before="80" w:after="120"/>
        <w:jc w:val="both"/>
      </w:pPr>
      <w:r>
        <w:rPr>
          <w:rFonts w:ascii="Arial" w:hAnsi="Arial" w:eastAsia="Arial" w:cs="Arial"/>
          <w:sz w:val="22"/>
          <w:szCs w:val="22"/>
        </w:rPr>
        <w:t>The Bengali–Hindi results reveal an important linguistic pattern. mSBERT scores 0.547 for bn-hi — higher than its own 0.438 for bn-en. This is linguistically meaningful: Bengali and Hindi are both Indo-Aryan languages sharing a common Sanskrit ancestor, similar grammatical structures, and overlapping cultural contexts. mSBERT's training on paraphrase data appears to have captured this Indo-Aryan family similarity.</w:t>
      </w:r>
    </w:p>
    <w:p w14:paraId="4438A129">
      <w:pPr>
        <w:spacing w:before="60" w:after="60"/>
      </w:pPr>
    </w:p>
    <w:p w14:paraId="171BA069">
      <w:pPr>
        <w:spacing w:before="80" w:after="120"/>
        <w:jc w:val="both"/>
      </w:pPr>
      <w:r>
        <w:rPr>
          <w:rFonts w:ascii="Arial" w:hAnsi="Arial" w:eastAsia="Arial" w:cs="Arial"/>
          <w:sz w:val="22"/>
          <w:szCs w:val="22"/>
        </w:rPr>
        <w:t>LaBSE scores lower for bn-hi (0.310) than bn-en (0.388), which is surprising. One explanation is that LaBSE's training corpus likely contained more Bengali–English parallel data (from CommonCrawl and Wikipedia) than Bengali–Hindi parallel data, making it less calibrated for this specific language pair. This is a known limitation of models trained primarily on web-crawled data.</w:t>
      </w:r>
    </w:p>
    <w:p w14:paraId="7DEF787C">
      <w:pPr>
        <w:spacing w:before="60" w:after="60"/>
      </w:pPr>
    </w:p>
    <w:p w14:paraId="682B0171">
      <w:pPr>
        <w:pStyle w:val="3"/>
        <w:spacing w:before="300" w:after="160"/>
      </w:pPr>
      <w:r>
        <w:rPr>
          <w:rFonts w:ascii="Arial" w:hAnsi="Arial" w:eastAsia="Arial" w:cs="Arial"/>
          <w:b/>
          <w:bCs/>
          <w:color w:val="2A5298"/>
          <w:sz w:val="26"/>
          <w:szCs w:val="26"/>
        </w:rPr>
        <w:t>7.4 Why Retrieval Scores Are Low — Important Context</w:t>
      </w:r>
    </w:p>
    <w:p w14:paraId="12B938E5">
      <w:pPr>
        <w:spacing w:before="80" w:after="120"/>
        <w:jc w:val="both"/>
      </w:pPr>
      <w:r>
        <w:rPr>
          <w:rFonts w:ascii="Arial" w:hAnsi="Arial" w:eastAsia="Arial" w:cs="Arial"/>
          <w:sz w:val="22"/>
          <w:szCs w:val="22"/>
        </w:rPr>
        <w:t>All retrieval scores are low in absolute value (below 0.1 for all metrics). This requires careful interpretation. The low scores do NOT mean the models fail — they reflect three structural properties of the evaluation setup:</w:t>
      </w:r>
    </w:p>
    <w:p w14:paraId="4D10095C">
      <w:pPr>
        <w:spacing w:before="60" w:after="60"/>
      </w:pPr>
    </w:p>
    <w:p w14:paraId="79B1E732">
      <w:pPr>
        <w:pStyle w:val="16"/>
        <w:numPr>
          <w:ilvl w:val="0"/>
          <w:numId w:val="1"/>
        </w:numPr>
        <w:spacing w:before="60" w:after="60"/>
      </w:pPr>
      <w:r>
        <w:rPr>
          <w:rFonts w:ascii="Arial" w:hAnsi="Arial" w:eastAsia="Arial" w:cs="Arial"/>
          <w:b/>
          <w:bCs/>
          <w:sz w:val="22"/>
          <w:szCs w:val="22"/>
        </w:rPr>
        <w:t xml:space="preserve">Pool size mismatch: </w:t>
      </w:r>
      <w:r>
        <w:rPr>
          <w:rFonts w:ascii="Arial" w:hAnsi="Arial" w:eastAsia="Arial" w:cs="Arial"/>
          <w:sz w:val="22"/>
          <w:szCs w:val="22"/>
        </w:rPr>
        <w:t>Bengali has 8,800 idioms but the English pool has ~500 and Hindi ~200. Most Bengali idioms have no true equivalent in the target pool, making retrieval inherently difficult.</w:t>
      </w:r>
    </w:p>
    <w:p w14:paraId="33D8D352">
      <w:pPr>
        <w:pStyle w:val="16"/>
        <w:numPr>
          <w:ilvl w:val="0"/>
          <w:numId w:val="1"/>
        </w:numPr>
        <w:spacing w:before="60" w:after="60"/>
      </w:pPr>
      <w:r>
        <w:rPr>
          <w:rFonts w:ascii="Arial" w:hAnsi="Arial" w:eastAsia="Arial" w:cs="Arial"/>
          <w:b/>
          <w:bCs/>
          <w:sz w:val="22"/>
          <w:szCs w:val="22"/>
        </w:rPr>
        <w:t xml:space="preserve">Ground truth sparsity: </w:t>
      </w:r>
      <w:r>
        <w:rPr>
          <w:rFonts w:ascii="Arial" w:hAnsi="Arial" w:eastAsia="Arial" w:cs="Arial"/>
          <w:sz w:val="22"/>
          <w:szCs w:val="22"/>
        </w:rPr>
        <w:t>Each query has exactly one correct answer in a pool of hundreds. Even a perfect model would not score 1.0 under these conditions.</w:t>
      </w:r>
    </w:p>
    <w:p w14:paraId="561602F9">
      <w:pPr>
        <w:pStyle w:val="16"/>
        <w:numPr>
          <w:ilvl w:val="0"/>
          <w:numId w:val="1"/>
        </w:numPr>
        <w:spacing w:before="60" w:after="60"/>
      </w:pPr>
      <w:r>
        <w:rPr>
          <w:rFonts w:ascii="Arial" w:hAnsi="Arial" w:eastAsia="Arial" w:cs="Arial"/>
          <w:b/>
          <w:bCs/>
          <w:sz w:val="22"/>
          <w:szCs w:val="22"/>
        </w:rPr>
        <w:t xml:space="preserve">Random baseline is near zero: </w:t>
      </w:r>
      <w:r>
        <w:rPr>
          <w:rFonts w:ascii="Arial" w:hAnsi="Arial" w:eastAsia="Arial" w:cs="Arial"/>
          <w:sz w:val="22"/>
          <w:szCs w:val="22"/>
        </w:rPr>
        <w:t>A model that returned random rankings would score approximately 1/pool_size ≈ 0.002 for MRR. Both models score above this baseline, confirming genuine learned alignment.</w:t>
      </w:r>
    </w:p>
    <w:p w14:paraId="7437E200">
      <w:pPr>
        <w:spacing w:before="60" w:after="60"/>
      </w:pPr>
    </w:p>
    <w:p w14:paraId="2A39FD01">
      <w:pPr>
        <w:spacing w:before="80" w:after="80"/>
        <w:ind w:left="360"/>
      </w:pPr>
      <w:r>
        <w:rPr>
          <w:rFonts w:ascii="Arial" w:hAnsi="Arial" w:eastAsia="Arial" w:cs="Arial"/>
          <w:i/>
          <w:iCs/>
          <w:color w:val="555555"/>
          <w:sz w:val="20"/>
          <w:szCs w:val="20"/>
        </w:rPr>
        <w:t>ℹ  The correct interpretation is: both models demonstrate statistically meaningful cross-lingual idiom retrieval ability beyond random chance, with LaBSE performing consistently better on this task.</w:t>
      </w:r>
    </w:p>
    <w:p w14:paraId="17D4A946">
      <w:pPr>
        <w:spacing w:before="60" w:after="60"/>
      </w:pPr>
    </w:p>
    <w:p w14:paraId="4E655E54">
      <w:pPr>
        <w:pStyle w:val="2"/>
        <w:pBdr>
          <w:bottom w:val="single" w:color="1A7A6E" w:sz="6" w:space="4"/>
        </w:pBdr>
        <w:spacing w:before="400" w:after="200"/>
      </w:pPr>
      <w:r>
        <w:rPr>
          <w:rFonts w:ascii="Arial" w:hAnsi="Arial" w:eastAsia="Arial" w:cs="Arial"/>
          <w:b/>
          <w:bCs/>
          <w:color w:val="1A1A2E"/>
          <w:sz w:val="34"/>
          <w:szCs w:val="34"/>
        </w:rPr>
        <w:t>8. Limitations and Future Work</w:t>
      </w:r>
    </w:p>
    <w:p w14:paraId="4D3D2DB7">
      <w:pPr>
        <w:pStyle w:val="3"/>
        <w:spacing w:before="300" w:after="160"/>
      </w:pPr>
      <w:r>
        <w:rPr>
          <w:rFonts w:ascii="Arial" w:hAnsi="Arial" w:eastAsia="Arial" w:cs="Arial"/>
          <w:b/>
          <w:bCs/>
          <w:color w:val="2A5298"/>
          <w:sz w:val="26"/>
          <w:szCs w:val="26"/>
        </w:rPr>
        <w:t>8.1 Current Limitations</w:t>
      </w:r>
    </w:p>
    <w:p w14:paraId="66A6C954">
      <w:pPr>
        <w:pStyle w:val="16"/>
        <w:numPr>
          <w:ilvl w:val="0"/>
          <w:numId w:val="1"/>
        </w:numPr>
        <w:spacing w:before="60" w:after="60"/>
      </w:pPr>
      <w:r>
        <w:rPr>
          <w:rFonts w:ascii="Arial" w:hAnsi="Arial" w:eastAsia="Arial" w:cs="Arial"/>
          <w:b/>
          <w:bCs/>
          <w:sz w:val="22"/>
          <w:szCs w:val="22"/>
        </w:rPr>
        <w:t xml:space="preserve">Dataset imbalance: </w:t>
      </w:r>
      <w:r>
        <w:rPr>
          <w:rFonts w:ascii="Arial" w:hAnsi="Arial" w:eastAsia="Arial" w:cs="Arial"/>
          <w:sz w:val="22"/>
          <w:szCs w:val="22"/>
        </w:rPr>
        <w:t>Bengali (8,800) &gt;&gt; English (~500) &gt;&gt; Hindi (~200). This imbalance affects all three tasks and particularly dominates the clustering results.</w:t>
      </w:r>
    </w:p>
    <w:p w14:paraId="55D194AA">
      <w:pPr>
        <w:pStyle w:val="16"/>
        <w:numPr>
          <w:ilvl w:val="0"/>
          <w:numId w:val="1"/>
        </w:numPr>
        <w:spacing w:before="60" w:after="60"/>
      </w:pPr>
      <w:r>
        <w:rPr>
          <w:rFonts w:ascii="Arial" w:hAnsi="Arial" w:eastAsia="Arial" w:cs="Arial"/>
          <w:b/>
          <w:bCs/>
          <w:sz w:val="22"/>
          <w:szCs w:val="22"/>
        </w:rPr>
        <w:t xml:space="preserve">Ground truth quality: </w:t>
      </w:r>
      <w:r>
        <w:rPr>
          <w:rFonts w:ascii="Arial" w:hAnsi="Arial" w:eastAsia="Arial" w:cs="Arial"/>
          <w:sz w:val="22"/>
          <w:szCs w:val="22"/>
        </w:rPr>
        <w:t>Triplet alignment uses automated keyword overlap which is imperfect. Some pairs may be mismatched. Human annotation of 200–300 triplets would strengthen the evaluation significantly.</w:t>
      </w:r>
    </w:p>
    <w:p w14:paraId="10F30782">
      <w:pPr>
        <w:pStyle w:val="16"/>
        <w:numPr>
          <w:ilvl w:val="0"/>
          <w:numId w:val="1"/>
        </w:numPr>
        <w:spacing w:before="60" w:after="60"/>
      </w:pPr>
      <w:r>
        <w:rPr>
          <w:rFonts w:ascii="Arial" w:hAnsi="Arial" w:eastAsia="Arial" w:cs="Arial"/>
          <w:b/>
          <w:bCs/>
          <w:sz w:val="22"/>
          <w:szCs w:val="22"/>
        </w:rPr>
        <w:t xml:space="preserve">No fine-tuning: </w:t>
      </w:r>
      <w:r>
        <w:rPr>
          <w:rFonts w:ascii="Arial" w:hAnsi="Arial" w:eastAsia="Arial" w:cs="Arial"/>
          <w:sz w:val="22"/>
          <w:szCs w:val="22"/>
        </w:rPr>
        <w:t>Both models were used off-the-shelf without any domain adaptation. Fine-tuning on a small verified set of Bengali–English idiom pairs could substantially improve performance.</w:t>
      </w:r>
    </w:p>
    <w:p w14:paraId="65DC056A">
      <w:pPr>
        <w:pStyle w:val="16"/>
        <w:numPr>
          <w:ilvl w:val="0"/>
          <w:numId w:val="1"/>
        </w:numPr>
        <w:spacing w:before="60" w:after="60"/>
      </w:pPr>
      <w:r>
        <w:rPr>
          <w:rFonts w:ascii="Arial" w:hAnsi="Arial" w:eastAsia="Arial" w:cs="Arial"/>
          <w:b/>
          <w:bCs/>
          <w:sz w:val="22"/>
          <w:szCs w:val="22"/>
        </w:rPr>
        <w:t xml:space="preserve">bn-hi pairs limited by Hindi data: </w:t>
      </w:r>
      <w:r>
        <w:rPr>
          <w:rFonts w:ascii="Arial" w:hAnsi="Arial" w:eastAsia="Arial" w:cs="Arial"/>
          <w:sz w:val="22"/>
          <w:szCs w:val="22"/>
        </w:rPr>
        <w:t>The 4,096 bn-hi pairs were generated from a relatively small Hindi dataset. More Hindi idiom data with English-language meaning descriptions would improve coverage.</w:t>
      </w:r>
    </w:p>
    <w:p w14:paraId="2B066133">
      <w:pPr>
        <w:pStyle w:val="16"/>
        <w:numPr>
          <w:ilvl w:val="0"/>
          <w:numId w:val="1"/>
        </w:numPr>
        <w:spacing w:before="60" w:after="60"/>
      </w:pPr>
      <w:r>
        <w:rPr>
          <w:rFonts w:ascii="Arial" w:hAnsi="Arial" w:eastAsia="Arial" w:cs="Arial"/>
          <w:b/>
          <w:bCs/>
          <w:sz w:val="22"/>
          <w:szCs w:val="22"/>
        </w:rPr>
        <w:t xml:space="preserve">Triplet cohesion near zero: </w:t>
      </w:r>
      <w:r>
        <w:rPr>
          <w:rFonts w:ascii="Arial" w:hAnsi="Arial" w:eastAsia="Arial" w:cs="Arial"/>
          <w:sz w:val="22"/>
          <w:szCs w:val="22"/>
        </w:rPr>
        <w:t>Only mSBERT achieves non-zero cohesion (1.15%). True three-way co-clustering remains a future challenge.</w:t>
      </w:r>
    </w:p>
    <w:p w14:paraId="11AD18A9">
      <w:pPr>
        <w:spacing w:before="60" w:after="60"/>
      </w:pPr>
    </w:p>
    <w:p w14:paraId="16592DDA">
      <w:pPr>
        <w:pStyle w:val="3"/>
        <w:spacing w:before="300" w:after="160"/>
      </w:pPr>
      <w:r>
        <w:rPr>
          <w:rFonts w:ascii="Arial" w:hAnsi="Arial" w:eastAsia="Arial" w:cs="Arial"/>
          <w:b/>
          <w:bCs/>
          <w:color w:val="2A5298"/>
          <w:sz w:val="26"/>
          <w:szCs w:val="26"/>
        </w:rPr>
        <w:t>8.2 Future Work</w:t>
      </w:r>
    </w:p>
    <w:p w14:paraId="76AB0EEE">
      <w:pPr>
        <w:pStyle w:val="16"/>
        <w:numPr>
          <w:ilvl w:val="0"/>
          <w:numId w:val="1"/>
        </w:numPr>
        <w:spacing w:before="60" w:after="60"/>
      </w:pPr>
      <w:r>
        <w:rPr>
          <w:rFonts w:ascii="Arial" w:hAnsi="Arial" w:eastAsia="Arial" w:cs="Arial"/>
          <w:b/>
          <w:bCs/>
          <w:sz w:val="22"/>
          <w:szCs w:val="22"/>
        </w:rPr>
        <w:t xml:space="preserve">Expand Hindi dataset: </w:t>
      </w:r>
      <w:r>
        <w:rPr>
          <w:rFonts w:ascii="Arial" w:hAnsi="Arial" w:eastAsia="Arial" w:cs="Arial"/>
          <w:sz w:val="22"/>
          <w:szCs w:val="22"/>
        </w:rPr>
        <w:t>Collecting 1,000+ Hindi idioms with English-language figurative meanings would enable much richer bn-hi evaluation.</w:t>
      </w:r>
    </w:p>
    <w:p w14:paraId="42C108DD">
      <w:pPr>
        <w:pStyle w:val="16"/>
        <w:numPr>
          <w:ilvl w:val="0"/>
          <w:numId w:val="1"/>
        </w:numPr>
        <w:spacing w:before="60" w:after="60"/>
      </w:pPr>
      <w:r>
        <w:rPr>
          <w:rFonts w:ascii="Arial" w:hAnsi="Arial" w:eastAsia="Arial" w:cs="Arial"/>
          <w:b/>
          <w:bCs/>
          <w:sz w:val="22"/>
          <w:szCs w:val="22"/>
        </w:rPr>
        <w:t xml:space="preserve">Human annotation: </w:t>
      </w:r>
      <w:r>
        <w:rPr>
          <w:rFonts w:ascii="Arial" w:hAnsi="Arial" w:eastAsia="Arial" w:cs="Arial"/>
          <w:sz w:val="22"/>
          <w:szCs w:val="22"/>
        </w:rPr>
        <w:t>Manually verify 200–300 triplets and use these as a gold standard evaluation set for more reliable metric computation.</w:t>
      </w:r>
    </w:p>
    <w:p w14:paraId="5606B903">
      <w:pPr>
        <w:pStyle w:val="16"/>
        <w:numPr>
          <w:ilvl w:val="0"/>
          <w:numId w:val="1"/>
        </w:numPr>
        <w:spacing w:before="60" w:after="60"/>
      </w:pPr>
      <w:r>
        <w:rPr>
          <w:rFonts w:ascii="Arial" w:hAnsi="Arial" w:eastAsia="Arial" w:cs="Arial"/>
          <w:b/>
          <w:bCs/>
          <w:sz w:val="22"/>
          <w:szCs w:val="22"/>
        </w:rPr>
        <w:t xml:space="preserve">Fine-tune on idiom data: </w:t>
      </w:r>
      <w:r>
        <w:rPr>
          <w:rFonts w:ascii="Arial" w:hAnsi="Arial" w:eastAsia="Arial" w:cs="Arial"/>
          <w:sz w:val="22"/>
          <w:szCs w:val="22"/>
        </w:rPr>
        <w:t>Use contrastive learning to fine-tune either model on verified Bengali–English–Hindi idiom triplets.</w:t>
      </w:r>
    </w:p>
    <w:p w14:paraId="03B7CBEF">
      <w:pPr>
        <w:pStyle w:val="16"/>
        <w:numPr>
          <w:ilvl w:val="0"/>
          <w:numId w:val="1"/>
        </w:numPr>
        <w:spacing w:before="60" w:after="60"/>
      </w:pPr>
      <w:r>
        <w:rPr>
          <w:rFonts w:ascii="Arial" w:hAnsi="Arial" w:eastAsia="Arial" w:cs="Arial"/>
          <w:b/>
          <w:bCs/>
          <w:sz w:val="22"/>
          <w:szCs w:val="22"/>
        </w:rPr>
        <w:t xml:space="preserve">Add more languages: </w:t>
      </w:r>
      <w:r>
        <w:rPr>
          <w:rFonts w:ascii="Arial" w:hAnsi="Arial" w:eastAsia="Arial" w:cs="Arial"/>
          <w:sz w:val="22"/>
          <w:szCs w:val="22"/>
        </w:rPr>
        <w:t>Extend to other South Asian languages such as Urdu, Odia, or Tamil using the same framework.</w:t>
      </w:r>
    </w:p>
    <w:p w14:paraId="0ADD9C7A">
      <w:pPr>
        <w:pStyle w:val="16"/>
        <w:numPr>
          <w:ilvl w:val="0"/>
          <w:numId w:val="1"/>
        </w:numPr>
        <w:spacing w:before="60" w:after="60"/>
      </w:pPr>
      <w:r>
        <w:rPr>
          <w:rFonts w:ascii="Arial" w:hAnsi="Arial" w:eastAsia="Arial" w:cs="Arial"/>
          <w:b/>
          <w:bCs/>
          <w:sz w:val="22"/>
          <w:szCs w:val="22"/>
        </w:rPr>
        <w:t xml:space="preserve">Sentence-level evaluation: </w:t>
      </w:r>
      <w:r>
        <w:rPr>
          <w:rFonts w:ascii="Arial" w:hAnsi="Arial" w:eastAsia="Arial" w:cs="Arial"/>
          <w:sz w:val="22"/>
          <w:szCs w:val="22"/>
        </w:rPr>
        <w:t>Test models on idioms embedded in full sentences rather than isolated idiom phrases.</w:t>
      </w:r>
    </w:p>
    <w:p w14:paraId="0FF324EB">
      <w:pPr>
        <w:spacing w:before="60" w:after="60"/>
      </w:pPr>
    </w:p>
    <w:p w14:paraId="6CFEFDDA">
      <w:pPr>
        <w:pStyle w:val="2"/>
        <w:pBdr>
          <w:bottom w:val="single" w:color="1A7A6E" w:sz="6" w:space="4"/>
        </w:pBdr>
        <w:spacing w:before="400" w:after="200"/>
      </w:pPr>
      <w:r>
        <w:rPr>
          <w:rFonts w:ascii="Arial" w:hAnsi="Arial" w:eastAsia="Arial" w:cs="Arial"/>
          <w:b/>
          <w:bCs/>
          <w:color w:val="1A1A2E"/>
          <w:sz w:val="34"/>
          <w:szCs w:val="34"/>
        </w:rPr>
        <w:t>9. Conclusion</w:t>
      </w:r>
    </w:p>
    <w:p w14:paraId="39A3FC38">
      <w:pPr>
        <w:spacing w:before="80" w:after="120"/>
        <w:jc w:val="both"/>
      </w:pPr>
      <w:r>
        <w:rPr>
          <w:rFonts w:ascii="Arial" w:hAnsi="Arial" w:eastAsia="Arial" w:cs="Arial"/>
          <w:sz w:val="22"/>
          <w:szCs w:val="22"/>
        </w:rPr>
        <w:t>This project successfully demonstrated that off-the-shelf multilingual sentence embedding models can identify semantically equivalent idioms across Bengali, English, and Hindi without any translation system. Both mSBERT and LaBSE achieved measurable cross-lingual idiom alignment, with performance clearly above random baselines across similarity scoring, retrieval, and clustering tasks.</w:t>
      </w:r>
    </w:p>
    <w:p w14:paraId="3E2030FB">
      <w:pPr>
        <w:spacing w:before="60" w:after="60"/>
      </w:pPr>
    </w:p>
    <w:p w14:paraId="084FA6D9">
      <w:pPr>
        <w:spacing w:before="80" w:after="120"/>
        <w:jc w:val="both"/>
      </w:pPr>
      <w:r>
        <w:rPr>
          <w:rFonts w:ascii="Arial" w:hAnsi="Arial" w:eastAsia="Arial" w:cs="Arial"/>
          <w:sz w:val="22"/>
          <w:szCs w:val="22"/>
        </w:rPr>
        <w:t>LaBSE emerges as the overall winner (5 metrics vs 4), performing better on retrieval and clustering separation — the tasks most relevant to real-world cross-lingual idiom search. Its language-agnostic training objective produces an embedding space where Bengali, English, and Hindi idioms with shared meanings genuinely co-occupy similar regions, as confirmed visually by the clustering plots.</w:t>
      </w:r>
    </w:p>
    <w:p w14:paraId="07C6C348">
      <w:pPr>
        <w:spacing w:before="60" w:after="60"/>
      </w:pPr>
    </w:p>
    <w:p w14:paraId="6E3A8F29">
      <w:pPr>
        <w:spacing w:before="80" w:after="120"/>
        <w:jc w:val="both"/>
      </w:pPr>
      <w:r>
        <w:rPr>
          <w:rFonts w:ascii="Arial" w:hAnsi="Arial" w:eastAsia="Arial" w:cs="Arial"/>
          <w:sz w:val="22"/>
          <w:szCs w:val="22"/>
        </w:rPr>
        <w:t>mSBERT, while losing overall, shows competitive performance and wins decisively on similarity scoring — particularly for Bengali–Hindi pairs where it achieves a mean cosine of 0.547, reflecting its stronger sensitivity to the Indo-Aryan linguistic relationship between Bengali and Hindi. mSBERT also achieves non-zero triplet cohesion (1.15%), demonstrating occasional genuine three-way cross-lingual alignment.</w:t>
      </w:r>
    </w:p>
    <w:p w14:paraId="346AB93B">
      <w:pPr>
        <w:spacing w:before="60" w:after="60"/>
      </w:pPr>
    </w:p>
    <w:p w14:paraId="67BB62D2">
      <w:pPr>
        <w:spacing w:before="80" w:after="120"/>
        <w:jc w:val="both"/>
      </w:pPr>
      <w:r>
        <w:rPr>
          <w:rFonts w:ascii="Arial" w:hAnsi="Arial" w:eastAsia="Arial" w:cs="Arial"/>
          <w:sz w:val="22"/>
          <w:szCs w:val="22"/>
        </w:rPr>
        <w:t>The key academic contribution of this project is the empirical demonstration that figurative language alignment across low-resource language pairs (Bengali–Hindi) is achievable with no translation, no manual feature engineering, and no task-specific training — using only publicly available pretrained multilingual models applied to a carefully constructed cross-lingual idiom dataset.</w:t>
      </w:r>
    </w:p>
    <w:p w14:paraId="184C8707">
      <w:pPr>
        <w:spacing w:before="60" w:after="60"/>
      </w:pPr>
    </w:p>
    <w:p w14:paraId="767453E4">
      <w:pPr>
        <w:spacing w:before="60" w:after="60"/>
      </w:pPr>
      <w:bookmarkStart w:id="0" w:name="_GoBack"/>
      <w:bookmarkEnd w:id="0"/>
    </w:p>
    <w:sectPr>
      <w:footerReference r:id="rId3" w:type="default"/>
      <w:pgSz w:w="11906" w:h="16838"/>
      <w:pgMar w:top="1200" w:right="1200" w:bottom="120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Kalpurush">
    <w:panose1 w:val="02000600000000000000"/>
    <w:charset w:val="00"/>
    <w:family w:val="auto"/>
    <w:pitch w:val="default"/>
    <w:sig w:usb0="00010000" w:usb1="00000000" w:usb2="00000000" w:usb3="00000000" w:csb0="00000001" w:csb1="00000000"/>
  </w:font>
  <w:font w:name="Nirmala Text">
    <w:panose1 w:val="020B0502040204020203"/>
    <w:charset w:val="00"/>
    <w:family w:val="auto"/>
    <w:pitch w:val="default"/>
    <w:sig w:usb0="80FF8023" w:usb1="0200004A" w:usb2="00000200" w:usb3="0004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CB8630">
    <w:pPr>
      <w:jc w:val="center"/>
    </w:pPr>
    <w:r>
      <w:rPr>
        <w:rFonts w:ascii="Arial" w:hAnsi="Arial" w:eastAsia="Arial" w:cs="Arial"/>
        <w:color w:val="888888"/>
        <w:sz w:val="18"/>
        <w:szCs w:val="18"/>
      </w:rPr>
      <w:t xml:space="preserve">MSc Project — Cross-Lingual Bengali Idiom Matching  |  Page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PAGE</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425A586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519</Words>
  <Characters>3157</Characters>
  <TotalTime>1</TotalTime>
  <ScaleCrop>false</ScaleCrop>
  <LinksUpToDate>false</LinksUpToDate>
  <CharactersWithSpaces>3631</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2026-05-06T05:33:00Z</dcterms:created>
  <dc:creator>Un-named</dc:creator>
  <cp:lastModifiedBy>sohamdas cs2</cp:lastModifiedBy>
  <dcterms:modified xsi:type="dcterms:W3CDTF">2026-05-06T05:35:45Z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eyJoZGlkIjoiNDE2Mzk2Yjg3NGI1ZjcyNTE3NjQ0MjU0MmZkNWE1ODciLCJ1c2VySWQiOiI1NjczNjU3ODMwMjAifQ==</vt:lpwstr>
  </property>
  <property fmtid="{D5CDD505-2E9C-101B-9397-08002B2CF9AE}" pid="3" name="KSOProductBuildVer">
    <vt:lpwstr>1033-12.1.0.25862</vt:lpwstr>
  </property>
  <property fmtid="{D5CDD505-2E9C-101B-9397-08002B2CF9AE}" pid="4" name="ICV">
    <vt:lpwstr>A9B70DA229694CBFB1871F3167DA0C49_12</vt:lpwstr>
  </property>
</Properties>
</file>