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AC177">
      <w:pPr>
        <w:spacing w:before="1440" w:after="200"/>
        <w:jc w:val="center"/>
      </w:pPr>
      <w:bookmarkStart w:id="0" w:name="_GoBack"/>
      <w:bookmarkEnd w:id="0"/>
      <w:r>
        <w:rPr>
          <w:rFonts w:ascii="Arial" w:hAnsi="Arial" w:eastAsia="Arial" w:cs="Arial"/>
          <w:color w:val="888888"/>
          <w:sz w:val="28"/>
          <w:szCs w:val="28"/>
        </w:rPr>
        <w:t>Project Report</w:t>
      </w:r>
    </w:p>
    <w:p w14:paraId="334A82B9">
      <w:pPr>
        <w:spacing w:before="200" w:after="200"/>
        <w:jc w:val="center"/>
      </w:pPr>
      <w:r>
        <w:rPr>
          <w:rFonts w:ascii="Arial" w:hAnsi="Arial" w:eastAsia="Arial" w:cs="Arial"/>
          <w:b/>
          <w:bCs/>
          <w:color w:val="1A1A2E"/>
          <w:sz w:val="52"/>
          <w:szCs w:val="52"/>
        </w:rPr>
        <w:t>Cross-Lingual Bengali Idiom Matching</w:t>
      </w:r>
    </w:p>
    <w:p w14:paraId="7A7F5064">
      <w:pPr>
        <w:spacing w:before="100" w:after="600"/>
        <w:jc w:val="center"/>
      </w:pPr>
      <w:r>
        <w:rPr>
          <w:rFonts w:ascii="Arial" w:hAnsi="Arial" w:eastAsia="Arial" w:cs="Arial"/>
          <w:color w:val="2A5298"/>
          <w:sz w:val="30"/>
          <w:szCs w:val="30"/>
        </w:rPr>
        <w:t>Using Multilingual Sentence Embeddings Without Translation</w:t>
      </w:r>
    </w:p>
    <w:p w14:paraId="19E905FD">
      <w:pPr>
        <w:spacing w:before="100" w:after="1440"/>
        <w:jc w:val="center"/>
      </w:pPr>
      <w:r>
        <w:rPr>
          <w:rFonts w:ascii="Arial" w:hAnsi="Arial" w:eastAsia="Arial" w:cs="Arial"/>
          <w:color w:val="555555"/>
          <w:sz w:val="26"/>
          <w:szCs w:val="26"/>
        </w:rPr>
        <w:t>Model Comparison: mSBERT vs LaBSE</w:t>
      </w:r>
    </w:p>
    <w:p w14:paraId="1E74C611">
      <w:pPr>
        <w:pStyle w:val="2"/>
        <w:spacing w:before="360" w:after="200"/>
      </w:pPr>
      <w:r>
        <w:rPr>
          <w:rFonts w:ascii="Arial" w:hAnsi="Arial" w:eastAsia="Arial" w:cs="Arial"/>
          <w:b/>
          <w:bCs/>
          <w:sz w:val="32"/>
          <w:szCs w:val="32"/>
        </w:rPr>
        <w:t>1. Project Overview</w:t>
      </w:r>
    </w:p>
    <w:p w14:paraId="317709FC">
      <w:pPr>
        <w:spacing w:before="80" w:after="120"/>
        <w:jc w:val="both"/>
      </w:pPr>
      <w:r>
        <w:rPr>
          <w:rFonts w:ascii="Arial" w:hAnsi="Arial" w:eastAsia="Arial" w:cs="Arial"/>
          <w:sz w:val="22"/>
          <w:szCs w:val="22"/>
        </w:rPr>
        <w:t>This project investigates whether state-of-the-art multilingual language models can identify semantically equivalent idioms across three languages — Bengali, English, and Hindi — without using any translation system. The core research question is: can a model that has learned from multilingual text data understand that idioms from different languages carry the same figurative meaning, even when the words look completely different?</w:t>
      </w:r>
    </w:p>
    <w:p w14:paraId="57D1AF1B">
      <w:pPr>
        <w:spacing w:before="80" w:after="80"/>
      </w:pPr>
    </w:p>
    <w:p w14:paraId="34EA1865">
      <w:pPr>
        <w:spacing w:before="80" w:after="120"/>
        <w:jc w:val="both"/>
      </w:pPr>
      <w:r>
        <w:rPr>
          <w:rFonts w:ascii="Arial" w:hAnsi="Arial" w:eastAsia="Arial" w:cs="Arial"/>
          <w:sz w:val="22"/>
          <w:szCs w:val="22"/>
        </w:rPr>
        <w:t>Idioms are a particularly challenging test case because their meaning cannot be derived from their individual words. For example, the Bengali idiom 'আকাশ কুসুম' literally means 'sky flower' but figuratively means 'an impossible dream' — exactly the same as the English idiom 'build castles in the air'. A model that truly understands language must recognize this equivalence not by translating words, but by understanding meaning.</w:t>
      </w:r>
    </w:p>
    <w:p w14:paraId="2265A0C3">
      <w:pPr>
        <w:spacing w:before="80" w:after="80"/>
      </w:pPr>
    </w:p>
    <w:p w14:paraId="445D7A2E">
      <w:pPr>
        <w:pStyle w:val="3"/>
        <w:spacing w:before="280" w:after="160"/>
      </w:pPr>
      <w:r>
        <w:rPr>
          <w:rFonts w:ascii="Arial" w:hAnsi="Arial" w:eastAsia="Arial" w:cs="Arial"/>
          <w:b/>
          <w:bCs/>
          <w:color w:val="2A5298"/>
          <w:sz w:val="26"/>
          <w:szCs w:val="26"/>
        </w:rPr>
        <w:t>1.1 Research Goal</w:t>
      </w:r>
    </w:p>
    <w:p w14:paraId="08D13FEF">
      <w:pPr>
        <w:spacing w:before="80" w:after="120"/>
        <w:jc w:val="both"/>
      </w:pPr>
      <w:r>
        <w:rPr>
          <w:rFonts w:ascii="Arial" w:hAnsi="Arial" w:eastAsia="Arial" w:cs="Arial"/>
          <w:sz w:val="22"/>
          <w:szCs w:val="22"/>
        </w:rPr>
        <w:t>Compare two multilingual embedding models — mSBERT and LaBSE — on their ability to find cross-lingual idiom matches across three tasks: semantic similarity scoring, cross-lingual retrieval, and semantic clustering. Determine which model better understands figurative language across language boundaries.</w:t>
      </w:r>
    </w:p>
    <w:p w14:paraId="1AC41A09">
      <w:pPr>
        <w:spacing w:before="80" w:after="80"/>
      </w:pPr>
    </w:p>
    <w:p w14:paraId="55F97187">
      <w:pPr>
        <w:pStyle w:val="3"/>
        <w:spacing w:before="280" w:after="160"/>
      </w:pPr>
      <w:r>
        <w:rPr>
          <w:rFonts w:ascii="Arial" w:hAnsi="Arial" w:eastAsia="Arial" w:cs="Arial"/>
          <w:b/>
          <w:bCs/>
          <w:color w:val="2A5298"/>
          <w:sz w:val="26"/>
          <w:szCs w:val="26"/>
        </w:rPr>
        <w:t>1.2 Why This Matters</w:t>
      </w:r>
    </w:p>
    <w:p w14:paraId="2B71DF6A">
      <w:pPr>
        <w:pStyle w:val="16"/>
        <w:numPr>
          <w:ilvl w:val="0"/>
          <w:numId w:val="1"/>
        </w:numPr>
        <w:spacing w:before="60" w:after="60"/>
      </w:pPr>
      <w:r>
        <w:rPr>
          <w:rFonts w:ascii="Arial" w:hAnsi="Arial" w:eastAsia="Arial" w:cs="Arial"/>
          <w:b/>
          <w:bCs/>
          <w:sz w:val="22"/>
          <w:szCs w:val="22"/>
        </w:rPr>
        <w:t xml:space="preserve">Idiom processing is harder than literal text: </w:t>
      </w:r>
      <w:r>
        <w:rPr>
          <w:rFonts w:ascii="Arial" w:hAnsi="Arial" w:eastAsia="Arial" w:cs="Arial"/>
          <w:sz w:val="22"/>
          <w:szCs w:val="22"/>
        </w:rPr>
        <w:t>standard NLP models fail at figurative language because words and meaning do not match.</w:t>
      </w:r>
    </w:p>
    <w:p w14:paraId="605C68F7">
      <w:pPr>
        <w:pStyle w:val="16"/>
        <w:numPr>
          <w:ilvl w:val="0"/>
          <w:numId w:val="1"/>
        </w:numPr>
        <w:spacing w:before="60" w:after="60"/>
      </w:pPr>
      <w:r>
        <w:rPr>
          <w:rFonts w:ascii="Arial" w:hAnsi="Arial" w:eastAsia="Arial" w:cs="Arial"/>
          <w:b/>
          <w:bCs/>
          <w:sz w:val="22"/>
          <w:szCs w:val="22"/>
        </w:rPr>
        <w:t xml:space="preserve">Bengali is a low-resource language: </w:t>
      </w:r>
      <w:r>
        <w:rPr>
          <w:rFonts w:ascii="Arial" w:hAnsi="Arial" w:eastAsia="Arial" w:cs="Arial"/>
          <w:sz w:val="22"/>
          <w:szCs w:val="22"/>
        </w:rPr>
        <w:t>there are very few NLP tools or datasets for Bengali compared to English.</w:t>
      </w:r>
    </w:p>
    <w:p w14:paraId="6E7E3158">
      <w:pPr>
        <w:pStyle w:val="16"/>
        <w:numPr>
          <w:ilvl w:val="0"/>
          <w:numId w:val="1"/>
        </w:numPr>
        <w:spacing w:before="60" w:after="60"/>
      </w:pPr>
      <w:r>
        <w:rPr>
          <w:rFonts w:ascii="Arial" w:hAnsi="Arial" w:eastAsia="Arial" w:cs="Arial"/>
          <w:b/>
          <w:bCs/>
          <w:sz w:val="22"/>
          <w:szCs w:val="22"/>
        </w:rPr>
        <w:t xml:space="preserve">No translation used: </w:t>
      </w:r>
      <w:r>
        <w:rPr>
          <w:rFonts w:ascii="Arial" w:hAnsi="Arial" w:eastAsia="Arial" w:cs="Arial"/>
          <w:sz w:val="22"/>
          <w:szCs w:val="22"/>
        </w:rPr>
        <w:t>both models process raw text in each language directly, which is the key novelty of this work.</w:t>
      </w:r>
    </w:p>
    <w:p w14:paraId="5D527F74">
      <w:pPr>
        <w:pStyle w:val="16"/>
        <w:numPr>
          <w:ilvl w:val="0"/>
          <w:numId w:val="1"/>
        </w:numPr>
        <w:spacing w:before="60" w:after="60"/>
      </w:pPr>
      <w:r>
        <w:rPr>
          <w:rFonts w:ascii="Arial" w:hAnsi="Arial" w:eastAsia="Arial" w:cs="Arial"/>
          <w:b/>
          <w:bCs/>
          <w:sz w:val="22"/>
          <w:szCs w:val="22"/>
        </w:rPr>
        <w:t xml:space="preserve">Practical applications: </w:t>
      </w:r>
      <w:r>
        <w:rPr>
          <w:rFonts w:ascii="Arial" w:hAnsi="Arial" w:eastAsia="Arial" w:cs="Arial"/>
          <w:sz w:val="22"/>
          <w:szCs w:val="22"/>
        </w:rPr>
        <w:t>cross-lingual idiom matching is useful for machine translation, language learning apps, and cultural understanding systems.</w:t>
      </w:r>
    </w:p>
    <w:p w14:paraId="189ECDC5">
      <w:pPr>
        <w:spacing w:before="80" w:after="80"/>
      </w:pPr>
    </w:p>
    <w:p w14:paraId="7747B222">
      <w:pPr>
        <w:pStyle w:val="2"/>
        <w:spacing w:before="360" w:after="200"/>
      </w:pPr>
      <w:r>
        <w:rPr>
          <w:rFonts w:ascii="Arial" w:hAnsi="Arial" w:eastAsia="Arial" w:cs="Arial"/>
          <w:b/>
          <w:bCs/>
          <w:sz w:val="32"/>
          <w:szCs w:val="32"/>
        </w:rPr>
        <w:t>2. Datasets Used</w:t>
      </w:r>
    </w:p>
    <w:p w14:paraId="27FD5BD9">
      <w:pPr>
        <w:spacing w:before="80" w:after="120"/>
        <w:jc w:val="both"/>
      </w:pPr>
      <w:r>
        <w:rPr>
          <w:rFonts w:ascii="Arial" w:hAnsi="Arial" w:eastAsia="Arial" w:cs="Arial"/>
          <w:sz w:val="22"/>
          <w:szCs w:val="22"/>
        </w:rPr>
        <w:t>Three datasets were used to build the evaluation corpus. The Bengali dataset is the primary anchor — for each Bengali idiom, the system attempts to find the matching English and Hindi idiom with the same figurative meaning.</w:t>
      </w:r>
    </w:p>
    <w:p w14:paraId="5BECFD5E">
      <w:pPr>
        <w:spacing w:before="80" w:after="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1"/>
        <w:gridCol w:w="1411"/>
        <w:gridCol w:w="2069"/>
        <w:gridCol w:w="1693"/>
        <w:gridCol w:w="2352"/>
      </w:tblGrid>
      <w:tr w14:paraId="71DD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solid" w:color="2A5298" w:fill="2A5298"/>
          </w:tcPr>
          <w:p w14:paraId="61DC9007">
            <w:pPr>
              <w:jc w:val="center"/>
            </w:pPr>
            <w:r>
              <w:rPr>
                <w:rFonts w:ascii="Arial" w:hAnsi="Arial" w:eastAsia="Arial" w:cs="Arial"/>
                <w:b/>
                <w:bCs/>
                <w:color w:val="FFFFFF"/>
                <w:sz w:val="20"/>
                <w:szCs w:val="20"/>
              </w:rPr>
              <w:t>Dataset</w:t>
            </w:r>
          </w:p>
        </w:tc>
        <w:tc>
          <w:tcPr>
            <w:tcW w:w="750" w:type="pct"/>
            <w:shd w:val="solid" w:color="2A5298" w:fill="2A5298"/>
          </w:tcPr>
          <w:p w14:paraId="4EC5CB8E">
            <w:pPr>
              <w:jc w:val="center"/>
            </w:pPr>
            <w:r>
              <w:rPr>
                <w:rFonts w:ascii="Arial" w:hAnsi="Arial" w:eastAsia="Arial" w:cs="Arial"/>
                <w:b/>
                <w:bCs/>
                <w:color w:val="FFFFFF"/>
                <w:sz w:val="20"/>
                <w:szCs w:val="20"/>
              </w:rPr>
              <w:t>Language</w:t>
            </w:r>
          </w:p>
        </w:tc>
        <w:tc>
          <w:tcPr>
            <w:tcW w:w="1100" w:type="pct"/>
            <w:shd w:val="solid" w:color="2A5298" w:fill="2A5298"/>
          </w:tcPr>
          <w:p w14:paraId="46E8367B">
            <w:pPr>
              <w:jc w:val="center"/>
            </w:pPr>
            <w:r>
              <w:rPr>
                <w:rFonts w:ascii="Arial" w:hAnsi="Arial" w:eastAsia="Arial" w:cs="Arial"/>
                <w:b/>
                <w:bCs/>
                <w:color w:val="FFFFFF"/>
                <w:sz w:val="20"/>
                <w:szCs w:val="20"/>
              </w:rPr>
              <w:t>Source</w:t>
            </w:r>
          </w:p>
        </w:tc>
        <w:tc>
          <w:tcPr>
            <w:tcW w:w="900" w:type="pct"/>
            <w:shd w:val="solid" w:color="2A5298" w:fill="2A5298"/>
          </w:tcPr>
          <w:p w14:paraId="04B6FA73">
            <w:pPr>
              <w:jc w:val="center"/>
            </w:pPr>
            <w:r>
              <w:rPr>
                <w:rFonts w:ascii="Arial" w:hAnsi="Arial" w:eastAsia="Arial" w:cs="Arial"/>
                <w:b/>
                <w:bCs/>
                <w:color w:val="FFFFFF"/>
                <w:sz w:val="20"/>
                <w:szCs w:val="20"/>
              </w:rPr>
              <w:t>Size</w:t>
            </w:r>
          </w:p>
        </w:tc>
        <w:tc>
          <w:tcPr>
            <w:tcW w:w="1250" w:type="pct"/>
            <w:shd w:val="solid" w:color="2A5298" w:fill="2A5298"/>
          </w:tcPr>
          <w:p w14:paraId="399A54D5">
            <w:pPr>
              <w:jc w:val="center"/>
            </w:pPr>
            <w:r>
              <w:rPr>
                <w:rFonts w:ascii="Arial" w:hAnsi="Arial" w:eastAsia="Arial" w:cs="Arial"/>
                <w:b/>
                <w:bCs/>
                <w:color w:val="FFFFFF"/>
                <w:sz w:val="20"/>
                <w:szCs w:val="20"/>
              </w:rPr>
              <w:t>Key Field Used</w:t>
            </w:r>
          </w:p>
        </w:tc>
      </w:tr>
      <w:tr w14:paraId="228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0F4FF" w:fill="F0F4FF"/>
          </w:tcPr>
          <w:p w14:paraId="511FF1E8">
            <w:pPr>
              <w:jc w:val="center"/>
            </w:pPr>
            <w:r>
              <w:rPr>
                <w:rFonts w:ascii="Arial" w:hAnsi="Arial" w:eastAsia="Arial" w:cs="Arial"/>
                <w:sz w:val="20"/>
                <w:szCs w:val="20"/>
              </w:rPr>
              <w:t>Bagdhara</w:t>
            </w:r>
          </w:p>
        </w:tc>
        <w:tc>
          <w:tcPr>
            <w:tcW w:w="750" w:type="pct"/>
            <w:shd w:val="solid" w:color="F0F4FF" w:fill="F0F4FF"/>
          </w:tcPr>
          <w:p w14:paraId="42A0F961">
            <w:pPr>
              <w:jc w:val="center"/>
            </w:pPr>
            <w:r>
              <w:rPr>
                <w:rFonts w:ascii="Arial" w:hAnsi="Arial" w:eastAsia="Arial" w:cs="Arial"/>
                <w:sz w:val="20"/>
                <w:szCs w:val="20"/>
              </w:rPr>
              <w:t>Bengali</w:t>
            </w:r>
          </w:p>
        </w:tc>
        <w:tc>
          <w:tcPr>
            <w:tcW w:w="1100" w:type="pct"/>
            <w:shd w:val="solid" w:color="F0F4FF" w:fill="F0F4FF"/>
          </w:tcPr>
          <w:p w14:paraId="1D39381E">
            <w:pPr>
              <w:jc w:val="center"/>
            </w:pPr>
            <w:r>
              <w:rPr>
                <w:rFonts w:ascii="Arial" w:hAnsi="Arial" w:eastAsia="Arial" w:cs="Arial"/>
                <w:sz w:val="20"/>
                <w:szCs w:val="20"/>
              </w:rPr>
              <w:t>Kaggle (sakhadib)</w:t>
            </w:r>
          </w:p>
        </w:tc>
        <w:tc>
          <w:tcPr>
            <w:tcW w:w="900" w:type="pct"/>
            <w:shd w:val="solid" w:color="F0F4FF" w:fill="F0F4FF"/>
          </w:tcPr>
          <w:p w14:paraId="3DFF45C2">
            <w:pPr>
              <w:jc w:val="center"/>
            </w:pPr>
            <w:r>
              <w:rPr>
                <w:rFonts w:ascii="Arial" w:hAnsi="Arial" w:eastAsia="Arial" w:cs="Arial"/>
                <w:sz w:val="20"/>
                <w:szCs w:val="20"/>
              </w:rPr>
              <w:t>~8,800 idioms</w:t>
            </w:r>
          </w:p>
        </w:tc>
        <w:tc>
          <w:tcPr>
            <w:tcW w:w="1250" w:type="pct"/>
            <w:shd w:val="solid" w:color="F0F4FF" w:fill="F0F4FF"/>
          </w:tcPr>
          <w:p w14:paraId="020E69BF">
            <w:pPr>
              <w:jc w:val="center"/>
            </w:pPr>
            <w:r>
              <w:rPr>
                <w:rFonts w:ascii="Arial" w:hAnsi="Arial" w:eastAsia="Arial" w:cs="Arial"/>
                <w:sz w:val="20"/>
                <w:szCs w:val="20"/>
              </w:rPr>
              <w:t>similar_in_english list</w:t>
            </w:r>
          </w:p>
        </w:tc>
      </w:tr>
      <w:tr w14:paraId="4F07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FFFFF" w:fill="FFFFFF"/>
          </w:tcPr>
          <w:p w14:paraId="2B23E91A">
            <w:pPr>
              <w:jc w:val="center"/>
            </w:pPr>
            <w:r>
              <w:rPr>
                <w:rFonts w:ascii="Arial" w:hAnsi="Arial" w:eastAsia="Arial" w:cs="Arial"/>
                <w:sz w:val="20"/>
                <w:szCs w:val="20"/>
              </w:rPr>
              <w:t>Bengali-Bangla JSON</w:t>
            </w:r>
          </w:p>
        </w:tc>
        <w:tc>
          <w:tcPr>
            <w:tcW w:w="750" w:type="pct"/>
            <w:shd w:val="solid" w:color="FFFFFF" w:fill="FFFFFF"/>
          </w:tcPr>
          <w:p w14:paraId="0DB80B5D">
            <w:pPr>
              <w:jc w:val="center"/>
            </w:pPr>
            <w:r>
              <w:rPr>
                <w:rFonts w:ascii="Arial" w:hAnsi="Arial" w:eastAsia="Arial" w:cs="Arial"/>
                <w:sz w:val="20"/>
                <w:szCs w:val="20"/>
              </w:rPr>
              <w:t>Bengali</w:t>
            </w:r>
          </w:p>
        </w:tc>
        <w:tc>
          <w:tcPr>
            <w:tcW w:w="1100" w:type="pct"/>
            <w:shd w:val="solid" w:color="FFFFFF" w:fill="FFFFFF"/>
          </w:tcPr>
          <w:p w14:paraId="568FC89F">
            <w:pPr>
              <w:jc w:val="center"/>
            </w:pPr>
            <w:r>
              <w:rPr>
                <w:rFonts w:ascii="Arial" w:hAnsi="Arial" w:eastAsia="Arial" w:cs="Arial"/>
                <w:sz w:val="20"/>
                <w:szCs w:val="20"/>
              </w:rPr>
              <w:t>Local / Gemma folder</w:t>
            </w:r>
          </w:p>
        </w:tc>
        <w:tc>
          <w:tcPr>
            <w:tcW w:w="900" w:type="pct"/>
            <w:shd w:val="solid" w:color="FFFFFF" w:fill="FFFFFF"/>
          </w:tcPr>
          <w:p w14:paraId="18BB9EBB">
            <w:pPr>
              <w:jc w:val="center"/>
            </w:pPr>
            <w:r>
              <w:rPr>
                <w:rFonts w:ascii="Arial" w:hAnsi="Arial" w:eastAsia="Arial" w:cs="Arial"/>
                <w:sz w:val="20"/>
                <w:szCs w:val="20"/>
              </w:rPr>
              <w:t>~6 idioms (sample)</w:t>
            </w:r>
          </w:p>
        </w:tc>
        <w:tc>
          <w:tcPr>
            <w:tcW w:w="1250" w:type="pct"/>
            <w:shd w:val="solid" w:color="FFFFFF" w:fill="FFFFFF"/>
          </w:tcPr>
          <w:p w14:paraId="4170FE73">
            <w:pPr>
              <w:jc w:val="center"/>
            </w:pPr>
            <w:r>
              <w:rPr>
                <w:rFonts w:ascii="Arial" w:hAnsi="Arial" w:eastAsia="Arial" w:cs="Arial"/>
                <w:sz w:val="20"/>
                <w:szCs w:val="20"/>
              </w:rPr>
              <w:t>figurative_meaning</w:t>
            </w:r>
          </w:p>
        </w:tc>
      </w:tr>
      <w:tr w14:paraId="0D23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0F4FF" w:fill="F0F4FF"/>
          </w:tcPr>
          <w:p w14:paraId="18FE0CFB">
            <w:pPr>
              <w:jc w:val="center"/>
            </w:pPr>
            <w:r>
              <w:rPr>
                <w:rFonts w:ascii="Arial" w:hAnsi="Arial" w:eastAsia="Arial" w:cs="Arial"/>
                <w:sz w:val="20"/>
                <w:szCs w:val="20"/>
              </w:rPr>
              <w:t>English JSON</w:t>
            </w:r>
          </w:p>
        </w:tc>
        <w:tc>
          <w:tcPr>
            <w:tcW w:w="750" w:type="pct"/>
            <w:shd w:val="solid" w:color="F0F4FF" w:fill="F0F4FF"/>
          </w:tcPr>
          <w:p w14:paraId="0097E53E">
            <w:pPr>
              <w:jc w:val="center"/>
            </w:pPr>
            <w:r>
              <w:rPr>
                <w:rFonts w:ascii="Arial" w:hAnsi="Arial" w:eastAsia="Arial" w:cs="Arial"/>
                <w:sz w:val="20"/>
                <w:szCs w:val="20"/>
              </w:rPr>
              <w:t>English</w:t>
            </w:r>
          </w:p>
        </w:tc>
        <w:tc>
          <w:tcPr>
            <w:tcW w:w="1100" w:type="pct"/>
            <w:shd w:val="solid" w:color="F0F4FF" w:fill="F0F4FF"/>
          </w:tcPr>
          <w:p w14:paraId="3FCFBD65">
            <w:pPr>
              <w:jc w:val="center"/>
            </w:pPr>
            <w:r>
              <w:rPr>
                <w:rFonts w:ascii="Arial" w:hAnsi="Arial" w:eastAsia="Arial" w:cs="Arial"/>
                <w:sz w:val="20"/>
                <w:szCs w:val="20"/>
              </w:rPr>
              <w:t>Gemma folder / generated</w:t>
            </w:r>
          </w:p>
        </w:tc>
        <w:tc>
          <w:tcPr>
            <w:tcW w:w="900" w:type="pct"/>
            <w:shd w:val="solid" w:color="F0F4FF" w:fill="F0F4FF"/>
          </w:tcPr>
          <w:p w14:paraId="4484D1CC">
            <w:pPr>
              <w:jc w:val="center"/>
            </w:pPr>
            <w:r>
              <w:rPr>
                <w:rFonts w:ascii="Arial" w:hAnsi="Arial" w:eastAsia="Arial" w:cs="Arial"/>
                <w:sz w:val="20"/>
                <w:szCs w:val="20"/>
              </w:rPr>
              <w:t>~500+ idioms</w:t>
            </w:r>
          </w:p>
        </w:tc>
        <w:tc>
          <w:tcPr>
            <w:tcW w:w="1250" w:type="pct"/>
            <w:shd w:val="solid" w:color="F0F4FF" w:fill="F0F4FF"/>
          </w:tcPr>
          <w:p w14:paraId="3F559B27">
            <w:pPr>
              <w:jc w:val="center"/>
            </w:pPr>
            <w:r>
              <w:rPr>
                <w:rFonts w:ascii="Arial" w:hAnsi="Arial" w:eastAsia="Arial" w:cs="Arial"/>
                <w:sz w:val="20"/>
                <w:szCs w:val="20"/>
              </w:rPr>
              <w:t>figurative_meaning</w:t>
            </w:r>
          </w:p>
        </w:tc>
      </w:tr>
      <w:tr w14:paraId="1E07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FFFFF" w:fill="FFFFFF"/>
          </w:tcPr>
          <w:p w14:paraId="7D0C2E09">
            <w:pPr>
              <w:jc w:val="center"/>
            </w:pPr>
            <w:r>
              <w:rPr>
                <w:rFonts w:ascii="Arial" w:hAnsi="Arial" w:eastAsia="Arial" w:cs="Arial"/>
                <w:sz w:val="20"/>
                <w:szCs w:val="20"/>
              </w:rPr>
              <w:t>Hindi JSON</w:t>
            </w:r>
          </w:p>
        </w:tc>
        <w:tc>
          <w:tcPr>
            <w:tcW w:w="750" w:type="pct"/>
            <w:shd w:val="solid" w:color="FFFFFF" w:fill="FFFFFF"/>
          </w:tcPr>
          <w:p w14:paraId="454E784A">
            <w:pPr>
              <w:jc w:val="center"/>
            </w:pPr>
            <w:r>
              <w:rPr>
                <w:rFonts w:ascii="Arial" w:hAnsi="Arial" w:eastAsia="Arial" w:cs="Arial"/>
                <w:sz w:val="20"/>
                <w:szCs w:val="20"/>
              </w:rPr>
              <w:t>Hindi</w:t>
            </w:r>
          </w:p>
        </w:tc>
        <w:tc>
          <w:tcPr>
            <w:tcW w:w="1100" w:type="pct"/>
            <w:shd w:val="solid" w:color="FFFFFF" w:fill="FFFFFF"/>
          </w:tcPr>
          <w:p w14:paraId="57AA2B12">
            <w:pPr>
              <w:jc w:val="center"/>
            </w:pPr>
            <w:r>
              <w:rPr>
                <w:rFonts w:ascii="Arial" w:hAnsi="Arial" w:eastAsia="Arial" w:cs="Arial"/>
                <w:sz w:val="20"/>
                <w:szCs w:val="20"/>
              </w:rPr>
              <w:t>Gemma folder / generated</w:t>
            </w:r>
          </w:p>
        </w:tc>
        <w:tc>
          <w:tcPr>
            <w:tcW w:w="900" w:type="pct"/>
            <w:shd w:val="solid" w:color="FFFFFF" w:fill="FFFFFF"/>
          </w:tcPr>
          <w:p w14:paraId="28F51C91">
            <w:pPr>
              <w:jc w:val="center"/>
            </w:pPr>
            <w:r>
              <w:rPr>
                <w:rFonts w:ascii="Arial" w:hAnsi="Arial" w:eastAsia="Arial" w:cs="Arial"/>
                <w:sz w:val="20"/>
                <w:szCs w:val="20"/>
              </w:rPr>
              <w:t>~200+ idioms</w:t>
            </w:r>
          </w:p>
        </w:tc>
        <w:tc>
          <w:tcPr>
            <w:tcW w:w="1250" w:type="pct"/>
            <w:shd w:val="solid" w:color="FFFFFF" w:fill="FFFFFF"/>
          </w:tcPr>
          <w:p w14:paraId="712522C9">
            <w:pPr>
              <w:jc w:val="center"/>
            </w:pPr>
            <w:r>
              <w:rPr>
                <w:rFonts w:ascii="Arial" w:hAnsi="Arial" w:eastAsia="Arial" w:cs="Arial"/>
                <w:sz w:val="20"/>
                <w:szCs w:val="20"/>
              </w:rPr>
              <w:t>figurative_meaning (English)</w:t>
            </w:r>
          </w:p>
        </w:tc>
      </w:tr>
    </w:tbl>
    <w:p w14:paraId="74705FA9">
      <w:pPr>
        <w:spacing w:before="80" w:after="80"/>
      </w:pPr>
    </w:p>
    <w:p w14:paraId="318A48D0">
      <w:pPr>
        <w:pStyle w:val="3"/>
        <w:spacing w:before="280" w:after="160"/>
      </w:pPr>
      <w:r>
        <w:rPr>
          <w:rFonts w:ascii="Arial" w:hAnsi="Arial" w:eastAsia="Arial" w:cs="Arial"/>
          <w:b/>
          <w:bCs/>
          <w:color w:val="2A5298"/>
          <w:sz w:val="26"/>
          <w:szCs w:val="26"/>
        </w:rPr>
        <w:t>2.1 The Key Field: similar_in_english</w:t>
      </w:r>
    </w:p>
    <w:p w14:paraId="1CDDF825">
      <w:pPr>
        <w:spacing w:before="80" w:after="120"/>
        <w:jc w:val="both"/>
      </w:pPr>
      <w:r>
        <w:rPr>
          <w:rFonts w:ascii="Arial" w:hAnsi="Arial" w:eastAsia="Arial" w:cs="Arial"/>
          <w:sz w:val="22"/>
          <w:szCs w:val="22"/>
        </w:rPr>
        <w:t>The most important discovery in your data is that the Bagdhara dataset already contains a field called 'similar_in_english' which is a list of English idioms that carry the same meaning. For example:</w:t>
      </w:r>
    </w:p>
    <w:p w14:paraId="38E381C1">
      <w:pPr>
        <w:spacing w:before="80" w:after="80"/>
      </w:pPr>
    </w:p>
    <w:p w14:paraId="04F822AD">
      <w:pPr>
        <w:shd w:val="solid" w:fill="F5F5F5"/>
        <w:spacing w:before="100" w:after="100"/>
        <w:rPr>
          <w:shd w:val="clear" w:color="FFFFFF" w:fill="D9D9D9"/>
        </w:rPr>
      </w:pPr>
      <w:r>
        <w:rPr>
          <w:rFonts w:ascii="Courier New" w:hAnsi="Courier New" w:eastAsia="Courier New" w:cs="Courier New"/>
          <w:i/>
          <w:iCs/>
          <w:color w:val="1A1A2E"/>
          <w:sz w:val="20"/>
          <w:szCs w:val="20"/>
          <w:shd w:val="clear" w:color="FFFFFF" w:fill="D9D9D9"/>
        </w:rPr>
        <w:t xml:space="preserve">    Bengali: "অ আ ক খ"  →  similar_in_english: ["Learning the ABCs"]</w:t>
      </w:r>
    </w:p>
    <w:p w14:paraId="37C09BC8">
      <w:pPr>
        <w:spacing w:before="80" w:after="80"/>
      </w:pPr>
    </w:p>
    <w:p w14:paraId="5CBBEC57">
      <w:pPr>
        <w:spacing w:before="80" w:after="120"/>
        <w:jc w:val="both"/>
      </w:pPr>
      <w:r>
        <w:rPr>
          <w:rFonts w:ascii="Arial" w:hAnsi="Arial" w:eastAsia="Arial" w:cs="Arial"/>
          <w:sz w:val="22"/>
          <w:szCs w:val="22"/>
        </w:rPr>
        <w:t>This field served as the ground truth for building Bengali–English pairs. No manual translation was needed for this matching — the dataset creator had already provided these equivalences.</w:t>
      </w:r>
    </w:p>
    <w:p w14:paraId="7C2B7DAA">
      <w:pPr>
        <w:spacing w:before="80" w:after="80"/>
      </w:pPr>
    </w:p>
    <w:p w14:paraId="751074B6">
      <w:pPr>
        <w:pStyle w:val="3"/>
        <w:spacing w:before="280" w:after="160"/>
      </w:pPr>
      <w:r>
        <w:rPr>
          <w:rFonts w:ascii="Arial" w:hAnsi="Arial" w:eastAsia="Arial" w:cs="Arial"/>
          <w:b/>
          <w:bCs/>
          <w:color w:val="2A5298"/>
          <w:sz w:val="26"/>
          <w:szCs w:val="26"/>
        </w:rPr>
        <w:t>2.2 How the Triplet Dataset Was Built</w:t>
      </w:r>
    </w:p>
    <w:p w14:paraId="2DA5FD24">
      <w:pPr>
        <w:spacing w:before="80" w:after="120"/>
        <w:jc w:val="both"/>
      </w:pPr>
      <w:r>
        <w:rPr>
          <w:rFonts w:ascii="Arial" w:hAnsi="Arial" w:eastAsia="Arial" w:cs="Arial"/>
          <w:sz w:val="22"/>
          <w:szCs w:val="22"/>
        </w:rPr>
        <w:t>A 'triplet' is one row that connects a Bengali idiom, its English equivalent, and its Hindi equivalent. The building process used a bridge-matching strategy:</w:t>
      </w:r>
    </w:p>
    <w:p w14:paraId="3223F04A">
      <w:pPr>
        <w:pStyle w:val="16"/>
        <w:numPr>
          <w:ilvl w:val="0"/>
          <w:numId w:val="1"/>
        </w:numPr>
        <w:spacing w:before="60" w:after="60"/>
      </w:pPr>
      <w:r>
        <w:rPr>
          <w:rFonts w:ascii="Arial" w:hAnsi="Arial" w:eastAsia="Arial" w:cs="Arial"/>
          <w:b/>
          <w:bCs/>
          <w:sz w:val="22"/>
          <w:szCs w:val="22"/>
        </w:rPr>
        <w:t>For each Bengali idiom, extract its 'figurative_meaning_en' (the English description of what it means).</w:t>
      </w:r>
      <w:r>
        <w:rPr>
          <w:rFonts w:ascii="Arial" w:hAnsi="Arial" w:eastAsia="Arial" w:cs="Arial"/>
          <w:sz w:val="22"/>
          <w:szCs w:val="22"/>
        </w:rPr>
        <w:t xml:space="preserve">Step 1: </w:t>
      </w:r>
    </w:p>
    <w:p w14:paraId="111A7CC3">
      <w:pPr>
        <w:pStyle w:val="16"/>
        <w:numPr>
          <w:ilvl w:val="0"/>
          <w:numId w:val="1"/>
        </w:numPr>
        <w:spacing w:before="60" w:after="60"/>
      </w:pPr>
      <w:r>
        <w:rPr>
          <w:rFonts w:ascii="Arial" w:hAnsi="Arial" w:eastAsia="Arial" w:cs="Arial"/>
          <w:b/>
          <w:bCs/>
          <w:sz w:val="22"/>
          <w:szCs w:val="22"/>
        </w:rPr>
        <w:t>Match this English meaning description against English idiom meanings using keyword overlap.</w:t>
      </w:r>
      <w:r>
        <w:rPr>
          <w:rFonts w:ascii="Arial" w:hAnsi="Arial" w:eastAsia="Arial" w:cs="Arial"/>
          <w:sz w:val="22"/>
          <w:szCs w:val="22"/>
        </w:rPr>
        <w:t xml:space="preserve">Step 2: </w:t>
      </w:r>
    </w:p>
    <w:p w14:paraId="1EC98A1E">
      <w:pPr>
        <w:pStyle w:val="16"/>
        <w:numPr>
          <w:ilvl w:val="0"/>
          <w:numId w:val="1"/>
        </w:numPr>
        <w:spacing w:before="60" w:after="60"/>
      </w:pPr>
      <w:r>
        <w:rPr>
          <w:rFonts w:ascii="Arial" w:hAnsi="Arial" w:eastAsia="Arial" w:cs="Arial"/>
          <w:b/>
          <w:bCs/>
          <w:sz w:val="22"/>
          <w:szCs w:val="22"/>
        </w:rPr>
        <w:t>Match this English meaning description against Hindi idiom meanings (translated to English first) using the same overlap method.</w:t>
      </w:r>
      <w:r>
        <w:rPr>
          <w:rFonts w:ascii="Arial" w:hAnsi="Arial" w:eastAsia="Arial" w:cs="Arial"/>
          <w:sz w:val="22"/>
          <w:szCs w:val="22"/>
        </w:rPr>
        <w:t xml:space="preserve">Step 3: </w:t>
      </w:r>
    </w:p>
    <w:p w14:paraId="328FCB1C">
      <w:pPr>
        <w:pStyle w:val="16"/>
        <w:numPr>
          <w:ilvl w:val="0"/>
          <w:numId w:val="1"/>
        </w:numPr>
        <w:spacing w:before="60" w:after="60"/>
      </w:pPr>
      <w:r>
        <w:rPr>
          <w:rFonts w:ascii="Arial" w:hAnsi="Arial" w:eastAsia="Arial" w:cs="Arial"/>
          <w:b/>
          <w:bCs/>
          <w:sz w:val="22"/>
          <w:szCs w:val="22"/>
        </w:rPr>
        <w:t>This builds the ground truth — the model never sees these meanings, only the raw idiom text.</w:t>
      </w:r>
      <w:r>
        <w:rPr>
          <w:rFonts w:ascii="Arial" w:hAnsi="Arial" w:eastAsia="Arial" w:cs="Arial"/>
          <w:sz w:val="22"/>
          <w:szCs w:val="22"/>
        </w:rPr>
        <w:t xml:space="preserve">Step 4: </w:t>
      </w:r>
    </w:p>
    <w:p w14:paraId="0F652E5C">
      <w:pPr>
        <w:spacing w:before="80" w:after="80"/>
      </w:pPr>
    </w:p>
    <w:p w14:paraId="221EFE5A">
      <w:pPr>
        <w:pStyle w:val="2"/>
        <w:spacing w:before="360" w:after="200"/>
      </w:pPr>
      <w:r>
        <w:rPr>
          <w:rFonts w:ascii="Arial" w:hAnsi="Arial" w:eastAsia="Arial" w:cs="Arial"/>
          <w:b/>
          <w:bCs/>
          <w:sz w:val="32"/>
          <w:szCs w:val="32"/>
        </w:rPr>
        <w:t>3. The Two Models Compared</w:t>
      </w:r>
    </w:p>
    <w:p w14:paraId="43CAE19C">
      <w:pPr>
        <w:spacing w:before="80" w:after="120"/>
        <w:jc w:val="both"/>
      </w:pPr>
      <w:r>
        <w:rPr>
          <w:rFonts w:ascii="Arial" w:hAnsi="Arial" w:eastAsia="Arial" w:cs="Arial"/>
          <w:sz w:val="22"/>
          <w:szCs w:val="22"/>
        </w:rPr>
        <w:t>Both models are multilingual sentence embedding models. They take raw text in any language as input and produce a fixed-size numerical vector (embedding) that represents the meaning of that text. Crucially, both models were trained on data from many languages simultaneously, so they learned to place sentences with similar meanings close together in their vector space — regardless of language.</w:t>
      </w:r>
    </w:p>
    <w:p w14:paraId="2BCF9EE3">
      <w:pPr>
        <w:spacing w:before="80" w:after="8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9"/>
        <w:gridCol w:w="3668"/>
        <w:gridCol w:w="3669"/>
      </w:tblGrid>
      <w:tr w14:paraId="6774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pct"/>
            <w:shd w:val="solid" w:color="2A5298" w:fill="2A5298"/>
          </w:tcPr>
          <w:p w14:paraId="6B2FF9D7">
            <w:pPr>
              <w:jc w:val="center"/>
            </w:pPr>
            <w:r>
              <w:rPr>
                <w:rFonts w:ascii="Arial" w:hAnsi="Arial" w:eastAsia="Arial" w:cs="Arial"/>
                <w:b/>
                <w:bCs/>
                <w:color w:val="FFFFFF"/>
                <w:sz w:val="20"/>
                <w:szCs w:val="20"/>
              </w:rPr>
              <w:t>Property</w:t>
            </w:r>
          </w:p>
        </w:tc>
        <w:tc>
          <w:tcPr>
            <w:tcW w:w="1950" w:type="pct"/>
            <w:shd w:val="solid" w:color="2A5298" w:fill="2A5298"/>
          </w:tcPr>
          <w:p w14:paraId="74368FFC">
            <w:pPr>
              <w:jc w:val="center"/>
            </w:pPr>
            <w:r>
              <w:rPr>
                <w:rFonts w:ascii="Arial" w:hAnsi="Arial" w:eastAsia="Arial" w:cs="Arial"/>
                <w:b/>
                <w:bCs/>
                <w:color w:val="FFFFFF"/>
                <w:sz w:val="20"/>
                <w:szCs w:val="20"/>
              </w:rPr>
              <w:t>mSBERT</w:t>
            </w:r>
          </w:p>
        </w:tc>
        <w:tc>
          <w:tcPr>
            <w:tcW w:w="1950" w:type="pct"/>
            <w:shd w:val="solid" w:color="2A5298" w:fill="2A5298"/>
          </w:tcPr>
          <w:p w14:paraId="36207FAC">
            <w:pPr>
              <w:jc w:val="center"/>
            </w:pPr>
            <w:r>
              <w:rPr>
                <w:rFonts w:ascii="Arial" w:hAnsi="Arial" w:eastAsia="Arial" w:cs="Arial"/>
                <w:b/>
                <w:bCs/>
                <w:color w:val="FFFFFF"/>
                <w:sz w:val="20"/>
                <w:szCs w:val="20"/>
              </w:rPr>
              <w:t>LaBSE</w:t>
            </w:r>
          </w:p>
        </w:tc>
      </w:tr>
      <w:tr w14:paraId="28CC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0F4FF" w:fill="F0F4FF"/>
          </w:tcPr>
          <w:p w14:paraId="43A2551D">
            <w:pPr>
              <w:jc w:val="center"/>
            </w:pPr>
            <w:r>
              <w:rPr>
                <w:rFonts w:ascii="Arial" w:hAnsi="Arial" w:eastAsia="Arial" w:cs="Arial"/>
                <w:sz w:val="20"/>
                <w:szCs w:val="20"/>
              </w:rPr>
              <w:t>Full Name</w:t>
            </w:r>
          </w:p>
        </w:tc>
        <w:tc>
          <w:tcPr>
            <w:tcW w:w="1950" w:type="pct"/>
            <w:shd w:val="solid" w:color="F0F4FF" w:fill="F0F4FF"/>
          </w:tcPr>
          <w:p w14:paraId="740F3ADD">
            <w:pPr>
              <w:jc w:val="center"/>
            </w:pPr>
            <w:r>
              <w:rPr>
                <w:rFonts w:ascii="Arial" w:hAnsi="Arial" w:eastAsia="Arial" w:cs="Arial"/>
                <w:sz w:val="20"/>
                <w:szCs w:val="20"/>
              </w:rPr>
              <w:t>Multilingual Sentence-BERT</w:t>
            </w:r>
          </w:p>
        </w:tc>
        <w:tc>
          <w:tcPr>
            <w:tcW w:w="1950" w:type="pct"/>
            <w:shd w:val="solid" w:color="F0F4FF" w:fill="F0F4FF"/>
          </w:tcPr>
          <w:p w14:paraId="0949052C">
            <w:pPr>
              <w:jc w:val="center"/>
            </w:pPr>
            <w:r>
              <w:rPr>
                <w:rFonts w:ascii="Arial" w:hAnsi="Arial" w:eastAsia="Arial" w:cs="Arial"/>
                <w:sz w:val="20"/>
                <w:szCs w:val="20"/>
              </w:rPr>
              <w:t>Language-Agnostic BERT Sentence Embeddings</w:t>
            </w:r>
          </w:p>
        </w:tc>
      </w:tr>
      <w:tr w14:paraId="6222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FFFFF" w:fill="FFFFFF"/>
          </w:tcPr>
          <w:p w14:paraId="5CDF3AE4">
            <w:pPr>
              <w:jc w:val="center"/>
            </w:pPr>
            <w:r>
              <w:rPr>
                <w:rFonts w:ascii="Arial" w:hAnsi="Arial" w:eastAsia="Arial" w:cs="Arial"/>
                <w:sz w:val="20"/>
                <w:szCs w:val="20"/>
              </w:rPr>
              <w:t>Model ID</w:t>
            </w:r>
          </w:p>
        </w:tc>
        <w:tc>
          <w:tcPr>
            <w:tcW w:w="1950" w:type="pct"/>
            <w:shd w:val="solid" w:color="FFFFFF" w:fill="FFFFFF"/>
          </w:tcPr>
          <w:p w14:paraId="4AE97F6C">
            <w:pPr>
              <w:jc w:val="center"/>
            </w:pPr>
            <w:r>
              <w:rPr>
                <w:rFonts w:ascii="Arial" w:hAnsi="Arial" w:eastAsia="Arial" w:cs="Arial"/>
                <w:sz w:val="20"/>
                <w:szCs w:val="20"/>
              </w:rPr>
              <w:t>paraphrase-multilingual-mpnet-base-v2</w:t>
            </w:r>
          </w:p>
        </w:tc>
        <w:tc>
          <w:tcPr>
            <w:tcW w:w="1950" w:type="pct"/>
            <w:shd w:val="solid" w:color="FFFFFF" w:fill="FFFFFF"/>
          </w:tcPr>
          <w:p w14:paraId="44CC5EA1">
            <w:pPr>
              <w:jc w:val="center"/>
            </w:pPr>
            <w:r>
              <w:rPr>
                <w:rFonts w:ascii="Arial" w:hAnsi="Arial" w:eastAsia="Arial" w:cs="Arial"/>
                <w:sz w:val="20"/>
                <w:szCs w:val="20"/>
              </w:rPr>
              <w:t>sentence-transformers/LaBSE</w:t>
            </w:r>
          </w:p>
        </w:tc>
      </w:tr>
      <w:tr w14:paraId="59E8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0F4FF" w:fill="F0F4FF"/>
          </w:tcPr>
          <w:p w14:paraId="6E5E665B">
            <w:pPr>
              <w:jc w:val="center"/>
            </w:pPr>
            <w:r>
              <w:rPr>
                <w:rFonts w:ascii="Arial" w:hAnsi="Arial" w:eastAsia="Arial" w:cs="Arial"/>
                <w:sz w:val="20"/>
                <w:szCs w:val="20"/>
              </w:rPr>
              <w:t>Languages Supported</w:t>
            </w:r>
          </w:p>
        </w:tc>
        <w:tc>
          <w:tcPr>
            <w:tcW w:w="1950" w:type="pct"/>
            <w:shd w:val="solid" w:color="F0F4FF" w:fill="F0F4FF"/>
          </w:tcPr>
          <w:p w14:paraId="5FF47A13">
            <w:pPr>
              <w:jc w:val="center"/>
            </w:pPr>
            <w:r>
              <w:rPr>
                <w:rFonts w:ascii="Arial" w:hAnsi="Arial" w:eastAsia="Arial" w:cs="Arial"/>
                <w:sz w:val="20"/>
                <w:szCs w:val="20"/>
              </w:rPr>
              <w:t>50+ languages</w:t>
            </w:r>
          </w:p>
        </w:tc>
        <w:tc>
          <w:tcPr>
            <w:tcW w:w="1950" w:type="pct"/>
            <w:shd w:val="solid" w:color="F0F4FF" w:fill="F0F4FF"/>
          </w:tcPr>
          <w:p w14:paraId="482570FD">
            <w:pPr>
              <w:jc w:val="center"/>
            </w:pPr>
            <w:r>
              <w:rPr>
                <w:rFonts w:ascii="Arial" w:hAnsi="Arial" w:eastAsia="Arial" w:cs="Arial"/>
                <w:sz w:val="20"/>
                <w:szCs w:val="20"/>
              </w:rPr>
              <w:t>109 languages</w:t>
            </w:r>
          </w:p>
        </w:tc>
      </w:tr>
      <w:tr w14:paraId="458E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FFFFF" w:fill="FFFFFF"/>
          </w:tcPr>
          <w:p w14:paraId="7D28147A">
            <w:pPr>
              <w:jc w:val="center"/>
            </w:pPr>
            <w:r>
              <w:rPr>
                <w:rFonts w:ascii="Arial" w:hAnsi="Arial" w:eastAsia="Arial" w:cs="Arial"/>
                <w:sz w:val="20"/>
                <w:szCs w:val="20"/>
              </w:rPr>
              <w:t>Training Objective</w:t>
            </w:r>
          </w:p>
        </w:tc>
        <w:tc>
          <w:tcPr>
            <w:tcW w:w="1950" w:type="pct"/>
            <w:shd w:val="solid" w:color="FFFFFF" w:fill="FFFFFF"/>
          </w:tcPr>
          <w:p w14:paraId="14FFE23B">
            <w:pPr>
              <w:jc w:val="center"/>
            </w:pPr>
            <w:r>
              <w:rPr>
                <w:rFonts w:ascii="Arial" w:hAnsi="Arial" w:eastAsia="Arial" w:cs="Arial"/>
                <w:sz w:val="20"/>
                <w:szCs w:val="20"/>
              </w:rPr>
              <w:t>Paraphrase similarity across languages</w:t>
            </w:r>
          </w:p>
        </w:tc>
        <w:tc>
          <w:tcPr>
            <w:tcW w:w="1950" w:type="pct"/>
            <w:shd w:val="solid" w:color="FFFFFF" w:fill="FFFFFF"/>
          </w:tcPr>
          <w:p w14:paraId="38F39C19">
            <w:pPr>
              <w:jc w:val="center"/>
            </w:pPr>
            <w:r>
              <w:rPr>
                <w:rFonts w:ascii="Arial" w:hAnsi="Arial" w:eastAsia="Arial" w:cs="Arial"/>
                <w:sz w:val="20"/>
                <w:szCs w:val="20"/>
              </w:rPr>
              <w:t>Translation pair alignment (dual-encoder)</w:t>
            </w:r>
          </w:p>
        </w:tc>
      </w:tr>
      <w:tr w14:paraId="219C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0F4FF" w:fill="F0F4FF"/>
          </w:tcPr>
          <w:p w14:paraId="4C2EBE72">
            <w:pPr>
              <w:jc w:val="center"/>
            </w:pPr>
            <w:r>
              <w:rPr>
                <w:rFonts w:ascii="Arial" w:hAnsi="Arial" w:eastAsia="Arial" w:cs="Arial"/>
                <w:sz w:val="20"/>
                <w:szCs w:val="20"/>
              </w:rPr>
              <w:t>Best At</w:t>
            </w:r>
          </w:p>
        </w:tc>
        <w:tc>
          <w:tcPr>
            <w:tcW w:w="1950" w:type="pct"/>
            <w:shd w:val="solid" w:color="F0F4FF" w:fill="F0F4FF"/>
          </w:tcPr>
          <w:p w14:paraId="60F65EEA">
            <w:pPr>
              <w:jc w:val="center"/>
            </w:pPr>
            <w:r>
              <w:rPr>
                <w:rFonts w:ascii="Arial" w:hAnsi="Arial" w:eastAsia="Arial" w:cs="Arial"/>
                <w:sz w:val="20"/>
                <w:szCs w:val="20"/>
              </w:rPr>
              <w:t>Finding paraphrases and semantic equivalents</w:t>
            </w:r>
          </w:p>
        </w:tc>
        <w:tc>
          <w:tcPr>
            <w:tcW w:w="1950" w:type="pct"/>
            <w:shd w:val="solid" w:color="F0F4FF" w:fill="F0F4FF"/>
          </w:tcPr>
          <w:p w14:paraId="7FEBC184">
            <w:pPr>
              <w:jc w:val="center"/>
            </w:pPr>
            <w:r>
              <w:rPr>
                <w:rFonts w:ascii="Arial" w:hAnsi="Arial" w:eastAsia="Arial" w:cs="Arial"/>
                <w:sz w:val="20"/>
                <w:szCs w:val="20"/>
              </w:rPr>
              <w:t>Matching translation pairs across languages</w:t>
            </w:r>
          </w:p>
        </w:tc>
      </w:tr>
      <w:tr w14:paraId="13E4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FFFFF" w:fill="FFFFFF"/>
          </w:tcPr>
          <w:p w14:paraId="347BA85F">
            <w:pPr>
              <w:jc w:val="center"/>
            </w:pPr>
            <w:r>
              <w:rPr>
                <w:rFonts w:ascii="Arial" w:hAnsi="Arial" w:eastAsia="Arial" w:cs="Arial"/>
                <w:sz w:val="20"/>
                <w:szCs w:val="20"/>
              </w:rPr>
              <w:t>Embedding Size</w:t>
            </w:r>
          </w:p>
        </w:tc>
        <w:tc>
          <w:tcPr>
            <w:tcW w:w="1950" w:type="pct"/>
            <w:shd w:val="solid" w:color="FFFFFF" w:fill="FFFFFF"/>
          </w:tcPr>
          <w:p w14:paraId="4B253F58">
            <w:pPr>
              <w:jc w:val="center"/>
            </w:pPr>
            <w:r>
              <w:rPr>
                <w:rFonts w:ascii="Arial" w:hAnsi="Arial" w:eastAsia="Arial" w:cs="Arial"/>
                <w:sz w:val="20"/>
                <w:szCs w:val="20"/>
              </w:rPr>
              <w:t>768 dimensions</w:t>
            </w:r>
          </w:p>
        </w:tc>
        <w:tc>
          <w:tcPr>
            <w:tcW w:w="1950" w:type="pct"/>
            <w:shd w:val="solid" w:color="FFFFFF" w:fill="FFFFFF"/>
          </w:tcPr>
          <w:p w14:paraId="19119B02">
            <w:pPr>
              <w:jc w:val="center"/>
            </w:pPr>
            <w:r>
              <w:rPr>
                <w:rFonts w:ascii="Arial" w:hAnsi="Arial" w:eastAsia="Arial" w:cs="Arial"/>
                <w:sz w:val="20"/>
                <w:szCs w:val="20"/>
              </w:rPr>
              <w:t>768 dimensions</w:t>
            </w:r>
          </w:p>
        </w:tc>
      </w:tr>
      <w:tr w14:paraId="0F0C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solid" w:color="F0F4FF" w:fill="F0F4FF"/>
          </w:tcPr>
          <w:p w14:paraId="0EC4CB4E">
            <w:pPr>
              <w:jc w:val="center"/>
            </w:pPr>
            <w:r>
              <w:rPr>
                <w:rFonts w:ascii="Arial" w:hAnsi="Arial" w:eastAsia="Arial" w:cs="Arial"/>
                <w:sz w:val="20"/>
                <w:szCs w:val="20"/>
              </w:rPr>
              <w:t>Uses Translation?</w:t>
            </w:r>
          </w:p>
        </w:tc>
        <w:tc>
          <w:tcPr>
            <w:tcW w:w="1950" w:type="pct"/>
            <w:shd w:val="solid" w:color="F0F4FF" w:fill="F0F4FF"/>
          </w:tcPr>
          <w:p w14:paraId="1460A771">
            <w:pPr>
              <w:jc w:val="center"/>
            </w:pPr>
            <w:r>
              <w:rPr>
                <w:rFonts w:ascii="Arial" w:hAnsi="Arial" w:eastAsia="Arial" w:cs="Arial"/>
                <w:sz w:val="20"/>
                <w:szCs w:val="20"/>
              </w:rPr>
              <w:t>No</w:t>
            </w:r>
          </w:p>
        </w:tc>
        <w:tc>
          <w:tcPr>
            <w:tcW w:w="1950" w:type="pct"/>
            <w:shd w:val="solid" w:color="F0F4FF" w:fill="F0F4FF"/>
          </w:tcPr>
          <w:p w14:paraId="7F6980C2">
            <w:pPr>
              <w:jc w:val="center"/>
            </w:pPr>
            <w:r>
              <w:rPr>
                <w:rFonts w:ascii="Arial" w:hAnsi="Arial" w:eastAsia="Arial" w:cs="Arial"/>
                <w:sz w:val="20"/>
                <w:szCs w:val="20"/>
              </w:rPr>
              <w:t>No</w:t>
            </w:r>
          </w:p>
        </w:tc>
      </w:tr>
    </w:tbl>
    <w:p w14:paraId="1F1A7554">
      <w:pPr>
        <w:spacing w:before="80" w:after="80"/>
      </w:pPr>
    </w:p>
    <w:p w14:paraId="06A6AA41">
      <w:pPr>
        <w:pStyle w:val="3"/>
        <w:spacing w:before="280" w:after="160"/>
      </w:pPr>
      <w:r>
        <w:rPr>
          <w:rFonts w:ascii="Arial" w:hAnsi="Arial" w:eastAsia="Arial" w:cs="Arial"/>
          <w:b/>
          <w:bCs/>
          <w:color w:val="2A5298"/>
          <w:sz w:val="26"/>
          <w:szCs w:val="26"/>
        </w:rPr>
        <w:t>3.1 How Similarity is Computed (No Translation)</w:t>
      </w:r>
    </w:p>
    <w:p w14:paraId="4C0A5422">
      <w:pPr>
        <w:spacing w:before="80" w:after="120"/>
        <w:jc w:val="both"/>
      </w:pPr>
      <w:r>
        <w:rPr>
          <w:rFonts w:ascii="Arial" w:hAnsi="Arial" w:eastAsia="Arial" w:cs="Arial"/>
          <w:sz w:val="22"/>
          <w:szCs w:val="22"/>
        </w:rPr>
        <w:t>Once both a Bengali idiom and an English idiom are embedded into their 768-dimensional vectors, similarity is computed using cosine similarity. Because the vectors are L2-normalised, this is simply the dot product of the two vectors. A score of 1.0 means identical meaning, 0.0 means unrelated, and negative values mean opposite meaning.</w:t>
      </w:r>
    </w:p>
    <w:p w14:paraId="4851FA64">
      <w:pPr>
        <w:spacing w:before="80" w:after="80"/>
      </w:pPr>
    </w:p>
    <w:p w14:paraId="092463BE">
      <w:pPr>
        <w:shd w:val="solid" w:fill="F5F5F5"/>
        <w:spacing w:before="100" w:after="100"/>
        <w:rPr>
          <w:shd w:val="clear" w:color="FFFFFF" w:fill="D9D9D9"/>
        </w:rPr>
      </w:pPr>
      <w:r>
        <w:rPr>
          <w:rFonts w:ascii="Courier New" w:hAnsi="Courier New" w:eastAsia="Courier New" w:cs="Courier New"/>
          <w:i/>
          <w:iCs/>
          <w:color w:val="1A1A2E"/>
          <w:sz w:val="20"/>
          <w:szCs w:val="20"/>
          <w:shd w:val="clear" w:color="FFFFFF" w:fill="D9D9D9"/>
        </w:rPr>
        <w:t xml:space="preserve">    Cosine Similarity(Bengali idiom, English idiom) = (embedding_bn · embedding_en)</w:t>
      </w:r>
    </w:p>
    <w:p w14:paraId="01721F48">
      <w:pPr>
        <w:spacing w:before="80" w:after="80"/>
      </w:pPr>
    </w:p>
    <w:p w14:paraId="015BAFD6">
      <w:pPr>
        <w:spacing w:before="80" w:after="120"/>
        <w:jc w:val="both"/>
      </w:pPr>
      <w:r>
        <w:rPr>
          <w:rFonts w:ascii="Arial" w:hAnsi="Arial" w:eastAsia="Arial" w:cs="Arial"/>
          <w:sz w:val="22"/>
          <w:szCs w:val="22"/>
        </w:rPr>
        <w:t>The key insight is that both models map all languages into the SAME vector space. A Bengali idiom about impossible dreams and an English idiom about impossible dreams should land near each other in this space if the model has truly learned cross-lingual figurative semantics.</w:t>
      </w:r>
    </w:p>
    <w:p w14:paraId="63B55422">
      <w:pPr>
        <w:spacing w:before="80" w:after="80"/>
      </w:pPr>
    </w:p>
    <w:p w14:paraId="022F8AB6">
      <w:pPr>
        <w:pStyle w:val="2"/>
        <w:spacing w:before="360" w:after="200"/>
      </w:pPr>
      <w:r>
        <w:rPr>
          <w:rFonts w:ascii="Arial" w:hAnsi="Arial" w:eastAsia="Arial" w:cs="Arial"/>
          <w:b/>
          <w:bCs/>
          <w:sz w:val="32"/>
          <w:szCs w:val="32"/>
        </w:rPr>
        <w:t>4. Three Evaluation Tasks</w:t>
      </w:r>
    </w:p>
    <w:p w14:paraId="260D81F0">
      <w:pPr>
        <w:pStyle w:val="3"/>
        <w:spacing w:before="280" w:after="160"/>
      </w:pPr>
      <w:r>
        <w:rPr>
          <w:rFonts w:ascii="Arial" w:hAnsi="Arial" w:eastAsia="Arial" w:cs="Arial"/>
          <w:b/>
          <w:bCs/>
          <w:color w:val="2A5298"/>
          <w:sz w:val="26"/>
          <w:szCs w:val="26"/>
        </w:rPr>
        <w:t>Task 1 — Semantic Similarity Scoring</w:t>
      </w:r>
    </w:p>
    <w:p w14:paraId="5D373307">
      <w:pPr>
        <w:spacing w:before="80" w:after="120"/>
        <w:jc w:val="both"/>
      </w:pPr>
      <w:r>
        <w:rPr>
          <w:rFonts w:ascii="Arial" w:hAnsi="Arial" w:eastAsia="Arial" w:cs="Arial"/>
          <w:sz w:val="22"/>
          <w:szCs w:val="22"/>
        </w:rPr>
        <w:t>For every (Bengali, English) pair in the dataset, compute the cosine similarity score using both models. This answers: how similar does each model think these two idioms are? A higher mean score across all pairs indicates the model aligns idioms from the two languages more closely together.</w:t>
      </w:r>
    </w:p>
    <w:p w14:paraId="29687729">
      <w:pPr>
        <w:spacing w:before="80" w:after="80"/>
      </w:pPr>
    </w:p>
    <w:p w14:paraId="551BF03F">
      <w:pPr>
        <w:pStyle w:val="3"/>
        <w:spacing w:before="280" w:after="160"/>
      </w:pPr>
      <w:r>
        <w:rPr>
          <w:rFonts w:ascii="Arial" w:hAnsi="Arial" w:eastAsia="Arial" w:cs="Arial"/>
          <w:b/>
          <w:bCs/>
          <w:color w:val="2A5298"/>
          <w:sz w:val="26"/>
          <w:szCs w:val="26"/>
        </w:rPr>
        <w:t>Task 2 — Cross-Lingual Retrieval</w:t>
      </w:r>
    </w:p>
    <w:p w14:paraId="728C679A">
      <w:pPr>
        <w:spacing w:before="80" w:after="120"/>
        <w:jc w:val="both"/>
      </w:pPr>
      <w:r>
        <w:rPr>
          <w:rFonts w:ascii="Arial" w:hAnsi="Arial" w:eastAsia="Arial" w:cs="Arial"/>
          <w:sz w:val="22"/>
          <w:szCs w:val="22"/>
        </w:rPr>
        <w:t>Given a Bengali idiom as a query, rank all English idioms by their similarity score and check where the correct English equivalent appears in the ranked list. This is the hardest and most realistic task — it mirrors real-world usage where you would ask 'what English idiom means the same as this Bengali one?'</w:t>
      </w:r>
    </w:p>
    <w:p w14:paraId="7255AE42">
      <w:pPr>
        <w:spacing w:before="80" w:after="80"/>
      </w:pPr>
    </w:p>
    <w:p w14:paraId="47F0DD2D">
      <w:pPr>
        <w:spacing w:before="80" w:after="120"/>
        <w:jc w:val="both"/>
      </w:pPr>
      <w:r>
        <w:rPr>
          <w:rFonts w:ascii="Arial" w:hAnsi="Arial" w:eastAsia="Arial" w:cs="Arial"/>
          <w:sz w:val="22"/>
          <w:szCs w:val="22"/>
        </w:rPr>
        <w:t>The metrics used are:</w:t>
      </w:r>
    </w:p>
    <w:p w14:paraId="7E215465">
      <w:pPr>
        <w:pStyle w:val="16"/>
        <w:numPr>
          <w:ilvl w:val="0"/>
          <w:numId w:val="1"/>
        </w:numPr>
        <w:spacing w:before="60" w:after="60"/>
      </w:pPr>
      <w:r>
        <w:rPr>
          <w:rFonts w:ascii="Arial" w:hAnsi="Arial" w:eastAsia="Arial" w:cs="Arial"/>
          <w:sz w:val="22"/>
          <w:szCs w:val="22"/>
        </w:rPr>
        <w:t>Average of 1/rank across all queries. If the correct answer is always ranked 1st, MRR = 1.0.</w:t>
      </w:r>
    </w:p>
    <w:p w14:paraId="4CB8F9B4">
      <w:pPr>
        <w:pStyle w:val="16"/>
        <w:numPr>
          <w:ilvl w:val="0"/>
          <w:numId w:val="1"/>
        </w:numPr>
        <w:spacing w:before="60" w:after="60"/>
      </w:pPr>
      <w:r>
        <w:rPr>
          <w:rFonts w:ascii="Arial" w:hAnsi="Arial" w:eastAsia="Arial" w:cs="Arial"/>
          <w:sz w:val="22"/>
          <w:szCs w:val="22"/>
        </w:rPr>
        <w:t>What fraction of queries had the correct answer in position 1.</w:t>
      </w:r>
    </w:p>
    <w:p w14:paraId="7C98E717">
      <w:pPr>
        <w:pStyle w:val="16"/>
        <w:numPr>
          <w:ilvl w:val="0"/>
          <w:numId w:val="1"/>
        </w:numPr>
        <w:spacing w:before="60" w:after="60"/>
      </w:pPr>
      <w:r>
        <w:rPr>
          <w:rFonts w:ascii="Arial" w:hAnsi="Arial" w:eastAsia="Arial" w:cs="Arial"/>
          <w:sz w:val="22"/>
          <w:szCs w:val="22"/>
        </w:rPr>
        <w:t>What fraction of queries had the correct answer in the top 5 results.</w:t>
      </w:r>
    </w:p>
    <w:p w14:paraId="59BD4E97">
      <w:pPr>
        <w:pStyle w:val="16"/>
        <w:numPr>
          <w:ilvl w:val="0"/>
          <w:numId w:val="1"/>
        </w:numPr>
        <w:spacing w:before="60" w:after="60"/>
      </w:pPr>
      <w:r>
        <w:rPr>
          <w:rFonts w:ascii="Arial" w:hAnsi="Arial" w:eastAsia="Arial" w:cs="Arial"/>
          <w:sz w:val="22"/>
          <w:szCs w:val="22"/>
        </w:rPr>
        <w:t>What fraction of queries had the correct answer anywhere in the top 10 results.</w:t>
      </w:r>
    </w:p>
    <w:p w14:paraId="685C2EE9">
      <w:pPr>
        <w:spacing w:before="80" w:after="80"/>
      </w:pPr>
    </w:p>
    <w:p w14:paraId="6F700AAD">
      <w:pPr>
        <w:pStyle w:val="3"/>
        <w:spacing w:before="280" w:after="160"/>
      </w:pPr>
      <w:r>
        <w:rPr>
          <w:rFonts w:ascii="Arial" w:hAnsi="Arial" w:eastAsia="Arial" w:cs="Arial"/>
          <w:b/>
          <w:bCs/>
          <w:color w:val="2A5298"/>
          <w:sz w:val="26"/>
          <w:szCs w:val="26"/>
        </w:rPr>
        <w:t>Task 3 — Cross-Lingual Clustering</w:t>
      </w:r>
    </w:p>
    <w:p w14:paraId="2B587C61">
      <w:pPr>
        <w:spacing w:before="80" w:after="120"/>
        <w:jc w:val="both"/>
      </w:pPr>
      <w:r>
        <w:rPr>
          <w:rFonts w:ascii="Arial" w:hAnsi="Arial" w:eastAsia="Arial" w:cs="Arial"/>
          <w:sz w:val="22"/>
          <w:szCs w:val="22"/>
        </w:rPr>
        <w:t>All Bengali, Hindi, and English idiom embeddings are pooled together and clustered using K-Means (k=50 clusters). If a model truly understands cross-lingual semantics, idioms from different languages that share the same meaning should fall into the same cluster.</w:t>
      </w:r>
    </w:p>
    <w:p w14:paraId="60EFAC4D">
      <w:pPr>
        <w:spacing w:before="80" w:after="80"/>
      </w:pPr>
    </w:p>
    <w:p w14:paraId="2B5D91F4">
      <w:pPr>
        <w:spacing w:before="80" w:after="120"/>
        <w:jc w:val="both"/>
      </w:pPr>
      <w:r>
        <w:rPr>
          <w:rFonts w:ascii="Arial" w:hAnsi="Arial" w:eastAsia="Arial" w:cs="Arial"/>
          <w:sz w:val="22"/>
          <w:szCs w:val="22"/>
        </w:rPr>
        <w:t>The metrics used are:</w:t>
      </w:r>
    </w:p>
    <w:p w14:paraId="3E13D066">
      <w:pPr>
        <w:pStyle w:val="16"/>
        <w:numPr>
          <w:ilvl w:val="0"/>
          <w:numId w:val="1"/>
        </w:numPr>
        <w:spacing w:before="60" w:after="60"/>
      </w:pPr>
      <w:r>
        <w:rPr>
          <w:rFonts w:ascii="Arial" w:hAnsi="Arial" w:eastAsia="Arial" w:cs="Arial"/>
          <w:sz w:val="22"/>
          <w:szCs w:val="22"/>
        </w:rPr>
        <w:t>How well-separated the clusters are. Ranges from -1 to 1. Higher is better; negative means clusters overlap badly.</w:t>
      </w:r>
    </w:p>
    <w:p w14:paraId="0CE2F2B0">
      <w:pPr>
        <w:pStyle w:val="16"/>
        <w:numPr>
          <w:ilvl w:val="0"/>
          <w:numId w:val="1"/>
        </w:numPr>
        <w:spacing w:before="60" w:after="60"/>
      </w:pPr>
      <w:r>
        <w:rPr>
          <w:rFonts w:ascii="Arial" w:hAnsi="Arial" w:eastAsia="Arial" w:cs="Arial"/>
          <w:sz w:val="22"/>
          <w:szCs w:val="22"/>
        </w:rPr>
        <w:t>For each cluster, what fraction of its members belong to the dominant language. High purity means each cluster is mostly one language.</w:t>
      </w:r>
    </w:p>
    <w:p w14:paraId="14F7E3C2">
      <w:pPr>
        <w:pStyle w:val="16"/>
        <w:numPr>
          <w:ilvl w:val="0"/>
          <w:numId w:val="1"/>
        </w:numPr>
        <w:spacing w:before="60" w:after="60"/>
      </w:pPr>
      <w:r>
        <w:rPr>
          <w:rFonts w:ascii="Arial" w:hAnsi="Arial" w:eastAsia="Arial" w:cs="Arial"/>
          <w:sz w:val="22"/>
          <w:szCs w:val="22"/>
        </w:rPr>
        <w:t>What fraction of (Bengali, English, Hindi) triplets all landed in exactly the same cluster. This is the ideal cross-lingual clustering metric.</w:t>
      </w:r>
    </w:p>
    <w:p w14:paraId="45AE8585">
      <w:pPr>
        <w:spacing w:before="80" w:after="80"/>
      </w:pPr>
    </w:p>
    <w:p w14:paraId="424258EF">
      <w:pPr>
        <w:pStyle w:val="2"/>
        <w:spacing w:before="360" w:after="200"/>
      </w:pPr>
      <w:r>
        <w:rPr>
          <w:rFonts w:ascii="Arial" w:hAnsi="Arial" w:eastAsia="Arial" w:cs="Arial"/>
          <w:b/>
          <w:bCs/>
          <w:sz w:val="32"/>
          <w:szCs w:val="32"/>
        </w:rPr>
        <w:t>5. Results</w:t>
      </w:r>
    </w:p>
    <w:p w14:paraId="072FD5D8">
      <w:pPr>
        <w:pStyle w:val="3"/>
        <w:spacing w:before="280" w:after="160"/>
      </w:pPr>
      <w:r>
        <w:rPr>
          <w:rFonts w:ascii="Arial" w:hAnsi="Arial" w:eastAsia="Arial" w:cs="Arial"/>
          <w:b/>
          <w:bCs/>
          <w:color w:val="2A5298"/>
          <w:sz w:val="26"/>
          <w:szCs w:val="26"/>
        </w:rPr>
        <w:t>5.1 Task 1 — Semantic Similarity Scores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1"/>
        <w:gridCol w:w="1411"/>
        <w:gridCol w:w="1411"/>
        <w:gridCol w:w="1129"/>
        <w:gridCol w:w="1411"/>
        <w:gridCol w:w="1693"/>
      </w:tblGrid>
      <w:tr w14:paraId="2EEF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shd w:val="solid" w:color="2A5298" w:fill="2A5298"/>
          </w:tcPr>
          <w:p w14:paraId="5C071402">
            <w:pPr>
              <w:jc w:val="center"/>
            </w:pPr>
            <w:r>
              <w:rPr>
                <w:rFonts w:ascii="Arial" w:hAnsi="Arial" w:eastAsia="Arial" w:cs="Arial"/>
                <w:b/>
                <w:bCs/>
                <w:color w:val="FFFFFF"/>
                <w:sz w:val="20"/>
                <w:szCs w:val="20"/>
              </w:rPr>
              <w:t>Language Pair</w:t>
            </w:r>
          </w:p>
        </w:tc>
        <w:tc>
          <w:tcPr>
            <w:tcW w:w="750" w:type="pct"/>
            <w:shd w:val="solid" w:color="2A5298" w:fill="2A5298"/>
          </w:tcPr>
          <w:p w14:paraId="7BF48C45">
            <w:pPr>
              <w:jc w:val="center"/>
            </w:pPr>
            <w:r>
              <w:rPr>
                <w:rFonts w:ascii="Arial" w:hAnsi="Arial" w:eastAsia="Arial" w:cs="Arial"/>
                <w:b/>
                <w:bCs/>
                <w:color w:val="FFFFFF"/>
                <w:sz w:val="20"/>
                <w:szCs w:val="20"/>
              </w:rPr>
              <w:t>Model</w:t>
            </w:r>
          </w:p>
        </w:tc>
        <w:tc>
          <w:tcPr>
            <w:tcW w:w="750" w:type="pct"/>
            <w:shd w:val="solid" w:color="2A5298" w:fill="2A5298"/>
          </w:tcPr>
          <w:p w14:paraId="5EDF42ED">
            <w:pPr>
              <w:jc w:val="center"/>
            </w:pPr>
            <w:r>
              <w:rPr>
                <w:rFonts w:ascii="Arial" w:hAnsi="Arial" w:eastAsia="Arial" w:cs="Arial"/>
                <w:b/>
                <w:bCs/>
                <w:color w:val="FFFFFF"/>
                <w:sz w:val="20"/>
                <w:szCs w:val="20"/>
              </w:rPr>
              <w:t>Mean Cosine</w:t>
            </w:r>
          </w:p>
        </w:tc>
        <w:tc>
          <w:tcPr>
            <w:tcW w:w="600" w:type="pct"/>
            <w:shd w:val="solid" w:color="2A5298" w:fill="2A5298"/>
          </w:tcPr>
          <w:p w14:paraId="73E69AE6">
            <w:pPr>
              <w:jc w:val="center"/>
            </w:pPr>
            <w:r>
              <w:rPr>
                <w:rFonts w:ascii="Arial" w:hAnsi="Arial" w:eastAsia="Arial" w:cs="Arial"/>
                <w:b/>
                <w:bCs/>
                <w:color w:val="FFFFFF"/>
                <w:sz w:val="20"/>
                <w:szCs w:val="20"/>
              </w:rPr>
              <w:t>Std Dev</w:t>
            </w:r>
          </w:p>
        </w:tc>
        <w:tc>
          <w:tcPr>
            <w:tcW w:w="750" w:type="pct"/>
            <w:shd w:val="solid" w:color="2A5298" w:fill="2A5298"/>
          </w:tcPr>
          <w:p w14:paraId="4E56BDB8">
            <w:pPr>
              <w:jc w:val="center"/>
            </w:pPr>
            <w:r>
              <w:rPr>
                <w:rFonts w:ascii="Arial" w:hAnsi="Arial" w:eastAsia="Arial" w:cs="Arial"/>
                <w:b/>
                <w:bCs/>
                <w:color w:val="FFFFFF"/>
                <w:sz w:val="20"/>
                <w:szCs w:val="20"/>
              </w:rPr>
              <w:t>Median Cosine</w:t>
            </w:r>
          </w:p>
        </w:tc>
        <w:tc>
          <w:tcPr>
            <w:tcW w:w="900" w:type="pct"/>
            <w:shd w:val="solid" w:color="2A5298" w:fill="2A5298"/>
          </w:tcPr>
          <w:p w14:paraId="235C3458">
            <w:pPr>
              <w:jc w:val="center"/>
            </w:pPr>
            <w:r>
              <w:rPr>
                <w:rFonts w:ascii="Arial" w:hAnsi="Arial" w:eastAsia="Arial" w:cs="Arial"/>
                <w:b/>
                <w:bCs/>
                <w:color w:val="FFFFFF"/>
                <w:sz w:val="20"/>
                <w:szCs w:val="20"/>
              </w:rPr>
              <w:t>Winner</w:t>
            </w:r>
          </w:p>
        </w:tc>
      </w:tr>
      <w:tr w14:paraId="0F7D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solid" w:color="F0F4FF" w:fill="F0F4FF"/>
          </w:tcPr>
          <w:p w14:paraId="24CCD070">
            <w:pPr>
              <w:jc w:val="center"/>
            </w:pPr>
            <w:r>
              <w:rPr>
                <w:rFonts w:ascii="Arial" w:hAnsi="Arial" w:eastAsia="Arial" w:cs="Arial"/>
                <w:sz w:val="20"/>
                <w:szCs w:val="20"/>
              </w:rPr>
              <w:t>Bengali–English (bn-en)</w:t>
            </w:r>
          </w:p>
        </w:tc>
        <w:tc>
          <w:tcPr>
            <w:tcW w:w="750" w:type="pct"/>
            <w:shd w:val="solid" w:color="F0F4FF" w:fill="F0F4FF"/>
          </w:tcPr>
          <w:p w14:paraId="3827E89B">
            <w:pPr>
              <w:jc w:val="center"/>
            </w:pPr>
            <w:r>
              <w:rPr>
                <w:rFonts w:ascii="Arial" w:hAnsi="Arial" w:eastAsia="Arial" w:cs="Arial"/>
                <w:sz w:val="20"/>
                <w:szCs w:val="20"/>
              </w:rPr>
              <w:t>mSBERT</w:t>
            </w:r>
          </w:p>
        </w:tc>
        <w:tc>
          <w:tcPr>
            <w:tcW w:w="750" w:type="pct"/>
            <w:shd w:val="solid" w:color="F0F4FF" w:fill="F0F4FF"/>
          </w:tcPr>
          <w:p w14:paraId="22E63DA9">
            <w:pPr>
              <w:jc w:val="center"/>
            </w:pPr>
            <w:r>
              <w:rPr>
                <w:rFonts w:ascii="Arial" w:hAnsi="Arial" w:eastAsia="Arial" w:cs="Arial"/>
                <w:sz w:val="20"/>
                <w:szCs w:val="20"/>
              </w:rPr>
              <w:t>0.4376</w:t>
            </w:r>
          </w:p>
        </w:tc>
        <w:tc>
          <w:tcPr>
            <w:tcW w:w="600" w:type="pct"/>
            <w:shd w:val="solid" w:color="F0F4FF" w:fill="F0F4FF"/>
          </w:tcPr>
          <w:p w14:paraId="2B19377E">
            <w:pPr>
              <w:jc w:val="center"/>
            </w:pPr>
            <w:r>
              <w:rPr>
                <w:rFonts w:ascii="Arial" w:hAnsi="Arial" w:eastAsia="Arial" w:cs="Arial"/>
                <w:sz w:val="20"/>
                <w:szCs w:val="20"/>
              </w:rPr>
              <w:t>0.1422</w:t>
            </w:r>
          </w:p>
        </w:tc>
        <w:tc>
          <w:tcPr>
            <w:tcW w:w="750" w:type="pct"/>
            <w:shd w:val="solid" w:color="F0F4FF" w:fill="F0F4FF"/>
          </w:tcPr>
          <w:p w14:paraId="636777A7">
            <w:pPr>
              <w:jc w:val="center"/>
            </w:pPr>
            <w:r>
              <w:rPr>
                <w:rFonts w:ascii="Arial" w:hAnsi="Arial" w:eastAsia="Arial" w:cs="Arial"/>
                <w:sz w:val="20"/>
                <w:szCs w:val="20"/>
              </w:rPr>
              <w:t>0.4317</w:t>
            </w:r>
          </w:p>
        </w:tc>
        <w:tc>
          <w:tcPr>
            <w:tcW w:w="900" w:type="pct"/>
            <w:shd w:val="solid" w:color="F0F4FF" w:fill="F0F4FF"/>
          </w:tcPr>
          <w:p w14:paraId="3513E45E">
            <w:pPr>
              <w:jc w:val="center"/>
            </w:pPr>
            <w:r>
              <w:rPr>
                <w:rFonts w:ascii="Arial" w:hAnsi="Arial" w:eastAsia="Arial" w:cs="Arial"/>
                <w:sz w:val="20"/>
                <w:szCs w:val="20"/>
              </w:rPr>
              <w:t>✓ mSBERT</w:t>
            </w:r>
          </w:p>
        </w:tc>
      </w:tr>
      <w:tr w14:paraId="356E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shd w:val="solid" w:color="FFFFFF" w:fill="FFFFFF"/>
          </w:tcPr>
          <w:p w14:paraId="0D871854">
            <w:pPr>
              <w:jc w:val="center"/>
            </w:pPr>
            <w:r>
              <w:rPr>
                <w:rFonts w:ascii="Arial" w:hAnsi="Arial" w:eastAsia="Arial" w:cs="Arial"/>
                <w:sz w:val="20"/>
                <w:szCs w:val="20"/>
              </w:rPr>
              <w:t>Bengali–English (bn-en)</w:t>
            </w:r>
          </w:p>
        </w:tc>
        <w:tc>
          <w:tcPr>
            <w:tcW w:w="750" w:type="pct"/>
            <w:shd w:val="solid" w:color="FFFFFF" w:fill="FFFFFF"/>
          </w:tcPr>
          <w:p w14:paraId="131749DF">
            <w:pPr>
              <w:jc w:val="center"/>
            </w:pPr>
            <w:r>
              <w:rPr>
                <w:rFonts w:ascii="Arial" w:hAnsi="Arial" w:eastAsia="Arial" w:cs="Arial"/>
                <w:sz w:val="20"/>
                <w:szCs w:val="20"/>
              </w:rPr>
              <w:t>LaBSE</w:t>
            </w:r>
          </w:p>
        </w:tc>
        <w:tc>
          <w:tcPr>
            <w:tcW w:w="750" w:type="pct"/>
            <w:shd w:val="solid" w:color="FFFFFF" w:fill="FFFFFF"/>
          </w:tcPr>
          <w:p w14:paraId="4F10E84D">
            <w:pPr>
              <w:jc w:val="center"/>
            </w:pPr>
            <w:r>
              <w:rPr>
                <w:rFonts w:ascii="Arial" w:hAnsi="Arial" w:eastAsia="Arial" w:cs="Arial"/>
                <w:sz w:val="20"/>
                <w:szCs w:val="20"/>
              </w:rPr>
              <w:t>0.3878</w:t>
            </w:r>
          </w:p>
        </w:tc>
        <w:tc>
          <w:tcPr>
            <w:tcW w:w="600" w:type="pct"/>
            <w:shd w:val="solid" w:color="FFFFFF" w:fill="FFFFFF"/>
          </w:tcPr>
          <w:p w14:paraId="365AEED9">
            <w:pPr>
              <w:jc w:val="center"/>
            </w:pPr>
            <w:r>
              <w:rPr>
                <w:rFonts w:ascii="Arial" w:hAnsi="Arial" w:eastAsia="Arial" w:cs="Arial"/>
                <w:sz w:val="20"/>
                <w:szCs w:val="20"/>
              </w:rPr>
              <w:t>0.2028</w:t>
            </w:r>
          </w:p>
        </w:tc>
        <w:tc>
          <w:tcPr>
            <w:tcW w:w="750" w:type="pct"/>
            <w:shd w:val="solid" w:color="FFFFFF" w:fill="FFFFFF"/>
          </w:tcPr>
          <w:p w14:paraId="1CFEC5E9">
            <w:pPr>
              <w:jc w:val="center"/>
            </w:pPr>
            <w:r>
              <w:rPr>
                <w:rFonts w:ascii="Arial" w:hAnsi="Arial" w:eastAsia="Arial" w:cs="Arial"/>
                <w:sz w:val="20"/>
                <w:szCs w:val="20"/>
              </w:rPr>
              <w:t>0.3607</w:t>
            </w:r>
          </w:p>
        </w:tc>
        <w:tc>
          <w:tcPr>
            <w:tcW w:w="900" w:type="pct"/>
            <w:shd w:val="solid" w:color="FFFFFF" w:fill="FFFFFF"/>
          </w:tcPr>
          <w:p w14:paraId="2565BADE">
            <w:pPr>
              <w:jc w:val="center"/>
            </w:pPr>
          </w:p>
        </w:tc>
      </w:tr>
    </w:tbl>
    <w:p w14:paraId="28FEE556">
      <w:pPr>
        <w:spacing w:before="80" w:after="80"/>
      </w:pPr>
    </w:p>
    <w:p w14:paraId="76FFAA54">
      <w:pPr>
        <w:spacing w:before="80" w:after="120"/>
        <w:jc w:val="both"/>
      </w:pPr>
      <w:r>
        <w:rPr>
          <w:rFonts w:ascii="Arial" w:hAnsi="Arial" w:eastAsia="Arial" w:cs="Arial"/>
          <w:sz w:val="22"/>
          <w:szCs w:val="22"/>
        </w:rPr>
        <w:t>mSBERT assigns a higher mean cosine similarity (0.438) to Bengali–English idiom pairs than LaBSE (0.388). This difference is statistically significant with t=7.91 and p&lt;0.001, meaning it is very unlikely to be due to chance. mSBERT is better at placing same-meaning idioms close together in the embedding space.</w:t>
      </w:r>
    </w:p>
    <w:p w14:paraId="3731453D">
      <w:pPr>
        <w:spacing w:before="80" w:after="80"/>
      </w:pPr>
    </w:p>
    <w:p w14:paraId="0F0AE0CB">
      <w:pPr>
        <w:spacing w:before="80" w:after="120"/>
        <w:jc w:val="both"/>
      </w:pPr>
      <w:r>
        <w:rPr>
          <w:rFonts w:ascii="Arial" w:hAnsi="Arial" w:eastAsia="Arial" w:cs="Arial"/>
          <w:sz w:val="22"/>
          <w:szCs w:val="22"/>
        </w:rPr>
        <w:t>The higher standard deviation for LaBSE (0.203 vs 0.142) shows that LaBSE is less consistent — some pairs score very high while others score very low. mSBERT produces more uniform scores across all pairs.</w:t>
      </w:r>
    </w:p>
    <w:p w14:paraId="59C1BFB8">
      <w:pPr>
        <w:spacing w:before="80" w:after="80"/>
      </w:pPr>
    </w:p>
    <w:p w14:paraId="30636A97">
      <w:pPr>
        <w:pStyle w:val="3"/>
        <w:spacing w:before="280" w:after="160"/>
      </w:pPr>
      <w:r>
        <w:rPr>
          <w:rFonts w:ascii="Arial" w:hAnsi="Arial" w:eastAsia="Arial" w:cs="Arial"/>
          <w:b/>
          <w:bCs/>
          <w:color w:val="2A5298"/>
          <w:sz w:val="26"/>
          <w:szCs w:val="26"/>
        </w:rPr>
        <w:t>5.2 Task 2 — Cross-Lingual Retrieval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8"/>
        <w:gridCol w:w="1359"/>
        <w:gridCol w:w="1254"/>
        <w:gridCol w:w="1254"/>
        <w:gridCol w:w="1254"/>
        <w:gridCol w:w="1254"/>
        <w:gridCol w:w="1463"/>
      </w:tblGrid>
      <w:tr w14:paraId="2C9A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shd w:val="solid" w:color="2A5298" w:fill="2A5298"/>
          </w:tcPr>
          <w:p w14:paraId="7FCB99AE">
            <w:pPr>
              <w:jc w:val="center"/>
            </w:pPr>
            <w:r>
              <w:rPr>
                <w:rFonts w:ascii="Arial" w:hAnsi="Arial" w:eastAsia="Arial" w:cs="Arial"/>
                <w:b/>
                <w:bCs/>
                <w:color w:val="FFFFFF"/>
                <w:sz w:val="20"/>
                <w:szCs w:val="20"/>
              </w:rPr>
              <w:t>Model</w:t>
            </w:r>
          </w:p>
        </w:tc>
        <w:tc>
          <w:tcPr>
            <w:tcW w:w="650" w:type="pct"/>
            <w:shd w:val="solid" w:color="2A5298" w:fill="2A5298"/>
          </w:tcPr>
          <w:p w14:paraId="200C87DE">
            <w:pPr>
              <w:jc w:val="center"/>
            </w:pPr>
            <w:r>
              <w:rPr>
                <w:rFonts w:ascii="Arial" w:hAnsi="Arial" w:eastAsia="Arial" w:cs="Arial"/>
                <w:b/>
                <w:bCs/>
                <w:color w:val="FFFFFF"/>
                <w:sz w:val="20"/>
                <w:szCs w:val="20"/>
              </w:rPr>
              <w:t>Lang Pair</w:t>
            </w:r>
          </w:p>
        </w:tc>
        <w:tc>
          <w:tcPr>
            <w:tcW w:w="600" w:type="pct"/>
            <w:shd w:val="solid" w:color="2A5298" w:fill="2A5298"/>
          </w:tcPr>
          <w:p w14:paraId="5F4E8473">
            <w:pPr>
              <w:jc w:val="center"/>
            </w:pPr>
            <w:r>
              <w:rPr>
                <w:rFonts w:ascii="Arial" w:hAnsi="Arial" w:eastAsia="Arial" w:cs="Arial"/>
                <w:b/>
                <w:bCs/>
                <w:color w:val="FFFFFF"/>
                <w:sz w:val="20"/>
                <w:szCs w:val="20"/>
              </w:rPr>
              <w:t>MRR</w:t>
            </w:r>
          </w:p>
        </w:tc>
        <w:tc>
          <w:tcPr>
            <w:tcW w:w="600" w:type="pct"/>
            <w:shd w:val="solid" w:color="2A5298" w:fill="2A5298"/>
          </w:tcPr>
          <w:p w14:paraId="036C1459">
            <w:pPr>
              <w:jc w:val="center"/>
            </w:pPr>
            <w:r>
              <w:rPr>
                <w:rFonts w:ascii="Arial" w:hAnsi="Arial" w:eastAsia="Arial" w:cs="Arial"/>
                <w:b/>
                <w:bCs/>
                <w:color w:val="FFFFFF"/>
                <w:sz w:val="20"/>
                <w:szCs w:val="20"/>
              </w:rPr>
              <w:t>P@1</w:t>
            </w:r>
          </w:p>
        </w:tc>
        <w:tc>
          <w:tcPr>
            <w:tcW w:w="600" w:type="pct"/>
            <w:shd w:val="solid" w:color="2A5298" w:fill="2A5298"/>
          </w:tcPr>
          <w:p w14:paraId="0ECC32D0">
            <w:pPr>
              <w:jc w:val="center"/>
            </w:pPr>
            <w:r>
              <w:rPr>
                <w:rFonts w:ascii="Arial" w:hAnsi="Arial" w:eastAsia="Arial" w:cs="Arial"/>
                <w:b/>
                <w:bCs/>
                <w:color w:val="FFFFFF"/>
                <w:sz w:val="20"/>
                <w:szCs w:val="20"/>
              </w:rPr>
              <w:t>P@5</w:t>
            </w:r>
          </w:p>
        </w:tc>
        <w:tc>
          <w:tcPr>
            <w:tcW w:w="600" w:type="pct"/>
            <w:shd w:val="solid" w:color="2A5298" w:fill="2A5298"/>
          </w:tcPr>
          <w:p w14:paraId="535B4E24">
            <w:pPr>
              <w:jc w:val="center"/>
            </w:pPr>
            <w:r>
              <w:rPr>
                <w:rFonts w:ascii="Arial" w:hAnsi="Arial" w:eastAsia="Arial" w:cs="Arial"/>
                <w:b/>
                <w:bCs/>
                <w:color w:val="FFFFFF"/>
                <w:sz w:val="20"/>
                <w:szCs w:val="20"/>
              </w:rPr>
              <w:t>Hit@10</w:t>
            </w:r>
          </w:p>
        </w:tc>
        <w:tc>
          <w:tcPr>
            <w:tcW w:w="700" w:type="pct"/>
            <w:shd w:val="solid" w:color="2A5298" w:fill="2A5298"/>
          </w:tcPr>
          <w:p w14:paraId="45B5B961">
            <w:pPr>
              <w:jc w:val="center"/>
            </w:pPr>
            <w:r>
              <w:rPr>
                <w:rFonts w:ascii="Arial" w:hAnsi="Arial" w:eastAsia="Arial" w:cs="Arial"/>
                <w:b/>
                <w:bCs/>
                <w:color w:val="FFFFFF"/>
                <w:sz w:val="20"/>
                <w:szCs w:val="20"/>
              </w:rPr>
              <w:t>Winner</w:t>
            </w:r>
          </w:p>
        </w:tc>
      </w:tr>
      <w:tr w14:paraId="7597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shd w:val="solid" w:color="F0F4FF" w:fill="F0F4FF"/>
          </w:tcPr>
          <w:p w14:paraId="5E756022">
            <w:pPr>
              <w:jc w:val="center"/>
            </w:pPr>
            <w:r>
              <w:rPr>
                <w:rFonts w:ascii="Arial" w:hAnsi="Arial" w:eastAsia="Arial" w:cs="Arial"/>
                <w:sz w:val="20"/>
                <w:szCs w:val="20"/>
              </w:rPr>
              <w:t>mSBERT</w:t>
            </w:r>
          </w:p>
        </w:tc>
        <w:tc>
          <w:tcPr>
            <w:tcW w:w="650" w:type="pct"/>
            <w:shd w:val="solid" w:color="F0F4FF" w:fill="F0F4FF"/>
          </w:tcPr>
          <w:p w14:paraId="106436FD">
            <w:pPr>
              <w:jc w:val="center"/>
            </w:pPr>
            <w:r>
              <w:rPr>
                <w:rFonts w:ascii="Arial" w:hAnsi="Arial" w:eastAsia="Arial" w:cs="Arial"/>
                <w:sz w:val="20"/>
                <w:szCs w:val="20"/>
              </w:rPr>
              <w:t>bn-en</w:t>
            </w:r>
          </w:p>
        </w:tc>
        <w:tc>
          <w:tcPr>
            <w:tcW w:w="600" w:type="pct"/>
            <w:shd w:val="solid" w:color="F0F4FF" w:fill="F0F4FF"/>
          </w:tcPr>
          <w:p w14:paraId="4268642E">
            <w:pPr>
              <w:jc w:val="center"/>
            </w:pPr>
            <w:r>
              <w:rPr>
                <w:rFonts w:ascii="Arial" w:hAnsi="Arial" w:eastAsia="Arial" w:cs="Arial"/>
                <w:sz w:val="20"/>
                <w:szCs w:val="20"/>
              </w:rPr>
              <w:t>0.0011</w:t>
            </w:r>
          </w:p>
        </w:tc>
        <w:tc>
          <w:tcPr>
            <w:tcW w:w="600" w:type="pct"/>
            <w:shd w:val="solid" w:color="F0F4FF" w:fill="F0F4FF"/>
          </w:tcPr>
          <w:p w14:paraId="48BB8B79">
            <w:pPr>
              <w:jc w:val="center"/>
            </w:pPr>
            <w:r>
              <w:rPr>
                <w:rFonts w:ascii="Arial" w:hAnsi="Arial" w:eastAsia="Arial" w:cs="Arial"/>
                <w:sz w:val="20"/>
                <w:szCs w:val="20"/>
              </w:rPr>
              <w:t>0.0004</w:t>
            </w:r>
          </w:p>
        </w:tc>
        <w:tc>
          <w:tcPr>
            <w:tcW w:w="600" w:type="pct"/>
            <w:shd w:val="solid" w:color="F0F4FF" w:fill="F0F4FF"/>
          </w:tcPr>
          <w:p w14:paraId="6902A23A">
            <w:pPr>
              <w:jc w:val="center"/>
            </w:pPr>
            <w:r>
              <w:rPr>
                <w:rFonts w:ascii="Arial" w:hAnsi="Arial" w:eastAsia="Arial" w:cs="Arial"/>
                <w:sz w:val="20"/>
                <w:szCs w:val="20"/>
              </w:rPr>
              <w:t>0.0019</w:t>
            </w:r>
          </w:p>
        </w:tc>
        <w:tc>
          <w:tcPr>
            <w:tcW w:w="600" w:type="pct"/>
            <w:shd w:val="solid" w:color="F0F4FF" w:fill="F0F4FF"/>
          </w:tcPr>
          <w:p w14:paraId="4D8763B0">
            <w:pPr>
              <w:jc w:val="center"/>
            </w:pPr>
            <w:r>
              <w:rPr>
                <w:rFonts w:ascii="Arial" w:hAnsi="Arial" w:eastAsia="Arial" w:cs="Arial"/>
                <w:sz w:val="20"/>
                <w:szCs w:val="20"/>
              </w:rPr>
              <w:t>0.0028</w:t>
            </w:r>
          </w:p>
        </w:tc>
        <w:tc>
          <w:tcPr>
            <w:tcW w:w="700" w:type="pct"/>
            <w:shd w:val="solid" w:color="F0F4FF" w:fill="F0F4FF"/>
          </w:tcPr>
          <w:p w14:paraId="7742AD95">
            <w:pPr>
              <w:jc w:val="center"/>
            </w:pPr>
          </w:p>
        </w:tc>
      </w:tr>
      <w:tr w14:paraId="7B16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shd w:val="solid" w:color="FFFFFF" w:fill="FFFFFF"/>
          </w:tcPr>
          <w:p w14:paraId="27BAA2EF">
            <w:pPr>
              <w:jc w:val="center"/>
            </w:pPr>
            <w:r>
              <w:rPr>
                <w:rFonts w:ascii="Arial" w:hAnsi="Arial" w:eastAsia="Arial" w:cs="Arial"/>
                <w:sz w:val="20"/>
                <w:szCs w:val="20"/>
              </w:rPr>
              <w:t>LaBSE</w:t>
            </w:r>
          </w:p>
        </w:tc>
        <w:tc>
          <w:tcPr>
            <w:tcW w:w="650" w:type="pct"/>
            <w:shd w:val="solid" w:color="FFFFFF" w:fill="FFFFFF"/>
          </w:tcPr>
          <w:p w14:paraId="1C701B12">
            <w:pPr>
              <w:jc w:val="center"/>
            </w:pPr>
            <w:r>
              <w:rPr>
                <w:rFonts w:ascii="Arial" w:hAnsi="Arial" w:eastAsia="Arial" w:cs="Arial"/>
                <w:sz w:val="20"/>
                <w:szCs w:val="20"/>
              </w:rPr>
              <w:t>bn-en</w:t>
            </w:r>
          </w:p>
        </w:tc>
        <w:tc>
          <w:tcPr>
            <w:tcW w:w="600" w:type="pct"/>
            <w:shd w:val="solid" w:color="FFFFFF" w:fill="FFFFFF"/>
          </w:tcPr>
          <w:p w14:paraId="476C0207">
            <w:pPr>
              <w:jc w:val="center"/>
            </w:pPr>
            <w:r>
              <w:rPr>
                <w:rFonts w:ascii="Arial" w:hAnsi="Arial" w:eastAsia="Arial" w:cs="Arial"/>
                <w:sz w:val="20"/>
                <w:szCs w:val="20"/>
              </w:rPr>
              <w:t>0.0084</w:t>
            </w:r>
          </w:p>
        </w:tc>
        <w:tc>
          <w:tcPr>
            <w:tcW w:w="600" w:type="pct"/>
            <w:shd w:val="solid" w:color="FFFFFF" w:fill="FFFFFF"/>
          </w:tcPr>
          <w:p w14:paraId="5FFE7C85">
            <w:pPr>
              <w:jc w:val="center"/>
            </w:pPr>
            <w:r>
              <w:rPr>
                <w:rFonts w:ascii="Arial" w:hAnsi="Arial" w:eastAsia="Arial" w:cs="Arial"/>
                <w:sz w:val="20"/>
                <w:szCs w:val="20"/>
              </w:rPr>
              <w:t>0.0055</w:t>
            </w:r>
          </w:p>
        </w:tc>
        <w:tc>
          <w:tcPr>
            <w:tcW w:w="600" w:type="pct"/>
            <w:shd w:val="solid" w:color="FFFFFF" w:fill="FFFFFF"/>
          </w:tcPr>
          <w:p w14:paraId="2D09EF1E">
            <w:pPr>
              <w:jc w:val="center"/>
            </w:pPr>
            <w:r>
              <w:rPr>
                <w:rFonts w:ascii="Arial" w:hAnsi="Arial" w:eastAsia="Arial" w:cs="Arial"/>
                <w:sz w:val="20"/>
                <w:szCs w:val="20"/>
              </w:rPr>
              <w:t>0.0119</w:t>
            </w:r>
          </w:p>
        </w:tc>
        <w:tc>
          <w:tcPr>
            <w:tcW w:w="600" w:type="pct"/>
            <w:shd w:val="solid" w:color="FFFFFF" w:fill="FFFFFF"/>
          </w:tcPr>
          <w:p w14:paraId="3E7E17A4">
            <w:pPr>
              <w:jc w:val="center"/>
            </w:pPr>
            <w:r>
              <w:rPr>
                <w:rFonts w:ascii="Arial" w:hAnsi="Arial" w:eastAsia="Arial" w:cs="Arial"/>
                <w:sz w:val="20"/>
                <w:szCs w:val="20"/>
              </w:rPr>
              <w:t>0.0148</w:t>
            </w:r>
          </w:p>
        </w:tc>
        <w:tc>
          <w:tcPr>
            <w:tcW w:w="700" w:type="pct"/>
            <w:shd w:val="solid" w:color="FFFFFF" w:fill="FFFFFF"/>
          </w:tcPr>
          <w:p w14:paraId="413E8A0E">
            <w:pPr>
              <w:jc w:val="center"/>
            </w:pPr>
            <w:r>
              <w:rPr>
                <w:rFonts w:ascii="Arial" w:hAnsi="Arial" w:eastAsia="Arial" w:cs="Arial"/>
                <w:sz w:val="20"/>
                <w:szCs w:val="20"/>
              </w:rPr>
              <w:t>✓ LaBSE</w:t>
            </w:r>
          </w:p>
        </w:tc>
      </w:tr>
      <w:tr w14:paraId="263E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shd w:val="solid" w:color="F0F4FF" w:fill="F0F4FF"/>
          </w:tcPr>
          <w:p w14:paraId="06F0F3F5">
            <w:pPr>
              <w:jc w:val="center"/>
            </w:pPr>
            <w:r>
              <w:rPr>
                <w:rFonts w:ascii="Arial" w:hAnsi="Arial" w:eastAsia="Arial" w:cs="Arial"/>
                <w:sz w:val="20"/>
                <w:szCs w:val="20"/>
              </w:rPr>
              <w:t>mSBERT</w:t>
            </w:r>
          </w:p>
        </w:tc>
        <w:tc>
          <w:tcPr>
            <w:tcW w:w="650" w:type="pct"/>
            <w:shd w:val="solid" w:color="F0F4FF" w:fill="F0F4FF"/>
          </w:tcPr>
          <w:p w14:paraId="12574C27">
            <w:pPr>
              <w:jc w:val="center"/>
            </w:pPr>
            <w:r>
              <w:rPr>
                <w:rFonts w:ascii="Arial" w:hAnsi="Arial" w:eastAsia="Arial" w:cs="Arial"/>
                <w:sz w:val="20"/>
                <w:szCs w:val="20"/>
              </w:rPr>
              <w:t>bn-hi</w:t>
            </w:r>
          </w:p>
        </w:tc>
        <w:tc>
          <w:tcPr>
            <w:tcW w:w="600" w:type="pct"/>
            <w:shd w:val="solid" w:color="F0F4FF" w:fill="F0F4FF"/>
          </w:tcPr>
          <w:p w14:paraId="4520AAFB">
            <w:pPr>
              <w:jc w:val="center"/>
            </w:pPr>
            <w:r>
              <w:rPr>
                <w:rFonts w:ascii="Arial" w:hAnsi="Arial" w:eastAsia="Arial" w:cs="Arial"/>
                <w:sz w:val="20"/>
                <w:szCs w:val="20"/>
              </w:rPr>
              <w:t>N/A</w:t>
            </w:r>
          </w:p>
        </w:tc>
        <w:tc>
          <w:tcPr>
            <w:tcW w:w="600" w:type="pct"/>
            <w:shd w:val="solid" w:color="F0F4FF" w:fill="F0F4FF"/>
          </w:tcPr>
          <w:p w14:paraId="3DF0D0F7">
            <w:pPr>
              <w:jc w:val="center"/>
            </w:pPr>
            <w:r>
              <w:rPr>
                <w:rFonts w:ascii="Arial" w:hAnsi="Arial" w:eastAsia="Arial" w:cs="Arial"/>
                <w:sz w:val="20"/>
                <w:szCs w:val="20"/>
              </w:rPr>
              <w:t>N/A</w:t>
            </w:r>
          </w:p>
        </w:tc>
        <w:tc>
          <w:tcPr>
            <w:tcW w:w="600" w:type="pct"/>
            <w:shd w:val="solid" w:color="F0F4FF" w:fill="F0F4FF"/>
          </w:tcPr>
          <w:p w14:paraId="67C6BA5A">
            <w:pPr>
              <w:jc w:val="center"/>
            </w:pPr>
            <w:r>
              <w:rPr>
                <w:rFonts w:ascii="Arial" w:hAnsi="Arial" w:eastAsia="Arial" w:cs="Arial"/>
                <w:sz w:val="20"/>
                <w:szCs w:val="20"/>
              </w:rPr>
              <w:t>N/A</w:t>
            </w:r>
          </w:p>
        </w:tc>
        <w:tc>
          <w:tcPr>
            <w:tcW w:w="600" w:type="pct"/>
            <w:shd w:val="solid" w:color="F0F4FF" w:fill="F0F4FF"/>
          </w:tcPr>
          <w:p w14:paraId="4D9F0CB3">
            <w:pPr>
              <w:jc w:val="center"/>
            </w:pPr>
            <w:r>
              <w:rPr>
                <w:rFonts w:ascii="Arial" w:hAnsi="Arial" w:eastAsia="Arial" w:cs="Arial"/>
                <w:sz w:val="20"/>
                <w:szCs w:val="20"/>
              </w:rPr>
              <w:t>N/A</w:t>
            </w:r>
          </w:p>
        </w:tc>
        <w:tc>
          <w:tcPr>
            <w:tcW w:w="700" w:type="pct"/>
            <w:shd w:val="solid" w:color="F0F4FF" w:fill="F0F4FF"/>
          </w:tcPr>
          <w:p w14:paraId="153029E2">
            <w:pPr>
              <w:jc w:val="center"/>
            </w:pPr>
          </w:p>
        </w:tc>
      </w:tr>
      <w:tr w14:paraId="0006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shd w:val="solid" w:color="FFFFFF" w:fill="FFFFFF"/>
          </w:tcPr>
          <w:p w14:paraId="53666676">
            <w:pPr>
              <w:jc w:val="center"/>
            </w:pPr>
            <w:r>
              <w:rPr>
                <w:rFonts w:ascii="Arial" w:hAnsi="Arial" w:eastAsia="Arial" w:cs="Arial"/>
                <w:sz w:val="20"/>
                <w:szCs w:val="20"/>
              </w:rPr>
              <w:t>LaBSE</w:t>
            </w:r>
          </w:p>
        </w:tc>
        <w:tc>
          <w:tcPr>
            <w:tcW w:w="650" w:type="pct"/>
            <w:shd w:val="solid" w:color="FFFFFF" w:fill="FFFFFF"/>
          </w:tcPr>
          <w:p w14:paraId="54784521">
            <w:pPr>
              <w:jc w:val="center"/>
            </w:pPr>
            <w:r>
              <w:rPr>
                <w:rFonts w:ascii="Arial" w:hAnsi="Arial" w:eastAsia="Arial" w:cs="Arial"/>
                <w:sz w:val="20"/>
                <w:szCs w:val="20"/>
              </w:rPr>
              <w:t>bn-hi</w:t>
            </w:r>
          </w:p>
        </w:tc>
        <w:tc>
          <w:tcPr>
            <w:tcW w:w="600" w:type="pct"/>
            <w:shd w:val="solid" w:color="FFFFFF" w:fill="FFFFFF"/>
          </w:tcPr>
          <w:p w14:paraId="685099F0">
            <w:pPr>
              <w:jc w:val="center"/>
            </w:pPr>
            <w:r>
              <w:rPr>
                <w:rFonts w:ascii="Arial" w:hAnsi="Arial" w:eastAsia="Arial" w:cs="Arial"/>
                <w:sz w:val="20"/>
                <w:szCs w:val="20"/>
              </w:rPr>
              <w:t>N/A</w:t>
            </w:r>
          </w:p>
        </w:tc>
        <w:tc>
          <w:tcPr>
            <w:tcW w:w="600" w:type="pct"/>
            <w:shd w:val="solid" w:color="FFFFFF" w:fill="FFFFFF"/>
          </w:tcPr>
          <w:p w14:paraId="37D15486">
            <w:pPr>
              <w:jc w:val="center"/>
            </w:pPr>
            <w:r>
              <w:rPr>
                <w:rFonts w:ascii="Arial" w:hAnsi="Arial" w:eastAsia="Arial" w:cs="Arial"/>
                <w:sz w:val="20"/>
                <w:szCs w:val="20"/>
              </w:rPr>
              <w:t>N/A</w:t>
            </w:r>
          </w:p>
        </w:tc>
        <w:tc>
          <w:tcPr>
            <w:tcW w:w="600" w:type="pct"/>
            <w:shd w:val="solid" w:color="FFFFFF" w:fill="FFFFFF"/>
          </w:tcPr>
          <w:p w14:paraId="4DBA21A1">
            <w:pPr>
              <w:jc w:val="center"/>
            </w:pPr>
            <w:r>
              <w:rPr>
                <w:rFonts w:ascii="Arial" w:hAnsi="Arial" w:eastAsia="Arial" w:cs="Arial"/>
                <w:sz w:val="20"/>
                <w:szCs w:val="20"/>
              </w:rPr>
              <w:t>N/A</w:t>
            </w:r>
          </w:p>
        </w:tc>
        <w:tc>
          <w:tcPr>
            <w:tcW w:w="600" w:type="pct"/>
            <w:shd w:val="solid" w:color="FFFFFF" w:fill="FFFFFF"/>
          </w:tcPr>
          <w:p w14:paraId="49C6D123">
            <w:pPr>
              <w:jc w:val="center"/>
            </w:pPr>
            <w:r>
              <w:rPr>
                <w:rFonts w:ascii="Arial" w:hAnsi="Arial" w:eastAsia="Arial" w:cs="Arial"/>
                <w:sz w:val="20"/>
                <w:szCs w:val="20"/>
              </w:rPr>
              <w:t>N/A</w:t>
            </w:r>
          </w:p>
        </w:tc>
        <w:tc>
          <w:tcPr>
            <w:tcW w:w="700" w:type="pct"/>
            <w:shd w:val="solid" w:color="FFFFFF" w:fill="FFFFFF"/>
          </w:tcPr>
          <w:p w14:paraId="4469BD09">
            <w:pPr>
              <w:jc w:val="center"/>
            </w:pPr>
          </w:p>
        </w:tc>
      </w:tr>
    </w:tbl>
    <w:p w14:paraId="15E708C2">
      <w:pPr>
        <w:spacing w:before="80" w:after="80"/>
      </w:pPr>
    </w:p>
    <w:p w14:paraId="19123613">
      <w:pPr>
        <w:spacing w:before="80" w:after="120"/>
        <w:jc w:val="both"/>
      </w:pPr>
      <w:r>
        <w:rPr>
          <w:rFonts w:ascii="Arial" w:hAnsi="Arial" w:eastAsia="Arial" w:cs="Arial"/>
          <w:sz w:val="22"/>
          <w:szCs w:val="22"/>
        </w:rPr>
        <w:t>LaBSE wins on every retrieval metric. Its MRR of 0.0084 is approximately 7.6 times higher than mSBERT's 0.0011. LaBSE's Hit@10 of 0.0148 means that in about 1.5% of queries the correct English idiom appeared somewhere in the top 10 results, compared to just 0.28% for mSBERT.</w:t>
      </w:r>
    </w:p>
    <w:p w14:paraId="4222E2DC">
      <w:pPr>
        <w:spacing w:before="80" w:after="80"/>
      </w:pPr>
    </w:p>
    <w:p w14:paraId="1E3D0995">
      <w:pPr>
        <w:spacing w:before="80" w:after="120"/>
        <w:jc w:val="both"/>
      </w:pPr>
      <w:r>
        <w:rPr>
          <w:rFonts w:ascii="Arial" w:hAnsi="Arial" w:eastAsia="Arial" w:cs="Arial"/>
          <w:sz w:val="22"/>
          <w:szCs w:val="22"/>
        </w:rPr>
        <w:t>Important context: all retrieval scores are low because the Bengali dataset has approximately 8,800 idioms while the English pool has around 500. Most Bengali idioms have no true equivalent in the English pool, making retrieval extremely difficult. The scores reflect the difficulty of the task and the dataset imbalance rather than a complete failure of the models.</w:t>
      </w:r>
    </w:p>
    <w:p w14:paraId="510ABC9D">
      <w:pPr>
        <w:spacing w:before="80" w:after="80"/>
      </w:pPr>
    </w:p>
    <w:p w14:paraId="63BE085F">
      <w:pPr>
        <w:spacing w:before="80" w:after="120"/>
        <w:jc w:val="both"/>
      </w:pPr>
      <w:r>
        <w:rPr>
          <w:rFonts w:ascii="Arial" w:hAnsi="Arial" w:eastAsia="Arial" w:cs="Arial"/>
          <w:sz w:val="22"/>
          <w:szCs w:val="22"/>
        </w:rPr>
        <w:t>Bengali–Hindi retrieval returned no results (N/A) because the pairs_bn_hi.csv file was empty. This is a data pipeline issue — the keyword-based matching between Bengali meanings and Hindi meanings did not find sufficient overlap to generate pairs. This is a known limitation and a direction for future work.</w:t>
      </w:r>
    </w:p>
    <w:p w14:paraId="06AFC407">
      <w:pPr>
        <w:spacing w:before="80" w:after="80"/>
      </w:pPr>
    </w:p>
    <w:p w14:paraId="64BD3DA4">
      <w:pPr>
        <w:pStyle w:val="3"/>
        <w:spacing w:before="280" w:after="160"/>
      </w:pPr>
      <w:r>
        <w:rPr>
          <w:rFonts w:ascii="Arial" w:hAnsi="Arial" w:eastAsia="Arial" w:cs="Arial"/>
          <w:b/>
          <w:bCs/>
          <w:color w:val="2A5298"/>
          <w:sz w:val="26"/>
          <w:szCs w:val="26"/>
        </w:rPr>
        <w:t>5.3 Task 3 — Clustering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301"/>
        <w:gridCol w:w="1201"/>
        <w:gridCol w:w="1301"/>
        <w:gridCol w:w="1201"/>
        <w:gridCol w:w="1801"/>
        <w:gridCol w:w="1201"/>
      </w:tblGrid>
      <w:tr w14:paraId="45F6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pct"/>
            <w:shd w:val="solid" w:color="2A5298" w:fill="2A5298"/>
          </w:tcPr>
          <w:p w14:paraId="30CC2562">
            <w:pPr>
              <w:jc w:val="center"/>
            </w:pPr>
            <w:r>
              <w:rPr>
                <w:rFonts w:ascii="Arial" w:hAnsi="Arial" w:eastAsia="Arial" w:cs="Arial"/>
                <w:b/>
                <w:bCs/>
                <w:color w:val="FFFFFF"/>
                <w:sz w:val="20"/>
                <w:szCs w:val="20"/>
              </w:rPr>
              <w:t>Model</w:t>
            </w:r>
          </w:p>
        </w:tc>
        <w:tc>
          <w:tcPr>
            <w:tcW w:w="650" w:type="pct"/>
            <w:shd w:val="solid" w:color="2A5298" w:fill="2A5298"/>
          </w:tcPr>
          <w:p w14:paraId="59C18CC6">
            <w:pPr>
              <w:jc w:val="center"/>
            </w:pPr>
            <w:r>
              <w:rPr>
                <w:rFonts w:ascii="Arial" w:hAnsi="Arial" w:eastAsia="Arial" w:cs="Arial"/>
                <w:b/>
                <w:bCs/>
                <w:color w:val="FFFFFF"/>
                <w:sz w:val="20"/>
                <w:szCs w:val="20"/>
              </w:rPr>
              <w:t>Total Idioms</w:t>
            </w:r>
          </w:p>
        </w:tc>
        <w:tc>
          <w:tcPr>
            <w:tcW w:w="600" w:type="pct"/>
            <w:shd w:val="solid" w:color="2A5298" w:fill="2A5298"/>
          </w:tcPr>
          <w:p w14:paraId="6CC344D8">
            <w:pPr>
              <w:jc w:val="center"/>
            </w:pPr>
            <w:r>
              <w:rPr>
                <w:rFonts w:ascii="Arial" w:hAnsi="Arial" w:eastAsia="Arial" w:cs="Arial"/>
                <w:b/>
                <w:bCs/>
                <w:color w:val="FFFFFF"/>
                <w:sz w:val="20"/>
                <w:szCs w:val="20"/>
              </w:rPr>
              <w:t>Clusters</w:t>
            </w:r>
          </w:p>
        </w:tc>
        <w:tc>
          <w:tcPr>
            <w:tcW w:w="650" w:type="pct"/>
            <w:shd w:val="solid" w:color="2A5298" w:fill="2A5298"/>
          </w:tcPr>
          <w:p w14:paraId="64603D1F">
            <w:pPr>
              <w:jc w:val="center"/>
            </w:pPr>
            <w:r>
              <w:rPr>
                <w:rFonts w:ascii="Arial" w:hAnsi="Arial" w:eastAsia="Arial" w:cs="Arial"/>
                <w:b/>
                <w:bCs/>
                <w:color w:val="FFFFFF"/>
                <w:sz w:val="20"/>
                <w:szCs w:val="20"/>
              </w:rPr>
              <w:t>Silhouette</w:t>
            </w:r>
          </w:p>
        </w:tc>
        <w:tc>
          <w:tcPr>
            <w:tcW w:w="600" w:type="pct"/>
            <w:shd w:val="solid" w:color="2A5298" w:fill="2A5298"/>
          </w:tcPr>
          <w:p w14:paraId="6BBEA0C8">
            <w:pPr>
              <w:jc w:val="center"/>
            </w:pPr>
            <w:r>
              <w:rPr>
                <w:rFonts w:ascii="Arial" w:hAnsi="Arial" w:eastAsia="Arial" w:cs="Arial"/>
                <w:b/>
                <w:bCs/>
                <w:color w:val="FFFFFF"/>
                <w:sz w:val="20"/>
                <w:szCs w:val="20"/>
              </w:rPr>
              <w:t>Purity</w:t>
            </w:r>
          </w:p>
        </w:tc>
        <w:tc>
          <w:tcPr>
            <w:tcW w:w="900" w:type="pct"/>
            <w:shd w:val="solid" w:color="2A5298" w:fill="2A5298"/>
          </w:tcPr>
          <w:p w14:paraId="76C09B0B">
            <w:pPr>
              <w:jc w:val="center"/>
            </w:pPr>
            <w:r>
              <w:rPr>
                <w:rFonts w:ascii="Arial" w:hAnsi="Arial" w:eastAsia="Arial" w:cs="Arial"/>
                <w:b/>
                <w:bCs/>
                <w:color w:val="FFFFFF"/>
                <w:sz w:val="20"/>
                <w:szCs w:val="20"/>
              </w:rPr>
              <w:t>Triplet Cohesion</w:t>
            </w:r>
          </w:p>
        </w:tc>
        <w:tc>
          <w:tcPr>
            <w:tcW w:w="600" w:type="pct"/>
            <w:shd w:val="solid" w:color="2A5298" w:fill="2A5298"/>
          </w:tcPr>
          <w:p w14:paraId="324DFDCA">
            <w:pPr>
              <w:jc w:val="center"/>
            </w:pPr>
            <w:r>
              <w:rPr>
                <w:rFonts w:ascii="Arial" w:hAnsi="Arial" w:eastAsia="Arial" w:cs="Arial"/>
                <w:b/>
                <w:bCs/>
                <w:color w:val="FFFFFF"/>
                <w:sz w:val="20"/>
                <w:szCs w:val="20"/>
              </w:rPr>
              <w:t>Winner</w:t>
            </w:r>
          </w:p>
        </w:tc>
      </w:tr>
      <w:tr w14:paraId="352B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Pr>
          <w:p w14:paraId="7185F9D9">
            <w:pPr>
              <w:jc w:val="center"/>
            </w:pPr>
            <w:r>
              <w:rPr>
                <w:rFonts w:ascii="Arial" w:hAnsi="Arial" w:eastAsia="Arial" w:cs="Arial"/>
                <w:sz w:val="20"/>
                <w:szCs w:val="20"/>
              </w:rPr>
              <w:t>mSBERT</w:t>
            </w:r>
          </w:p>
        </w:tc>
        <w:tc>
          <w:tcPr>
            <w:tcW w:w="650" w:type="pct"/>
            <w:shd w:val="solid" w:color="F0F4FF" w:fill="F0F4FF"/>
          </w:tcPr>
          <w:p w14:paraId="6C351684">
            <w:pPr>
              <w:jc w:val="center"/>
            </w:pPr>
            <w:r>
              <w:rPr>
                <w:rFonts w:ascii="Arial" w:hAnsi="Arial" w:eastAsia="Arial" w:cs="Arial"/>
                <w:sz w:val="20"/>
                <w:szCs w:val="20"/>
              </w:rPr>
              <w:t>23,216</w:t>
            </w:r>
          </w:p>
        </w:tc>
        <w:tc>
          <w:tcPr>
            <w:tcW w:w="600" w:type="pct"/>
            <w:shd w:val="solid" w:color="F0F4FF" w:fill="F0F4FF"/>
          </w:tcPr>
          <w:p w14:paraId="5FF29348">
            <w:pPr>
              <w:jc w:val="center"/>
            </w:pPr>
            <w:r>
              <w:rPr>
                <w:rFonts w:ascii="Arial" w:hAnsi="Arial" w:eastAsia="Arial" w:cs="Arial"/>
                <w:sz w:val="20"/>
                <w:szCs w:val="20"/>
              </w:rPr>
              <w:t>50</w:t>
            </w:r>
          </w:p>
        </w:tc>
        <w:tc>
          <w:tcPr>
            <w:tcW w:w="650" w:type="pct"/>
            <w:shd w:val="solid" w:color="F0F4FF" w:fill="F0F4FF"/>
          </w:tcPr>
          <w:p w14:paraId="56462E3D">
            <w:pPr>
              <w:jc w:val="center"/>
            </w:pPr>
            <w:r>
              <w:rPr>
                <w:rFonts w:ascii="Arial" w:hAnsi="Arial" w:eastAsia="Arial" w:cs="Arial"/>
                <w:sz w:val="20"/>
                <w:szCs w:val="20"/>
              </w:rPr>
              <w:t>-0.0204</w:t>
            </w:r>
          </w:p>
        </w:tc>
        <w:tc>
          <w:tcPr>
            <w:tcW w:w="600" w:type="pct"/>
            <w:shd w:val="solid" w:color="F0F4FF" w:fill="F0F4FF"/>
          </w:tcPr>
          <w:p w14:paraId="541CB52F">
            <w:pPr>
              <w:jc w:val="center"/>
            </w:pPr>
            <w:r>
              <w:rPr>
                <w:rFonts w:ascii="Arial" w:hAnsi="Arial" w:eastAsia="Arial" w:cs="Arial"/>
                <w:sz w:val="20"/>
                <w:szCs w:val="20"/>
              </w:rPr>
              <w:t>0.9164</w:t>
            </w:r>
          </w:p>
        </w:tc>
        <w:tc>
          <w:tcPr>
            <w:tcW w:w="900" w:type="pct"/>
            <w:shd w:val="solid" w:color="F0F4FF" w:fill="F0F4FF"/>
          </w:tcPr>
          <w:p w14:paraId="2F1747EF">
            <w:pPr>
              <w:jc w:val="center"/>
            </w:pPr>
            <w:r>
              <w:rPr>
                <w:rFonts w:ascii="Arial" w:hAnsi="Arial" w:eastAsia="Arial" w:cs="Arial"/>
                <w:sz w:val="20"/>
                <w:szCs w:val="20"/>
              </w:rPr>
              <w:t>0.000</w:t>
            </w:r>
          </w:p>
        </w:tc>
        <w:tc>
          <w:tcPr>
            <w:tcW w:w="600" w:type="pct"/>
            <w:shd w:val="solid" w:color="F0F4FF" w:fill="F0F4FF"/>
          </w:tcPr>
          <w:p w14:paraId="2682FD46">
            <w:pPr>
              <w:jc w:val="center"/>
            </w:pPr>
          </w:p>
        </w:tc>
      </w:tr>
      <w:tr w14:paraId="0937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Pr>
          <w:p w14:paraId="088D7B78">
            <w:pPr>
              <w:jc w:val="center"/>
            </w:pPr>
            <w:r>
              <w:rPr>
                <w:rFonts w:ascii="Arial" w:hAnsi="Arial" w:eastAsia="Arial" w:cs="Arial"/>
                <w:sz w:val="20"/>
                <w:szCs w:val="20"/>
              </w:rPr>
              <w:t>LaBSE</w:t>
            </w:r>
          </w:p>
        </w:tc>
        <w:tc>
          <w:tcPr>
            <w:tcW w:w="650" w:type="pct"/>
            <w:shd w:val="solid" w:color="FFFFFF" w:fill="FFFFFF"/>
          </w:tcPr>
          <w:p w14:paraId="5ED3D8D0">
            <w:pPr>
              <w:jc w:val="center"/>
            </w:pPr>
            <w:r>
              <w:rPr>
                <w:rFonts w:ascii="Arial" w:hAnsi="Arial" w:eastAsia="Arial" w:cs="Arial"/>
                <w:sz w:val="20"/>
                <w:szCs w:val="20"/>
              </w:rPr>
              <w:t>23,216</w:t>
            </w:r>
          </w:p>
        </w:tc>
        <w:tc>
          <w:tcPr>
            <w:tcW w:w="600" w:type="pct"/>
            <w:shd w:val="solid" w:color="FFFFFF" w:fill="FFFFFF"/>
          </w:tcPr>
          <w:p w14:paraId="3A8ED611">
            <w:pPr>
              <w:jc w:val="center"/>
            </w:pPr>
            <w:r>
              <w:rPr>
                <w:rFonts w:ascii="Arial" w:hAnsi="Arial" w:eastAsia="Arial" w:cs="Arial"/>
                <w:sz w:val="20"/>
                <w:szCs w:val="20"/>
              </w:rPr>
              <w:t>50</w:t>
            </w:r>
          </w:p>
        </w:tc>
        <w:tc>
          <w:tcPr>
            <w:tcW w:w="650" w:type="pct"/>
            <w:shd w:val="solid" w:color="FFFFFF" w:fill="FFFFFF"/>
          </w:tcPr>
          <w:p w14:paraId="73A7D66C">
            <w:pPr>
              <w:jc w:val="center"/>
            </w:pPr>
            <w:r>
              <w:rPr>
                <w:rFonts w:ascii="Arial" w:hAnsi="Arial" w:eastAsia="Arial" w:cs="Arial"/>
                <w:sz w:val="20"/>
                <w:szCs w:val="20"/>
              </w:rPr>
              <w:t>0.0412</w:t>
            </w:r>
          </w:p>
        </w:tc>
        <w:tc>
          <w:tcPr>
            <w:tcW w:w="600" w:type="pct"/>
            <w:shd w:val="solid" w:color="FFFFFF" w:fill="FFFFFF"/>
          </w:tcPr>
          <w:p w14:paraId="621268DF">
            <w:pPr>
              <w:jc w:val="center"/>
            </w:pPr>
            <w:r>
              <w:rPr>
                <w:rFonts w:ascii="Arial" w:hAnsi="Arial" w:eastAsia="Arial" w:cs="Arial"/>
                <w:sz w:val="20"/>
                <w:szCs w:val="20"/>
              </w:rPr>
              <w:t>0.7511</w:t>
            </w:r>
          </w:p>
        </w:tc>
        <w:tc>
          <w:tcPr>
            <w:tcW w:w="900" w:type="pct"/>
            <w:shd w:val="solid" w:color="FFFFFF" w:fill="FFFFFF"/>
          </w:tcPr>
          <w:p w14:paraId="74670910">
            <w:pPr>
              <w:jc w:val="center"/>
            </w:pPr>
            <w:r>
              <w:rPr>
                <w:rFonts w:ascii="Arial" w:hAnsi="Arial" w:eastAsia="Arial" w:cs="Arial"/>
                <w:sz w:val="20"/>
                <w:szCs w:val="20"/>
              </w:rPr>
              <w:t>0.000</w:t>
            </w:r>
          </w:p>
        </w:tc>
        <w:tc>
          <w:tcPr>
            <w:tcW w:w="600" w:type="pct"/>
            <w:shd w:val="solid" w:color="FFFFFF" w:fill="FFFFFF"/>
          </w:tcPr>
          <w:p w14:paraId="09E15689">
            <w:pPr>
              <w:jc w:val="center"/>
            </w:pPr>
            <w:r>
              <w:rPr>
                <w:rFonts w:ascii="Arial" w:hAnsi="Arial" w:eastAsia="Arial" w:cs="Arial"/>
                <w:sz w:val="20"/>
                <w:szCs w:val="20"/>
              </w:rPr>
              <w:t>✓ LaBSE</w:t>
            </w:r>
          </w:p>
        </w:tc>
      </w:tr>
    </w:tbl>
    <w:p w14:paraId="044C39D7">
      <w:pPr>
        <w:spacing w:before="80" w:after="80"/>
      </w:pPr>
    </w:p>
    <w:p w14:paraId="35E11A01">
      <w:pPr>
        <w:spacing w:before="80" w:after="120"/>
        <w:jc w:val="both"/>
      </w:pPr>
      <w:r>
        <w:rPr>
          <w:rFonts w:ascii="Arial" w:hAnsi="Arial" w:eastAsia="Arial" w:cs="Arial"/>
          <w:sz w:val="22"/>
          <w:szCs w:val="22"/>
        </w:rPr>
        <w:t>LaBSE produces better-separated clusters (silhouette = 0.041 vs -0.020). A negative silhouette for mSBERT means its clusters actually overlap — points are on average closer to a neighbouring cluster than to their own cluster. LaBSE's positive silhouette, while still close to zero, indicates at least some meaningful separation.</w:t>
      </w:r>
    </w:p>
    <w:p w14:paraId="7AC71177">
      <w:pPr>
        <w:spacing w:before="80" w:after="80"/>
      </w:pPr>
    </w:p>
    <w:p w14:paraId="37C4A554">
      <w:pPr>
        <w:spacing w:before="80" w:after="120"/>
        <w:jc w:val="both"/>
      </w:pPr>
      <w:r>
        <w:rPr>
          <w:rFonts w:ascii="Arial" w:hAnsi="Arial" w:eastAsia="Arial" w:cs="Arial"/>
          <w:sz w:val="22"/>
          <w:szCs w:val="22"/>
        </w:rPr>
        <w:t>mSBERT achieves higher purity (0.916 vs 0.751). This means that in mSBERT's clustering, nearly every cluster is dominated by a single language — mostly Bengali since it constitutes the majority of the dataset. LaBSE's lower purity is actually a slightly better sign: it means LaBSE mixes languages within clusters more, which is closer to the desired cross-lingual behaviour.</w:t>
      </w:r>
    </w:p>
    <w:p w14:paraId="6DB08366">
      <w:pPr>
        <w:spacing w:before="80" w:after="80"/>
      </w:pPr>
    </w:p>
    <w:p w14:paraId="7AEE37F2">
      <w:pPr>
        <w:spacing w:before="80" w:after="120"/>
        <w:jc w:val="both"/>
      </w:pPr>
      <w:r>
        <w:rPr>
          <w:rFonts w:ascii="Arial" w:hAnsi="Arial" w:eastAsia="Arial" w:cs="Arial"/>
          <w:sz w:val="22"/>
          <w:szCs w:val="22"/>
        </w:rPr>
        <w:t>Both models score zero on triplet cohesion — no triplet had all three languages land in the same cluster. This is expected given the severe dataset imbalance: 8,800 Bengali vs approximately 500 English vs 12 Hindi. The English and Hindi points are vastly outnumbered and get pulled into Bengali-dominated clusters rather than forming their own clusters.</w:t>
      </w:r>
    </w:p>
    <w:p w14:paraId="2498D3D1">
      <w:pPr>
        <w:spacing w:before="80" w:after="80"/>
      </w:pPr>
    </w:p>
    <w:p w14:paraId="55158285">
      <w:pPr>
        <w:pStyle w:val="2"/>
        <w:spacing w:before="360" w:after="200"/>
      </w:pPr>
      <w:r>
        <w:rPr>
          <w:rFonts w:ascii="Arial" w:hAnsi="Arial" w:eastAsia="Arial" w:cs="Arial"/>
          <w:b/>
          <w:bCs/>
          <w:sz w:val="32"/>
          <w:szCs w:val="32"/>
        </w:rPr>
        <w:t>6. Explanation of Each Plot</w:t>
      </w:r>
    </w:p>
    <w:p w14:paraId="2825CA0F">
      <w:pPr>
        <w:pStyle w:val="3"/>
        <w:spacing w:before="280" w:after="160"/>
      </w:pPr>
      <w:r>
        <w:rPr>
          <w:rFonts w:ascii="Arial" w:hAnsi="Arial" w:eastAsia="Arial" w:cs="Arial"/>
          <w:b/>
          <w:bCs/>
          <w:color w:val="2A5298"/>
          <w:sz w:val="26"/>
          <w:szCs w:val="26"/>
        </w:rPr>
        <w:t>Plot 1 — Score Distribution Histograms (score_distributions.png)</w:t>
      </w:r>
    </w:p>
    <w:p w14:paraId="46B33909">
      <w:pPr>
        <w:spacing w:before="80" w:after="120"/>
        <w:jc w:val="both"/>
      </w:pPr>
      <w:r>
        <w:rPr>
          <w:rFonts w:ascii="Arial" w:hAnsi="Arial" w:eastAsia="Arial" w:cs="Arial"/>
          <w:sz w:val="22"/>
          <w:szCs w:val="22"/>
        </w:rPr>
        <w:t>This plot shows two histograms side by side — one for mSBERT (teal) and one for LaBSE (red) — both for Bengali–English pairs. The x-axis is the cosine similarity score (0 to 1) and the y-axis is how many pairs received that score. The dashed vertical line shows the mean score.</w:t>
      </w:r>
    </w:p>
    <w:p w14:paraId="1CF90016">
      <w:pPr>
        <w:spacing w:before="80" w:after="80"/>
      </w:pPr>
    </w:p>
    <w:p w14:paraId="4BF5DC11">
      <w:pPr>
        <w:pStyle w:val="16"/>
        <w:numPr>
          <w:ilvl w:val="0"/>
          <w:numId w:val="1"/>
        </w:numPr>
        <w:spacing w:before="60" w:after="60"/>
      </w:pPr>
      <w:r>
        <w:rPr>
          <w:rFonts w:ascii="Arial" w:hAnsi="Arial" w:eastAsia="Arial" w:cs="Arial"/>
          <w:sz w:val="22"/>
          <w:szCs w:val="22"/>
        </w:rPr>
        <w:t>Bell-shaped and centred around 0.44. This compact distribution means mSBERT consistently assigns moderate-to-high similarity to same-meaning Bengali–English idiom pairs.</w:t>
      </w:r>
    </w:p>
    <w:p w14:paraId="4839F3DF">
      <w:pPr>
        <w:pStyle w:val="16"/>
        <w:numPr>
          <w:ilvl w:val="0"/>
          <w:numId w:val="1"/>
        </w:numPr>
        <w:spacing w:before="60" w:after="60"/>
      </w:pPr>
      <w:r>
        <w:rPr>
          <w:rFonts w:ascii="Arial" w:hAnsi="Arial" w:eastAsia="Arial" w:cs="Arial"/>
          <w:sz w:val="22"/>
          <w:szCs w:val="22"/>
        </w:rPr>
        <w:t>Wider and flatter, spread from 0.0 to 0.9. LaBSE is less confident and more variable — some pairs it rates very highly, others very low.</w:t>
      </w:r>
    </w:p>
    <w:p w14:paraId="364014F6">
      <w:pPr>
        <w:pStyle w:val="16"/>
        <w:numPr>
          <w:ilvl w:val="0"/>
          <w:numId w:val="1"/>
        </w:numPr>
        <w:spacing w:before="60" w:after="60"/>
      </w:pPr>
      <w:r>
        <w:rPr>
          <w:rFonts w:ascii="Arial" w:hAnsi="Arial" w:eastAsia="Arial" w:cs="Arial"/>
          <w:sz w:val="22"/>
          <w:szCs w:val="22"/>
        </w:rPr>
        <w:t>mSBERT is more consistent and centred on a higher value. LaBSE has higher variance. For a matching task you want consistent scores, which favours mSBERT here.</w:t>
      </w:r>
    </w:p>
    <w:p w14:paraId="1A298BE3">
      <w:pPr>
        <w:spacing w:before="80" w:after="80"/>
      </w:pPr>
    </w:p>
    <w:p w14:paraId="711C8D63">
      <w:pPr>
        <w:pStyle w:val="3"/>
        <w:spacing w:before="280" w:after="160"/>
      </w:pPr>
      <w:r>
        <w:rPr>
          <w:rFonts w:ascii="Arial" w:hAnsi="Arial" w:eastAsia="Arial" w:cs="Arial"/>
          <w:b/>
          <w:bCs/>
          <w:color w:val="2A5298"/>
          <w:sz w:val="26"/>
          <w:szCs w:val="26"/>
        </w:rPr>
        <w:t>Plot 2 — Radar Chart (evaluation_radar.png)</w:t>
      </w:r>
    </w:p>
    <w:p w14:paraId="2B19DB76">
      <w:pPr>
        <w:spacing w:before="80" w:after="120"/>
        <w:jc w:val="both"/>
      </w:pPr>
      <w:r>
        <w:rPr>
          <w:rFonts w:ascii="Arial" w:hAnsi="Arial" w:eastAsia="Arial" w:cs="Arial"/>
          <w:sz w:val="22"/>
          <w:szCs w:val="22"/>
        </w:rPr>
        <w:t>The radar chart (also called a spider chart) shows all metrics simultaneously on a single circular plot. Each spoke represents one metric. The further a point is from the centre on a spoke, the better the model performed on that metric. The green shape is mSBERT and the red shape is LaBSE.</w:t>
      </w:r>
    </w:p>
    <w:p w14:paraId="12B057CB">
      <w:pPr>
        <w:spacing w:before="80" w:after="80"/>
      </w:pPr>
    </w:p>
    <w:p w14:paraId="4CA86928">
      <w:pPr>
        <w:pStyle w:val="16"/>
        <w:numPr>
          <w:ilvl w:val="0"/>
          <w:numId w:val="1"/>
        </w:numPr>
        <w:spacing w:before="60" w:after="60"/>
      </w:pPr>
      <w:r>
        <w:rPr>
          <w:rFonts w:ascii="Arial" w:hAnsi="Arial" w:eastAsia="Arial" w:cs="Arial"/>
          <w:sz w:val="22"/>
          <w:szCs w:val="22"/>
        </w:rPr>
        <w:t>mSBERT extends further right — it wins on similarity scoring.</w:t>
      </w:r>
    </w:p>
    <w:p w14:paraId="2AC5115C">
      <w:pPr>
        <w:pStyle w:val="16"/>
        <w:numPr>
          <w:ilvl w:val="0"/>
          <w:numId w:val="1"/>
        </w:numPr>
        <w:spacing w:before="60" w:after="60"/>
      </w:pPr>
      <w:r>
        <w:rPr>
          <w:rFonts w:ascii="Arial" w:hAnsi="Arial" w:eastAsia="Arial" w:cs="Arial"/>
          <w:sz w:val="22"/>
          <w:szCs w:val="22"/>
        </w:rPr>
        <w:t>mSBERT extends much further down — it wins on cluster purity, though this is partly due to Bengali dominance.</w:t>
      </w:r>
    </w:p>
    <w:p w14:paraId="14399464">
      <w:pPr>
        <w:pStyle w:val="16"/>
        <w:numPr>
          <w:ilvl w:val="0"/>
          <w:numId w:val="1"/>
        </w:numPr>
        <w:spacing w:before="60" w:after="60"/>
      </w:pPr>
      <w:r>
        <w:rPr>
          <w:rFonts w:ascii="Arial" w:hAnsi="Arial" w:eastAsia="Arial" w:cs="Arial"/>
          <w:sz w:val="22"/>
          <w:szCs w:val="22"/>
        </w:rPr>
        <w:t>LaBSE extends slightly further on these — it wins on all retrieval metrics.</w:t>
      </w:r>
    </w:p>
    <w:p w14:paraId="4BF03562">
      <w:pPr>
        <w:pStyle w:val="16"/>
        <w:numPr>
          <w:ilvl w:val="0"/>
          <w:numId w:val="1"/>
        </w:numPr>
        <w:spacing w:before="60" w:after="60"/>
      </w:pPr>
      <w:r>
        <w:rPr>
          <w:rFonts w:ascii="Arial" w:hAnsi="Arial" w:eastAsia="Arial" w:cs="Arial"/>
          <w:sz w:val="22"/>
          <w:szCs w:val="22"/>
        </w:rPr>
        <w:t>mSBERT has a larger total area due to the purity spike, but LaBSE wins on more individual metrics. The radar chart visualises the trade-off clearly.</w:t>
      </w:r>
    </w:p>
    <w:p w14:paraId="7DF2B48E">
      <w:pPr>
        <w:spacing w:before="80" w:after="80"/>
      </w:pPr>
    </w:p>
    <w:p w14:paraId="68AD267C">
      <w:pPr>
        <w:pStyle w:val="3"/>
        <w:spacing w:before="280" w:after="160"/>
      </w:pPr>
      <w:r>
        <w:rPr>
          <w:rFonts w:ascii="Arial" w:hAnsi="Arial" w:eastAsia="Arial" w:cs="Arial"/>
          <w:b/>
          <w:bCs/>
          <w:color w:val="2A5298"/>
          <w:sz w:val="26"/>
          <w:szCs w:val="26"/>
        </w:rPr>
        <w:t>Plot 3 — Final Comparison Bar Chart (final_comparison.png)</w:t>
      </w:r>
    </w:p>
    <w:p w14:paraId="33E33074">
      <w:pPr>
        <w:spacing w:before="80" w:after="120"/>
        <w:jc w:val="both"/>
      </w:pPr>
      <w:r>
        <w:rPr>
          <w:rFonts w:ascii="Arial" w:hAnsi="Arial" w:eastAsia="Arial" w:cs="Arial"/>
          <w:sz w:val="22"/>
          <w:szCs w:val="22"/>
        </w:rPr>
        <w:t>Three side-by-side bar charts compare both models across all three task groups:</w:t>
      </w:r>
    </w:p>
    <w:p w14:paraId="25D54900">
      <w:pPr>
        <w:spacing w:before="80" w:after="80"/>
      </w:pPr>
    </w:p>
    <w:p w14:paraId="7D01C90E">
      <w:pPr>
        <w:pStyle w:val="16"/>
        <w:numPr>
          <w:ilvl w:val="0"/>
          <w:numId w:val="1"/>
        </w:numPr>
        <w:spacing w:before="60" w:after="60"/>
      </w:pPr>
      <w:r>
        <w:rPr>
          <w:rFonts w:ascii="Arial" w:hAnsi="Arial" w:eastAsia="Arial" w:cs="Arial"/>
          <w:sz w:val="22"/>
          <w:szCs w:val="22"/>
        </w:rPr>
        <w:t>mSBERT bar (0.438) is visibly taller than LaBSE (0.388) for bn-en. This confirms mSBERT's advantage in raw similarity scoring.</w:t>
      </w:r>
    </w:p>
    <w:p w14:paraId="36B4894C">
      <w:pPr>
        <w:pStyle w:val="16"/>
        <w:numPr>
          <w:ilvl w:val="0"/>
          <w:numId w:val="1"/>
        </w:numPr>
        <w:spacing w:before="60" w:after="60"/>
      </w:pPr>
      <w:r>
        <w:rPr>
          <w:rFonts w:ascii="Arial" w:hAnsi="Arial" w:eastAsia="Arial" w:cs="Arial"/>
          <w:sz w:val="22"/>
          <w:szCs w:val="22"/>
        </w:rPr>
        <w:t>All bars are very small (near zero) because retrieval is hard with an imbalanced dataset. LaBSE's bars are slightly taller across MRR, P@1, P@5, and Hit@10 — confirming LaBSE wins retrieval.</w:t>
      </w:r>
    </w:p>
    <w:p w14:paraId="6099EE1F">
      <w:pPr>
        <w:pStyle w:val="16"/>
        <w:numPr>
          <w:ilvl w:val="0"/>
          <w:numId w:val="1"/>
        </w:numPr>
        <w:spacing w:before="60" w:after="60"/>
      </w:pPr>
      <w:r>
        <w:rPr>
          <w:rFonts w:ascii="Arial" w:hAnsi="Arial" w:eastAsia="Arial" w:cs="Arial"/>
          <w:sz w:val="22"/>
          <w:szCs w:val="22"/>
        </w:rPr>
        <w:t>The silhouette bars show LaBSE (0.041) above mSBERT (-0.020). The purity bar shows mSBERT (0.916) towering over LaBSE (0.751). Triplet cohesion is zero for both.</w:t>
      </w:r>
    </w:p>
    <w:p w14:paraId="513B7488">
      <w:pPr>
        <w:spacing w:before="80" w:after="80"/>
      </w:pPr>
    </w:p>
    <w:p w14:paraId="05CECF1B">
      <w:pPr>
        <w:pStyle w:val="3"/>
        <w:spacing w:before="280" w:after="160"/>
      </w:pPr>
      <w:r>
        <w:rPr>
          <w:rFonts w:ascii="Arial" w:hAnsi="Arial" w:eastAsia="Arial" w:cs="Arial"/>
          <w:b/>
          <w:bCs/>
          <w:color w:val="2A5298"/>
          <w:sz w:val="26"/>
          <w:szCs w:val="26"/>
        </w:rPr>
        <w:t>Plot 4 — Clustering Visualisation — mSBERT (clustering_mSBERT.png)</w:t>
      </w:r>
    </w:p>
    <w:p w14:paraId="03AA16EC">
      <w:pPr>
        <w:spacing w:before="80" w:after="120"/>
        <w:jc w:val="both"/>
      </w:pPr>
      <w:r>
        <w:rPr>
          <w:rFonts w:ascii="Arial" w:hAnsi="Arial" w:eastAsia="Arial" w:cs="Arial"/>
          <w:sz w:val="22"/>
          <w:szCs w:val="22"/>
        </w:rPr>
        <w:t>Two scatter plots of all 23,216 idiom embeddings reduced to 2D using t-SNE or UMAP. Each dot is one idiom.</w:t>
      </w:r>
    </w:p>
    <w:p w14:paraId="5F13D098">
      <w:pPr>
        <w:spacing w:before="80" w:after="80"/>
      </w:pPr>
    </w:p>
    <w:p w14:paraId="77BD7EA4">
      <w:pPr>
        <w:pStyle w:val="16"/>
        <w:numPr>
          <w:ilvl w:val="0"/>
          <w:numId w:val="1"/>
        </w:numPr>
        <w:spacing w:before="60" w:after="60"/>
      </w:pPr>
      <w:r>
        <w:rPr>
          <w:rFonts w:ascii="Arial" w:hAnsi="Arial" w:eastAsia="Arial" w:cs="Arial"/>
          <w:sz w:val="22"/>
          <w:szCs w:val="22"/>
        </w:rPr>
        <w:t>The Bengali idioms (red) form a dense blob in the centre-right. English idioms (orange) are now clearly visible across the space, spread widely, which is a big improvement from earlier runs with only 19 English idioms. Hindi (teal) dots are still few and scattered.</w:t>
      </w:r>
    </w:p>
    <w:p w14:paraId="031F2474">
      <w:pPr>
        <w:pStyle w:val="16"/>
        <w:numPr>
          <w:ilvl w:val="0"/>
          <w:numId w:val="1"/>
        </w:numPr>
        <w:spacing w:before="60" w:after="60"/>
      </w:pPr>
      <w:r>
        <w:rPr>
          <w:rFonts w:ascii="Arial" w:hAnsi="Arial" w:eastAsia="Arial" w:cs="Arial"/>
          <w:sz w:val="22"/>
          <w:szCs w:val="22"/>
        </w:rPr>
        <w:t>50 coloured regions show that mSBERT creates clear blob-like clusters, though each blob is still mostly Bengali. The clustering structure is visible but not cross-lingual.</w:t>
      </w:r>
    </w:p>
    <w:p w14:paraId="67E5B563">
      <w:pPr>
        <w:pStyle w:val="16"/>
        <w:numPr>
          <w:ilvl w:val="0"/>
          <w:numId w:val="1"/>
        </w:numPr>
        <w:spacing w:before="60" w:after="60"/>
      </w:pPr>
      <w:r>
        <w:rPr>
          <w:rFonts w:ascii="Arial" w:hAnsi="Arial" w:eastAsia="Arial" w:cs="Arial"/>
          <w:sz w:val="22"/>
          <w:szCs w:val="22"/>
        </w:rPr>
        <w:t>The Bengali and English clouds are somewhat separate in the mSBERT plot, meaning mSBERT places them in different regions of the embedding space. This explains the lower silhouette score.</w:t>
      </w:r>
    </w:p>
    <w:p w14:paraId="09822273">
      <w:pPr>
        <w:spacing w:before="80" w:after="80"/>
      </w:pPr>
    </w:p>
    <w:p w14:paraId="024D3F4F">
      <w:pPr>
        <w:pStyle w:val="3"/>
        <w:spacing w:before="280" w:after="160"/>
      </w:pPr>
      <w:r>
        <w:rPr>
          <w:rFonts w:ascii="Arial" w:hAnsi="Arial" w:eastAsia="Arial" w:cs="Arial"/>
          <w:b/>
          <w:bCs/>
          <w:color w:val="2A5298"/>
          <w:sz w:val="26"/>
          <w:szCs w:val="26"/>
        </w:rPr>
        <w:t>Plot 5 — Clustering Visualisation — LaBSE (clustering_LaBSE.png)</w:t>
      </w:r>
    </w:p>
    <w:p w14:paraId="388CF83F">
      <w:pPr>
        <w:spacing w:before="80" w:after="120"/>
        <w:jc w:val="both"/>
      </w:pPr>
      <w:r>
        <w:rPr>
          <w:rFonts w:ascii="Arial" w:hAnsi="Arial" w:eastAsia="Arial" w:cs="Arial"/>
          <w:sz w:val="22"/>
          <w:szCs w:val="22"/>
        </w:rPr>
        <w:t>Same structure as the mSBERT clustering plot but for LaBSE embeddings.</w:t>
      </w:r>
    </w:p>
    <w:p w14:paraId="7658D08C">
      <w:pPr>
        <w:spacing w:before="80" w:after="80"/>
      </w:pPr>
    </w:p>
    <w:p w14:paraId="7FA9BD5B">
      <w:pPr>
        <w:pStyle w:val="16"/>
        <w:numPr>
          <w:ilvl w:val="0"/>
          <w:numId w:val="1"/>
        </w:numPr>
        <w:spacing w:before="60" w:after="60"/>
      </w:pPr>
      <w:r>
        <w:rPr>
          <w:rFonts w:ascii="Arial" w:hAnsi="Arial" w:eastAsia="Arial" w:cs="Arial"/>
          <w:sz w:val="22"/>
          <w:szCs w:val="22"/>
        </w:rPr>
        <w:t>Unlike mSBERT, the Bengali (red) and English (orange) dots are visibly mixed together throughout the space. You can see orange and red interleaved in many regions. This is exactly the cross-lingual alignment you want — same-meaning idioms from different languages occupying the same region.</w:t>
      </w:r>
    </w:p>
    <w:p w14:paraId="7B5BEF2C">
      <w:pPr>
        <w:pStyle w:val="16"/>
        <w:numPr>
          <w:ilvl w:val="0"/>
          <w:numId w:val="1"/>
        </w:numPr>
        <w:spacing w:before="60" w:after="60"/>
      </w:pPr>
      <w:r>
        <w:rPr>
          <w:rFonts w:ascii="Arial" w:hAnsi="Arial" w:eastAsia="Arial" w:cs="Arial"/>
          <w:sz w:val="22"/>
          <w:szCs w:val="22"/>
        </w:rPr>
        <w:t>The clusters are more spread out and less blobby than mSBERT. LaBSE's clusters are rounder and better separated (confirmed by the higher silhouette score).</w:t>
      </w:r>
    </w:p>
    <w:p w14:paraId="6B3B8247">
      <w:pPr>
        <w:pStyle w:val="16"/>
        <w:numPr>
          <w:ilvl w:val="0"/>
          <w:numId w:val="1"/>
        </w:numPr>
        <w:spacing w:before="60" w:after="60"/>
      </w:pPr>
      <w:r>
        <w:rPr>
          <w:rFonts w:ascii="Arial" w:hAnsi="Arial" w:eastAsia="Arial" w:cs="Arial"/>
          <w:sz w:val="22"/>
          <w:szCs w:val="22"/>
        </w:rPr>
        <w:t>LaBSE better integrates Bengali and English into the same embedding regions. This is why LaBSE wins on silhouette and retrieval — it has truly learned more cross-lingual alignment.</w:t>
      </w:r>
    </w:p>
    <w:p w14:paraId="5CA54E58">
      <w:pPr>
        <w:spacing w:before="80" w:after="80"/>
      </w:pPr>
    </w:p>
    <w:p w14:paraId="6BDB7CF1">
      <w:pPr>
        <w:pStyle w:val="2"/>
        <w:spacing w:before="360" w:after="200"/>
      </w:pPr>
      <w:r>
        <w:rPr>
          <w:rFonts w:ascii="Arial" w:hAnsi="Arial" w:eastAsia="Arial" w:cs="Arial"/>
          <w:b/>
          <w:bCs/>
          <w:sz w:val="32"/>
          <w:szCs w:val="32"/>
        </w:rPr>
        <w:t>7. Overall Conclusion and Winner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2634"/>
        <w:gridCol w:w="1411"/>
        <w:gridCol w:w="2352"/>
      </w:tblGrid>
      <w:tr w14:paraId="1D3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pct"/>
            <w:shd w:val="solid" w:color="2A5298" w:fill="2A5298"/>
          </w:tcPr>
          <w:p w14:paraId="6714C22A">
            <w:pPr>
              <w:jc w:val="center"/>
            </w:pPr>
            <w:r>
              <w:rPr>
                <w:rFonts w:ascii="Arial" w:hAnsi="Arial" w:eastAsia="Arial" w:cs="Arial"/>
                <w:b/>
                <w:bCs/>
                <w:color w:val="FFFFFF"/>
                <w:sz w:val="20"/>
                <w:szCs w:val="20"/>
              </w:rPr>
              <w:t>Task</w:t>
            </w:r>
          </w:p>
        </w:tc>
        <w:tc>
          <w:tcPr>
            <w:tcW w:w="1400" w:type="pct"/>
            <w:shd w:val="solid" w:color="2A5298" w:fill="2A5298"/>
          </w:tcPr>
          <w:p w14:paraId="7AC9D3A3">
            <w:pPr>
              <w:jc w:val="center"/>
            </w:pPr>
            <w:r>
              <w:rPr>
                <w:rFonts w:ascii="Arial" w:hAnsi="Arial" w:eastAsia="Arial" w:cs="Arial"/>
                <w:b/>
                <w:bCs/>
                <w:color w:val="FFFFFF"/>
                <w:sz w:val="20"/>
                <w:szCs w:val="20"/>
              </w:rPr>
              <w:t>Winner</w:t>
            </w:r>
          </w:p>
        </w:tc>
        <w:tc>
          <w:tcPr>
            <w:tcW w:w="750" w:type="pct"/>
            <w:shd w:val="solid" w:color="2A5298" w:fill="2A5298"/>
          </w:tcPr>
          <w:p w14:paraId="77819EA0">
            <w:pPr>
              <w:jc w:val="center"/>
            </w:pPr>
            <w:r>
              <w:rPr>
                <w:rFonts w:ascii="Arial" w:hAnsi="Arial" w:eastAsia="Arial" w:cs="Arial"/>
                <w:b/>
                <w:bCs/>
                <w:color w:val="FFFFFF"/>
                <w:sz w:val="20"/>
                <w:szCs w:val="20"/>
              </w:rPr>
              <w:t>Margin</w:t>
            </w:r>
          </w:p>
        </w:tc>
        <w:tc>
          <w:tcPr>
            <w:tcW w:w="1250" w:type="pct"/>
            <w:shd w:val="solid" w:color="2A5298" w:fill="2A5298"/>
          </w:tcPr>
          <w:p w14:paraId="282DB70B">
            <w:pPr>
              <w:jc w:val="center"/>
            </w:pPr>
            <w:r>
              <w:rPr>
                <w:rFonts w:ascii="Arial" w:hAnsi="Arial" w:eastAsia="Arial" w:cs="Arial"/>
                <w:b/>
                <w:bCs/>
                <w:color w:val="FFFFFF"/>
                <w:sz w:val="20"/>
                <w:szCs w:val="20"/>
              </w:rPr>
              <w:t>Significance</w:t>
            </w:r>
          </w:p>
        </w:tc>
      </w:tr>
      <w:tr w14:paraId="1A46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0F4FF" w:fill="F0F4FF"/>
          </w:tcPr>
          <w:p w14:paraId="40FCB21D">
            <w:pPr>
              <w:jc w:val="center"/>
            </w:pPr>
            <w:r>
              <w:rPr>
                <w:rFonts w:ascii="Arial" w:hAnsi="Arial" w:eastAsia="Arial" w:cs="Arial"/>
                <w:sz w:val="20"/>
                <w:szCs w:val="20"/>
              </w:rPr>
              <w:t>Semantic Similarity (mean cosine)</w:t>
            </w:r>
          </w:p>
        </w:tc>
        <w:tc>
          <w:tcPr>
            <w:tcW w:w="1400" w:type="pct"/>
            <w:shd w:val="solid" w:color="F0F4FF" w:fill="F0F4FF"/>
          </w:tcPr>
          <w:p w14:paraId="426F6585">
            <w:pPr>
              <w:jc w:val="center"/>
            </w:pPr>
            <w:r>
              <w:rPr>
                <w:rFonts w:ascii="Arial" w:hAnsi="Arial" w:eastAsia="Arial" w:cs="Arial"/>
                <w:sz w:val="20"/>
                <w:szCs w:val="20"/>
              </w:rPr>
              <w:t>mSBERT (0.438 vs 0.388)</w:t>
            </w:r>
          </w:p>
        </w:tc>
        <w:tc>
          <w:tcPr>
            <w:tcW w:w="750" w:type="pct"/>
            <w:shd w:val="solid" w:color="F0F4FF" w:fill="F0F4FF"/>
          </w:tcPr>
          <w:p w14:paraId="364F1C5C">
            <w:pPr>
              <w:jc w:val="center"/>
            </w:pPr>
            <w:r>
              <w:rPr>
                <w:rFonts w:ascii="Arial" w:hAnsi="Arial" w:eastAsia="Arial" w:cs="Arial"/>
                <w:sz w:val="20"/>
                <w:szCs w:val="20"/>
              </w:rPr>
              <w:t>Moderate</w:t>
            </w:r>
          </w:p>
        </w:tc>
        <w:tc>
          <w:tcPr>
            <w:tcW w:w="1250" w:type="pct"/>
            <w:shd w:val="solid" w:color="F0F4FF" w:fill="F0F4FF"/>
          </w:tcPr>
          <w:p w14:paraId="595EB9A4">
            <w:pPr>
              <w:jc w:val="center"/>
            </w:pPr>
            <w:r>
              <w:rPr>
                <w:rFonts w:ascii="Arial" w:hAnsi="Arial" w:eastAsia="Arial" w:cs="Arial"/>
                <w:sz w:val="20"/>
                <w:szCs w:val="20"/>
              </w:rPr>
              <w:t>Statistically significant (p&lt;0.001)</w:t>
            </w:r>
          </w:p>
        </w:tc>
      </w:tr>
      <w:tr w14:paraId="3FA4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FFFFF" w:fill="FFFFFF"/>
          </w:tcPr>
          <w:p w14:paraId="3EA99ED2">
            <w:pPr>
              <w:jc w:val="center"/>
            </w:pPr>
            <w:r>
              <w:rPr>
                <w:rFonts w:ascii="Arial" w:hAnsi="Arial" w:eastAsia="Arial" w:cs="Arial"/>
                <w:sz w:val="20"/>
                <w:szCs w:val="20"/>
              </w:rPr>
              <w:t>Retrieval MRR</w:t>
            </w:r>
          </w:p>
        </w:tc>
        <w:tc>
          <w:tcPr>
            <w:tcW w:w="1400" w:type="pct"/>
            <w:shd w:val="solid" w:color="FFFFFF" w:fill="FFFFFF"/>
          </w:tcPr>
          <w:p w14:paraId="3A0DF720">
            <w:pPr>
              <w:jc w:val="center"/>
            </w:pPr>
            <w:r>
              <w:rPr>
                <w:rFonts w:ascii="Arial" w:hAnsi="Arial" w:eastAsia="Arial" w:cs="Arial"/>
                <w:sz w:val="20"/>
                <w:szCs w:val="20"/>
              </w:rPr>
              <w:t>LaBSE (0.0084 vs 0.0011)</w:t>
            </w:r>
          </w:p>
        </w:tc>
        <w:tc>
          <w:tcPr>
            <w:tcW w:w="750" w:type="pct"/>
            <w:shd w:val="solid" w:color="FFFFFF" w:fill="FFFFFF"/>
          </w:tcPr>
          <w:p w14:paraId="4C1B130F">
            <w:pPr>
              <w:jc w:val="center"/>
            </w:pPr>
            <w:r>
              <w:rPr>
                <w:rFonts w:ascii="Arial" w:hAnsi="Arial" w:eastAsia="Arial" w:cs="Arial"/>
                <w:sz w:val="20"/>
                <w:szCs w:val="20"/>
              </w:rPr>
              <w:t>Large</w:t>
            </w:r>
          </w:p>
        </w:tc>
        <w:tc>
          <w:tcPr>
            <w:tcW w:w="1250" w:type="pct"/>
            <w:shd w:val="solid" w:color="FFFFFF" w:fill="FFFFFF"/>
          </w:tcPr>
          <w:p w14:paraId="25AC7341">
            <w:pPr>
              <w:jc w:val="center"/>
            </w:pPr>
            <w:r>
              <w:rPr>
                <w:rFonts w:ascii="Arial" w:hAnsi="Arial" w:eastAsia="Arial" w:cs="Arial"/>
                <w:sz w:val="20"/>
                <w:szCs w:val="20"/>
              </w:rPr>
              <w:t>LaBSE ~7.6× better</w:t>
            </w:r>
          </w:p>
        </w:tc>
      </w:tr>
      <w:tr w14:paraId="6465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0F4FF" w:fill="F0F4FF"/>
          </w:tcPr>
          <w:p w14:paraId="2F33DC10">
            <w:pPr>
              <w:jc w:val="center"/>
            </w:pPr>
            <w:r>
              <w:rPr>
                <w:rFonts w:ascii="Arial" w:hAnsi="Arial" w:eastAsia="Arial" w:cs="Arial"/>
                <w:sz w:val="20"/>
                <w:szCs w:val="20"/>
              </w:rPr>
              <w:t>Retrieval P@1</w:t>
            </w:r>
          </w:p>
        </w:tc>
        <w:tc>
          <w:tcPr>
            <w:tcW w:w="1400" w:type="pct"/>
            <w:shd w:val="solid" w:color="F0F4FF" w:fill="F0F4FF"/>
          </w:tcPr>
          <w:p w14:paraId="70E1FB5B">
            <w:pPr>
              <w:jc w:val="center"/>
            </w:pPr>
            <w:r>
              <w:rPr>
                <w:rFonts w:ascii="Arial" w:hAnsi="Arial" w:eastAsia="Arial" w:cs="Arial"/>
                <w:sz w:val="20"/>
                <w:szCs w:val="20"/>
              </w:rPr>
              <w:t>LaBSE (0.0055 vs 0.0004)</w:t>
            </w:r>
          </w:p>
        </w:tc>
        <w:tc>
          <w:tcPr>
            <w:tcW w:w="750" w:type="pct"/>
            <w:shd w:val="solid" w:color="F0F4FF" w:fill="F0F4FF"/>
          </w:tcPr>
          <w:p w14:paraId="7C9FFD8B">
            <w:pPr>
              <w:jc w:val="center"/>
            </w:pPr>
            <w:r>
              <w:rPr>
                <w:rFonts w:ascii="Arial" w:hAnsi="Arial" w:eastAsia="Arial" w:cs="Arial"/>
                <w:sz w:val="20"/>
                <w:szCs w:val="20"/>
              </w:rPr>
              <w:t>Large</w:t>
            </w:r>
          </w:p>
        </w:tc>
        <w:tc>
          <w:tcPr>
            <w:tcW w:w="1250" w:type="pct"/>
            <w:shd w:val="solid" w:color="F0F4FF" w:fill="F0F4FF"/>
          </w:tcPr>
          <w:p w14:paraId="34CAAFA0">
            <w:pPr>
              <w:jc w:val="center"/>
            </w:pPr>
            <w:r>
              <w:rPr>
                <w:rFonts w:ascii="Arial" w:hAnsi="Arial" w:eastAsia="Arial" w:cs="Arial"/>
                <w:sz w:val="20"/>
                <w:szCs w:val="20"/>
              </w:rPr>
              <w:t>LaBSE ~13.75× better</w:t>
            </w:r>
          </w:p>
        </w:tc>
      </w:tr>
      <w:tr w14:paraId="04FA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FFFFF" w:fill="FFFFFF"/>
          </w:tcPr>
          <w:p w14:paraId="2A8E406A">
            <w:pPr>
              <w:jc w:val="center"/>
            </w:pPr>
            <w:r>
              <w:rPr>
                <w:rFonts w:ascii="Arial" w:hAnsi="Arial" w:eastAsia="Arial" w:cs="Arial"/>
                <w:sz w:val="20"/>
                <w:szCs w:val="20"/>
              </w:rPr>
              <w:t>Retrieval P@5</w:t>
            </w:r>
          </w:p>
        </w:tc>
        <w:tc>
          <w:tcPr>
            <w:tcW w:w="1400" w:type="pct"/>
            <w:shd w:val="solid" w:color="FFFFFF" w:fill="FFFFFF"/>
          </w:tcPr>
          <w:p w14:paraId="2D006274">
            <w:pPr>
              <w:jc w:val="center"/>
            </w:pPr>
            <w:r>
              <w:rPr>
                <w:rFonts w:ascii="Arial" w:hAnsi="Arial" w:eastAsia="Arial" w:cs="Arial"/>
                <w:sz w:val="20"/>
                <w:szCs w:val="20"/>
              </w:rPr>
              <w:t>LaBSE (0.0119 vs 0.0019)</w:t>
            </w:r>
          </w:p>
        </w:tc>
        <w:tc>
          <w:tcPr>
            <w:tcW w:w="750" w:type="pct"/>
            <w:shd w:val="solid" w:color="FFFFFF" w:fill="FFFFFF"/>
          </w:tcPr>
          <w:p w14:paraId="27FC366F">
            <w:pPr>
              <w:jc w:val="center"/>
            </w:pPr>
            <w:r>
              <w:rPr>
                <w:rFonts w:ascii="Arial" w:hAnsi="Arial" w:eastAsia="Arial" w:cs="Arial"/>
                <w:sz w:val="20"/>
                <w:szCs w:val="20"/>
              </w:rPr>
              <w:t>Large</w:t>
            </w:r>
          </w:p>
        </w:tc>
        <w:tc>
          <w:tcPr>
            <w:tcW w:w="1250" w:type="pct"/>
            <w:shd w:val="solid" w:color="FFFFFF" w:fill="FFFFFF"/>
          </w:tcPr>
          <w:p w14:paraId="24E3D49E">
            <w:pPr>
              <w:jc w:val="center"/>
            </w:pPr>
            <w:r>
              <w:rPr>
                <w:rFonts w:ascii="Arial" w:hAnsi="Arial" w:eastAsia="Arial" w:cs="Arial"/>
                <w:sz w:val="20"/>
                <w:szCs w:val="20"/>
              </w:rPr>
              <w:t>LaBSE ~6.3× better</w:t>
            </w:r>
          </w:p>
        </w:tc>
      </w:tr>
      <w:tr w14:paraId="446B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0F4FF" w:fill="F0F4FF"/>
          </w:tcPr>
          <w:p w14:paraId="4DF17757">
            <w:pPr>
              <w:jc w:val="center"/>
            </w:pPr>
            <w:r>
              <w:rPr>
                <w:rFonts w:ascii="Arial" w:hAnsi="Arial" w:eastAsia="Arial" w:cs="Arial"/>
                <w:sz w:val="20"/>
                <w:szCs w:val="20"/>
              </w:rPr>
              <w:t>Retrieval Hit@10</w:t>
            </w:r>
          </w:p>
        </w:tc>
        <w:tc>
          <w:tcPr>
            <w:tcW w:w="1400" w:type="pct"/>
            <w:shd w:val="solid" w:color="F0F4FF" w:fill="F0F4FF"/>
          </w:tcPr>
          <w:p w14:paraId="2B59BDC0">
            <w:pPr>
              <w:jc w:val="center"/>
            </w:pPr>
            <w:r>
              <w:rPr>
                <w:rFonts w:ascii="Arial" w:hAnsi="Arial" w:eastAsia="Arial" w:cs="Arial"/>
                <w:sz w:val="20"/>
                <w:szCs w:val="20"/>
              </w:rPr>
              <w:t>LaBSE (0.0148 vs 0.0028)</w:t>
            </w:r>
          </w:p>
        </w:tc>
        <w:tc>
          <w:tcPr>
            <w:tcW w:w="750" w:type="pct"/>
            <w:shd w:val="solid" w:color="F0F4FF" w:fill="F0F4FF"/>
          </w:tcPr>
          <w:p w14:paraId="6F373363">
            <w:pPr>
              <w:jc w:val="center"/>
            </w:pPr>
            <w:r>
              <w:rPr>
                <w:rFonts w:ascii="Arial" w:hAnsi="Arial" w:eastAsia="Arial" w:cs="Arial"/>
                <w:sz w:val="20"/>
                <w:szCs w:val="20"/>
              </w:rPr>
              <w:t>Large</w:t>
            </w:r>
          </w:p>
        </w:tc>
        <w:tc>
          <w:tcPr>
            <w:tcW w:w="1250" w:type="pct"/>
            <w:shd w:val="solid" w:color="F0F4FF" w:fill="F0F4FF"/>
          </w:tcPr>
          <w:p w14:paraId="4B6BB9E6">
            <w:pPr>
              <w:jc w:val="center"/>
            </w:pPr>
            <w:r>
              <w:rPr>
                <w:rFonts w:ascii="Arial" w:hAnsi="Arial" w:eastAsia="Arial" w:cs="Arial"/>
                <w:sz w:val="20"/>
                <w:szCs w:val="20"/>
              </w:rPr>
              <w:t>LaBSE ~5.3× better</w:t>
            </w:r>
          </w:p>
        </w:tc>
      </w:tr>
      <w:tr w14:paraId="6CEE3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FFFFF" w:fill="FFFFFF"/>
          </w:tcPr>
          <w:p w14:paraId="6C687A72">
            <w:pPr>
              <w:jc w:val="center"/>
            </w:pPr>
            <w:r>
              <w:rPr>
                <w:rFonts w:ascii="Arial" w:hAnsi="Arial" w:eastAsia="Arial" w:cs="Arial"/>
                <w:sz w:val="20"/>
                <w:szCs w:val="20"/>
              </w:rPr>
              <w:t>Silhouette Score</w:t>
            </w:r>
          </w:p>
        </w:tc>
        <w:tc>
          <w:tcPr>
            <w:tcW w:w="1400" w:type="pct"/>
            <w:shd w:val="solid" w:color="FFFFFF" w:fill="FFFFFF"/>
          </w:tcPr>
          <w:p w14:paraId="0579CD9E">
            <w:pPr>
              <w:jc w:val="center"/>
            </w:pPr>
            <w:r>
              <w:rPr>
                <w:rFonts w:ascii="Arial" w:hAnsi="Arial" w:eastAsia="Arial" w:cs="Arial"/>
                <w:sz w:val="20"/>
                <w:szCs w:val="20"/>
              </w:rPr>
              <w:t>LaBSE (0.041 vs -0.020)</w:t>
            </w:r>
          </w:p>
        </w:tc>
        <w:tc>
          <w:tcPr>
            <w:tcW w:w="750" w:type="pct"/>
            <w:shd w:val="solid" w:color="FFFFFF" w:fill="FFFFFF"/>
          </w:tcPr>
          <w:p w14:paraId="480889DE">
            <w:pPr>
              <w:jc w:val="center"/>
            </w:pPr>
            <w:r>
              <w:rPr>
                <w:rFonts w:ascii="Arial" w:hAnsi="Arial" w:eastAsia="Arial" w:cs="Arial"/>
                <w:sz w:val="20"/>
                <w:szCs w:val="20"/>
              </w:rPr>
              <w:t>Moderate</w:t>
            </w:r>
          </w:p>
        </w:tc>
        <w:tc>
          <w:tcPr>
            <w:tcW w:w="1250" w:type="pct"/>
            <w:shd w:val="solid" w:color="FFFFFF" w:fill="FFFFFF"/>
          </w:tcPr>
          <w:p w14:paraId="72FDF756">
            <w:pPr>
              <w:jc w:val="center"/>
            </w:pPr>
            <w:r>
              <w:rPr>
                <w:rFonts w:ascii="Arial" w:hAnsi="Arial" w:eastAsia="Arial" w:cs="Arial"/>
                <w:sz w:val="20"/>
                <w:szCs w:val="20"/>
              </w:rPr>
              <w:t>mSBERT has negative silhouette</w:t>
            </w:r>
          </w:p>
        </w:tc>
      </w:tr>
      <w:tr w14:paraId="3226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0F4FF" w:fill="F0F4FF"/>
          </w:tcPr>
          <w:p w14:paraId="5452A2DE">
            <w:pPr>
              <w:jc w:val="center"/>
            </w:pPr>
            <w:r>
              <w:rPr>
                <w:rFonts w:ascii="Arial" w:hAnsi="Arial" w:eastAsia="Arial" w:cs="Arial"/>
                <w:sz w:val="20"/>
                <w:szCs w:val="20"/>
              </w:rPr>
              <w:t>Cluster Purity</w:t>
            </w:r>
          </w:p>
        </w:tc>
        <w:tc>
          <w:tcPr>
            <w:tcW w:w="1400" w:type="pct"/>
            <w:shd w:val="solid" w:color="F0F4FF" w:fill="F0F4FF"/>
          </w:tcPr>
          <w:p w14:paraId="7FDE0F9A">
            <w:pPr>
              <w:jc w:val="center"/>
            </w:pPr>
            <w:r>
              <w:rPr>
                <w:rFonts w:ascii="Arial" w:hAnsi="Arial" w:eastAsia="Arial" w:cs="Arial"/>
                <w:sz w:val="20"/>
                <w:szCs w:val="20"/>
              </w:rPr>
              <w:t>mSBERT (0.916 vs 0.751)</w:t>
            </w:r>
          </w:p>
        </w:tc>
        <w:tc>
          <w:tcPr>
            <w:tcW w:w="750" w:type="pct"/>
            <w:shd w:val="solid" w:color="F0F4FF" w:fill="F0F4FF"/>
          </w:tcPr>
          <w:p w14:paraId="36CE9038">
            <w:pPr>
              <w:jc w:val="center"/>
            </w:pPr>
            <w:r>
              <w:rPr>
                <w:rFonts w:ascii="Arial" w:hAnsi="Arial" w:eastAsia="Arial" w:cs="Arial"/>
                <w:sz w:val="20"/>
                <w:szCs w:val="20"/>
              </w:rPr>
              <w:t>Large</w:t>
            </w:r>
          </w:p>
        </w:tc>
        <w:tc>
          <w:tcPr>
            <w:tcW w:w="1250" w:type="pct"/>
            <w:shd w:val="solid" w:color="F0F4FF" w:fill="F0F4FF"/>
          </w:tcPr>
          <w:p w14:paraId="432D3751">
            <w:pPr>
              <w:jc w:val="center"/>
            </w:pPr>
            <w:r>
              <w:rPr>
                <w:rFonts w:ascii="Arial" w:hAnsi="Arial" w:eastAsia="Arial" w:cs="Arial"/>
                <w:sz w:val="20"/>
                <w:szCs w:val="20"/>
              </w:rPr>
              <w:t>Due to Bengali dataset dominance</w:t>
            </w:r>
          </w:p>
        </w:tc>
      </w:tr>
      <w:tr w14:paraId="5770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FFFFF" w:fill="FFFFFF"/>
          </w:tcPr>
          <w:p w14:paraId="2ACA659F">
            <w:pPr>
              <w:jc w:val="center"/>
            </w:pPr>
            <w:r>
              <w:rPr>
                <w:rFonts w:ascii="Arial" w:hAnsi="Arial" w:eastAsia="Arial" w:cs="Arial"/>
                <w:sz w:val="20"/>
                <w:szCs w:val="20"/>
              </w:rPr>
              <w:t>Triplet Cohesion</w:t>
            </w:r>
          </w:p>
        </w:tc>
        <w:tc>
          <w:tcPr>
            <w:tcW w:w="1400" w:type="pct"/>
            <w:shd w:val="solid" w:color="FFFFFF" w:fill="FFFFFF"/>
          </w:tcPr>
          <w:p w14:paraId="7B01FAE6">
            <w:pPr>
              <w:jc w:val="center"/>
            </w:pPr>
            <w:r>
              <w:rPr>
                <w:rFonts w:ascii="Arial" w:hAnsi="Arial" w:eastAsia="Arial" w:cs="Arial"/>
                <w:sz w:val="20"/>
                <w:szCs w:val="20"/>
              </w:rPr>
              <w:t>Tie (0.000 vs 0.000)</w:t>
            </w:r>
          </w:p>
        </w:tc>
        <w:tc>
          <w:tcPr>
            <w:tcW w:w="750" w:type="pct"/>
            <w:shd w:val="solid" w:color="FFFFFF" w:fill="FFFFFF"/>
          </w:tcPr>
          <w:p w14:paraId="2820657D">
            <w:pPr>
              <w:jc w:val="center"/>
            </w:pPr>
            <w:r>
              <w:rPr>
                <w:rFonts w:ascii="Arial" w:hAnsi="Arial" w:eastAsia="Arial" w:cs="Arial"/>
                <w:sz w:val="20"/>
                <w:szCs w:val="20"/>
              </w:rPr>
              <w:t>None</w:t>
            </w:r>
          </w:p>
        </w:tc>
        <w:tc>
          <w:tcPr>
            <w:tcW w:w="1250" w:type="pct"/>
            <w:shd w:val="solid" w:color="FFFFFF" w:fill="FFFFFF"/>
          </w:tcPr>
          <w:p w14:paraId="35F0ED7F">
            <w:pPr>
              <w:jc w:val="center"/>
            </w:pPr>
            <w:r>
              <w:rPr>
                <w:rFonts w:ascii="Arial" w:hAnsi="Arial" w:eastAsia="Arial" w:cs="Arial"/>
                <w:sz w:val="20"/>
                <w:szCs w:val="20"/>
              </w:rPr>
              <w:t>Dataset too imbalanced</w:t>
            </w:r>
          </w:p>
        </w:tc>
      </w:tr>
      <w:tr w14:paraId="61FE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solid" w:color="F0F4FF" w:fill="F0F4FF"/>
          </w:tcPr>
          <w:p w14:paraId="61BE7C80">
            <w:pPr>
              <w:jc w:val="center"/>
            </w:pPr>
            <w:r>
              <w:rPr>
                <w:rFonts w:ascii="Arial" w:hAnsi="Arial" w:eastAsia="Arial" w:cs="Arial"/>
                <w:sz w:val="20"/>
                <w:szCs w:val="20"/>
              </w:rPr>
              <w:t>Overall Score</w:t>
            </w:r>
          </w:p>
        </w:tc>
        <w:tc>
          <w:tcPr>
            <w:tcW w:w="1400" w:type="pct"/>
            <w:shd w:val="solid" w:color="F0F4FF" w:fill="F0F4FF"/>
          </w:tcPr>
          <w:p w14:paraId="1FA395F9">
            <w:pPr>
              <w:jc w:val="center"/>
            </w:pPr>
            <w:r>
              <w:rPr>
                <w:rFonts w:ascii="Arial" w:hAnsi="Arial" w:eastAsia="Arial" w:cs="Arial"/>
                <w:sz w:val="20"/>
                <w:szCs w:val="20"/>
              </w:rPr>
              <w:t>LaBSE: 6 wins vs mSBERT: 2 wins</w:t>
            </w:r>
          </w:p>
        </w:tc>
        <w:tc>
          <w:tcPr>
            <w:tcW w:w="750" w:type="pct"/>
            <w:shd w:val="solid" w:color="F0F4FF" w:fill="F0F4FF"/>
          </w:tcPr>
          <w:p w14:paraId="2FC078C8">
            <w:pPr>
              <w:jc w:val="center"/>
            </w:pPr>
            <w:r>
              <w:rPr>
                <w:rFonts w:ascii="Arial" w:hAnsi="Arial" w:eastAsia="Arial" w:cs="Arial"/>
                <w:sz w:val="20"/>
                <w:szCs w:val="20"/>
              </w:rPr>
              <w:t>Clear</w:t>
            </w:r>
          </w:p>
        </w:tc>
        <w:tc>
          <w:tcPr>
            <w:tcW w:w="1250" w:type="pct"/>
            <w:shd w:val="solid" w:color="F0F4FF" w:fill="F0F4FF"/>
          </w:tcPr>
          <w:p w14:paraId="3E6E3A9D">
            <w:pPr>
              <w:jc w:val="center"/>
            </w:pPr>
            <w:r>
              <w:rPr>
                <w:rFonts w:ascii="Arial" w:hAnsi="Arial" w:eastAsia="Arial" w:cs="Arial"/>
                <w:sz w:val="20"/>
                <w:szCs w:val="20"/>
              </w:rPr>
              <w:t>LaBSE wins</w:t>
            </w:r>
          </w:p>
        </w:tc>
      </w:tr>
    </w:tbl>
    <w:p w14:paraId="6B1D794B">
      <w:pPr>
        <w:spacing w:before="80" w:after="80"/>
      </w:pPr>
    </w:p>
    <w:p w14:paraId="16961777">
      <w:pPr>
        <w:pStyle w:val="3"/>
        <w:spacing w:before="280" w:after="160"/>
      </w:pPr>
      <w:r>
        <w:rPr>
          <w:rFonts w:ascii="Arial" w:hAnsi="Arial" w:eastAsia="Arial" w:cs="Arial"/>
          <w:b/>
          <w:bCs/>
          <w:color w:val="2A5298"/>
          <w:sz w:val="26"/>
          <w:szCs w:val="26"/>
        </w:rPr>
        <w:t>7.1 Why LaBSE Wins Overall</w:t>
      </w:r>
    </w:p>
    <w:p w14:paraId="6B73C643">
      <w:pPr>
        <w:spacing w:before="80" w:after="120"/>
        <w:jc w:val="both"/>
      </w:pPr>
      <w:r>
        <w:rPr>
          <w:rFonts w:ascii="Arial" w:hAnsi="Arial" w:eastAsia="Arial" w:cs="Arial"/>
          <w:sz w:val="22"/>
          <w:szCs w:val="22"/>
        </w:rPr>
        <w:t>LaBSE was designed specifically to be language-agnostic — its dual-encoder training framework explicitly optimised for placing the same content from different languages into the same region of the vector space. This is confirmed visually in the clustering plots where Bengali and English idioms are more interleaved under LaBSE.</w:t>
      </w:r>
    </w:p>
    <w:p w14:paraId="704CE2C7">
      <w:pPr>
        <w:spacing w:before="80" w:after="80"/>
      </w:pPr>
    </w:p>
    <w:p w14:paraId="0EDDF4FD">
      <w:pPr>
        <w:spacing w:before="80" w:after="120"/>
        <w:jc w:val="both"/>
      </w:pPr>
      <w:r>
        <w:rPr>
          <w:rFonts w:ascii="Arial" w:hAnsi="Arial" w:eastAsia="Arial" w:cs="Arial"/>
          <w:sz w:val="22"/>
          <w:szCs w:val="22"/>
        </w:rPr>
        <w:t>mSBERT was trained on paraphrase pairs within and across languages, which gives it stronger raw similarity scores — it confidently assigns high cosine scores to pairs it considers similar. However, when it needs to retrieve a specific idiom from a pool of hundreds, LaBSE's better cross-lingual alignment wins.</w:t>
      </w:r>
    </w:p>
    <w:p w14:paraId="17FB6838">
      <w:pPr>
        <w:spacing w:before="80" w:after="80"/>
      </w:pPr>
    </w:p>
    <w:p w14:paraId="445128F6">
      <w:pPr>
        <w:pStyle w:val="3"/>
        <w:spacing w:before="280" w:after="160"/>
      </w:pPr>
      <w:r>
        <w:rPr>
          <w:rFonts w:ascii="Arial" w:hAnsi="Arial" w:eastAsia="Arial" w:cs="Arial"/>
          <w:b/>
          <w:bCs/>
          <w:color w:val="2A5298"/>
          <w:sz w:val="26"/>
          <w:szCs w:val="26"/>
        </w:rPr>
        <w:t>7.2 Limitations and Future Work</w:t>
      </w:r>
    </w:p>
    <w:p w14:paraId="060FE426">
      <w:pPr>
        <w:pStyle w:val="16"/>
        <w:numPr>
          <w:ilvl w:val="0"/>
          <w:numId w:val="1"/>
        </w:numPr>
        <w:spacing w:before="60" w:after="60"/>
      </w:pPr>
      <w:r>
        <w:rPr>
          <w:rFonts w:ascii="Arial" w:hAnsi="Arial" w:eastAsia="Arial" w:cs="Arial"/>
          <w:sz w:val="22"/>
          <w:szCs w:val="22"/>
        </w:rPr>
        <w:t>Bengali has 8,800 idioms while Hindi has only 12. This makes bn-hi evaluation impossible and clustering dominated by Bengali.</w:t>
      </w:r>
    </w:p>
    <w:p w14:paraId="0E9576CD">
      <w:pPr>
        <w:pStyle w:val="16"/>
        <w:numPr>
          <w:ilvl w:val="0"/>
          <w:numId w:val="1"/>
        </w:numPr>
        <w:spacing w:before="60" w:after="60"/>
      </w:pPr>
      <w:r>
        <w:rPr>
          <w:rFonts w:ascii="Arial" w:hAnsi="Arial" w:eastAsia="Arial" w:cs="Arial"/>
          <w:sz w:val="22"/>
          <w:szCs w:val="22"/>
        </w:rPr>
        <w:t>With a larger English and Hindi dataset, retrieval scores would improve significantly and bn-hi pairs would be available.</w:t>
      </w:r>
    </w:p>
    <w:p w14:paraId="5F957358">
      <w:pPr>
        <w:pStyle w:val="16"/>
        <w:numPr>
          <w:ilvl w:val="0"/>
          <w:numId w:val="1"/>
        </w:numPr>
        <w:spacing w:before="60" w:after="60"/>
      </w:pPr>
      <w:r>
        <w:rPr>
          <w:rFonts w:ascii="Arial" w:hAnsi="Arial" w:eastAsia="Arial" w:cs="Arial"/>
          <w:sz w:val="22"/>
          <w:szCs w:val="22"/>
        </w:rPr>
        <w:t>The current triplet alignment uses keyword overlap which is imperfect. Human annotation of 200-300 triplets would give much stronger evaluation.</w:t>
      </w:r>
    </w:p>
    <w:p w14:paraId="368FBCFE">
      <w:pPr>
        <w:pStyle w:val="16"/>
        <w:numPr>
          <w:ilvl w:val="0"/>
          <w:numId w:val="1"/>
        </w:numPr>
        <w:spacing w:before="60" w:after="60"/>
      </w:pPr>
      <w:r>
        <w:rPr>
          <w:rFonts w:ascii="Arial" w:hAnsi="Arial" w:eastAsia="Arial" w:cs="Arial"/>
          <w:sz w:val="22"/>
          <w:szCs w:val="22"/>
        </w:rPr>
        <w:t>Both models were used off-the-shelf. Fine-tuning on a small set of verified Bengali–English idiom pairs could significantly boost performance.</w:t>
      </w:r>
    </w:p>
    <w:p w14:paraId="57EDDE39">
      <w:pPr>
        <w:spacing w:before="80" w:after="80"/>
      </w:pPr>
    </w:p>
    <w:p w14:paraId="3D76045B">
      <w:pPr>
        <w:pStyle w:val="3"/>
        <w:spacing w:before="280" w:after="160"/>
      </w:pPr>
      <w:r>
        <w:rPr>
          <w:rFonts w:ascii="Arial" w:hAnsi="Arial" w:eastAsia="Arial" w:cs="Arial"/>
          <w:b/>
          <w:bCs/>
          <w:color w:val="2A5298"/>
          <w:sz w:val="26"/>
          <w:szCs w:val="26"/>
        </w:rPr>
        <w:t>7.3 Academic Significance</w:t>
      </w:r>
    </w:p>
    <w:p w14:paraId="2950C876">
      <w:pPr>
        <w:spacing w:before="80" w:after="120"/>
        <w:jc w:val="both"/>
      </w:pPr>
      <w:r>
        <w:rPr>
          <w:rFonts w:ascii="Arial" w:hAnsi="Arial" w:eastAsia="Arial" w:cs="Arial"/>
          <w:sz w:val="22"/>
          <w:szCs w:val="22"/>
        </w:rPr>
        <w:t>This project demonstrates for the first time that off-the-shelf multilingual sentence embedding models can find semantically equivalent idioms across Bengali, English, and Hindi without any translation system. LaBSE's success on retrieval tasks, despite never being specifically trained on idioms, suggests that its cross-lingual semantic alignment generalises to figurative language to a meaningful degree. This has implications for low-resource NLP, machine translation post-editing, and multilingual cultural computing.</w:t>
      </w:r>
    </w:p>
    <w:p w14:paraId="6772DC56">
      <w:pPr>
        <w:spacing w:before="80" w:after="80"/>
      </w:pPr>
    </w:p>
    <w:p w14:paraId="02A7EA40">
      <w:pPr>
        <w:spacing w:before="80" w:after="80"/>
      </w:pPr>
    </w:p>
    <w:sectPr>
      <w:footerReference r:id="rId3"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Kalpurush">
    <w:panose1 w:val="02000600000000000000"/>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D46FA">
    <w:pPr>
      <w:jc w:val="center"/>
    </w:pPr>
    <w:r>
      <w:rPr>
        <w:rFonts w:ascii="Arial" w:hAnsi="Arial" w:eastAsia="Arial" w:cs="Arial"/>
        <w:color w:val="888888"/>
        <w:sz w:val="18"/>
        <w:szCs w:val="18"/>
      </w:rPr>
      <w:t xml:space="preserve">MSc Project — Bengali Cross-Lingual Idiom Matching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5CD27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A1A2E"/>
      <w:sz w:val="32"/>
      <w:szCs w:val="32"/>
    </w:rPr>
  </w:style>
  <w:style w:type="paragraph" w:styleId="3">
    <w:name w:val="heading 2"/>
    <w:next w:val="1"/>
    <w:qFormat/>
    <w:uiPriority w:val="0"/>
    <w:pPr>
      <w:spacing w:before="280" w:after="160"/>
      <w:outlineLvl w:val="1"/>
    </w:pPr>
    <w:rPr>
      <w:rFonts w:ascii="Arial" w:hAnsi="Arial" w:eastAsia="Arial" w:cs="Arial"/>
      <w:b/>
      <w:bCs/>
      <w:color w:val="2A5298"/>
      <w:sz w:val="26"/>
      <w:szCs w:val="26"/>
    </w:rPr>
  </w:style>
  <w:style w:type="paragraph" w:styleId="4">
    <w:name w:val="heading 3"/>
    <w:next w:val="1"/>
    <w:qFormat/>
    <w:uiPriority w:val="0"/>
    <w:pPr>
      <w:spacing w:before="200" w:after="120"/>
      <w:outlineLvl w:val="2"/>
    </w:pPr>
    <w:rPr>
      <w:rFonts w:ascii="Arial" w:hAnsi="Arial" w:eastAsia="Arial" w:cs="Arial"/>
      <w:b/>
      <w:bCs/>
      <w:color w:val="44444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1174</Words>
  <Characters>6703</Characters>
  <TotalTime>9</TotalTime>
  <ScaleCrop>false</ScaleCrop>
  <LinksUpToDate>false</LinksUpToDate>
  <CharactersWithSpaces>7759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2026-05-05T18:54:00Z</dcterms:created>
  <dc:creator>Un-named</dc:creator>
  <cp:lastModifiedBy>sohamdas cs2</cp:lastModifiedBy>
  <dcterms:modified xsi:type="dcterms:W3CDTF">2026-05-05T19:06:24Z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eyJoZGlkIjoiNDE2Mzk2Yjg3NGI1ZjcyNTE3NjQ0MjU0MmZkNWE1ODciLCJ1c2VySWQiOiI1NjczNjU3ODMwMjAifQ==</vt:lpwstr>
  </property>
  <property fmtid="{D5CDD505-2E9C-101B-9397-08002B2CF9AE}" pid="3" name="KSOProductBuildVer">
    <vt:lpwstr>1033-12.1.0.25862</vt:lpwstr>
  </property>
  <property fmtid="{D5CDD505-2E9C-101B-9397-08002B2CF9AE}" pid="4" name="ICV">
    <vt:lpwstr>99B2968513AE4B53A37E1153351B363C_12</vt:lpwstr>
  </property>
</Properties>
</file>