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Schedule Fairness &amp; Reach Evaluator</w:t>
      </w:r>
    </w:p>
    <w:p>
      <w:pPr>
        <w:spacing w:after="60"/>
      </w:pPr>
      <w:r>
        <w:rPr>
          <w:i/>
          <w:iCs/>
          <w:color w:val="555555"/>
          <w:sz w:val="24"/>
          <w:szCs w:val="24"/>
        </w:rPr>
        <w:t xml:space="preserve">An evaluative scoring system for FIFA World Cup 2026 match scheduling</w:t>
      </w:r>
    </w:p>
    <w:p>
      <w:pPr>
        <w:spacing w:after="320"/>
      </w:pPr>
      <w:r>
        <w:rPr>
          <w:color w:val="777777"/>
          <w:sz w:val="20"/>
          <w:szCs w:val="20"/>
        </w:rPr>
        <w:t xml:space="preserve">Code Cup 2026 — Track 3: Data &amp; AI Analytics (Open Problem Statement)</w:t>
      </w:r>
    </w:p>
    <w:p>
      <w:pPr>
        <w:pStyle w:val="Heading1"/>
        <w:spacing w:after="120" w:before="280"/>
      </w:pPr>
      <w:r>
        <w:t xml:space="preserve">1. The problem</w:t>
      </w:r>
    </w:p>
    <w:p>
      <w:pPr>
        <w:spacing w:after="160"/>
      </w:pPr>
      <w:r>
        <w:t xml:space="preserve">FIFA World Cup 2026 spans 104 matches across 16 venues and three host countries — 72 in the group stage, 32 in the knockout stage. For every match, organisers must decide venue, date and kickoff time while balancing player welfare (heat, rest, travel, altitude), broadcast revenue (global timezone reach), and venue-demand fit.</w:t>
      </w:r>
    </w:p>
    <w:p>
      <w:pPr>
        <w:spacing w:after="160"/>
      </w:pPr>
      <w:r>
        <w:t xml:space="preserve">FIFA has described this process publicly as a “complex exercise” involving technical venue analysis — temperature, cooling infrastructure, transport, security — and collaborative discussion across competition management, team services, medical, broadcasting and ticketing functions. What remains invisible to fans, analysts and the teams themselves is the specific tradeoff behind each individual decision: why one match got a prime broadcast slot while another team absorbed a travel or altitude disadvantage.</w:t>
      </w:r>
    </w:p>
    <w:p>
      <w:pPr>
        <w:spacing w:after="160"/>
      </w:pPr>
      <w:r>
        <w:t xml:space="preserve">There is currently no public, independent way to audit these tradeoffs match by match, or to see whether they are applied consistently across teams and confederations.</w:t>
      </w:r>
    </w:p>
    <w:p>
      <w:pPr>
        <w:pStyle w:val="Heading1"/>
        <w:spacing w:after="120" w:before="280"/>
      </w:pPr>
      <w:r>
        <w:t xml:space="preserve">2. The solution</w:t>
      </w:r>
    </w:p>
    <w:p>
      <w:pPr>
        <w:spacing w:after="160"/>
      </w:pPr>
      <w:r>
        <w:t xml:space="preserve">A transparent, evaluative scoring system that independently scores every completed group-stage match (72 of the 104 total) against five grounded criteria, then explains where FIFA's actual scheduling choices align with or diverge from what a fairness- and reach-optimised model would predict.</w:t>
      </w:r>
    </w:p>
    <w:p>
      <w:pPr>
        <w:spacing w:after="160"/>
      </w:pPr>
      <w:r>
        <w:t xml:space="preserve">The build is deliberately scoped to the group stage: every group match had its two teams, venue, date and kickoff time fixed together at the same moment — the December 2025 draw — so every scoring claim is about a decision FIFA made with full knowledge of who it affected. Knockout matches are treated as a documented future extension (Section 6), since their venue/time slots were fixed months before the teams occupying them were known.</w:t>
      </w:r>
    </w:p>
    <w:p>
      <w:pPr>
        <w:spacing w:after="160"/>
      </w:pPr>
      <w:r>
        <w:t xml:space="preserve">This is deliberately an </w:t>
      </w:r>
      <w:r>
        <w:rPr>
          <w:b/>
          <w:bCs/>
        </w:rPr>
        <w:t xml:space="preserve">evaluator, not a generator</w:t>
      </w:r>
      <w:r>
        <w:t xml:space="preserve"> — it scores the real, already-published schedule rather than proposing an entirely new one from scratch. That choice keeps the system honest and demoable: every score can be checked against a real, verifiable match.</w:t>
      </w:r>
    </w:p>
    <w:p>
      <w:pPr>
        <w:pStyle w:val="Heading2"/>
        <w:spacing w:after="100" w:before="220"/>
      </w:pPr>
      <w:r>
        <w:t xml:space="preserve">2.1 The five scorers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500"/>
      </w:tblGrid>
      <w:tr>
        <w:trPr>
          <w:tblHeader/>
        </w:trPr>
        <w:tc>
          <w:tcPr>
            <w:tcW w:type="dxa" w:w="1300"/>
            <w:shd w:fill="1F3864" w:val="clear"/>
            <w:tcMar>
              <w:top w:type="dxa" w:w="100"/>
              <w:left w:type="dxa" w:w="120"/>
              <w:bottom w:type="dxa" w:w="100"/>
              <w:right w:type="dxa" w:w="120"/>
            </w:tcMar>
          </w:tcPr>
          <w:p>
            <w:r>
              <w:rPr>
                <w:b/>
                <w:bCs/>
                <w:color w:val="FFFFFF"/>
                <w:sz w:val="20"/>
                <w:szCs w:val="20"/>
              </w:rPr>
              <w:t xml:space="preserve">#</w:t>
            </w:r>
          </w:p>
        </w:tc>
        <w:tc>
          <w:tcPr>
            <w:tcW w:type="dxa" w:w="3400"/>
            <w:shd w:fill="1F3864" w:val="clear"/>
            <w:tcMar>
              <w:top w:type="dxa" w:w="100"/>
              <w:left w:type="dxa" w:w="120"/>
              <w:bottom w:type="dxa" w:w="100"/>
              <w:right w:type="dxa" w:w="120"/>
            </w:tcMar>
          </w:tcPr>
          <w:p>
            <w:r>
              <w:rPr>
                <w:b/>
                <w:bCs/>
                <w:color w:val="FFFFFF"/>
                <w:sz w:val="20"/>
                <w:szCs w:val="20"/>
              </w:rPr>
              <w:t xml:space="preserve">Scorer</w:t>
            </w:r>
          </w:p>
        </w:tc>
        <w:tc>
          <w:tcPr>
            <w:tcW w:type="dxa" w:w="4500"/>
            <w:shd w:fill="1F3864" w:val="clear"/>
            <w:tcMar>
              <w:top w:type="dxa" w:w="100"/>
              <w:left w:type="dxa" w:w="120"/>
              <w:bottom w:type="dxa" w:w="100"/>
              <w:right w:type="dxa" w:w="120"/>
            </w:tcMar>
          </w:tcPr>
          <w:p>
            <w:r>
              <w:rPr>
                <w:b/>
                <w:bCs/>
                <w:color w:val="FFFFFF"/>
                <w:sz w:val="20"/>
                <w:szCs w:val="20"/>
              </w:rPr>
              <w:t xml:space="preserve">What it measures</w:t>
            </w:r>
          </w:p>
        </w:tc>
      </w:tr>
      <w:tr>
        <w:tc>
          <w:tcPr>
            <w:tcW w:type="dxa" w:w="1300"/>
            <w:tcMar>
              <w:top w:type="dxa" w:w="100"/>
              <w:left w:type="dxa" w:w="120"/>
              <w:bottom w:type="dxa" w:w="100"/>
              <w:right w:type="dxa" w:w="120"/>
            </w:tcMar>
          </w:tcPr>
          <w:p>
            <w:r>
              <w:rPr>
                <w:b w:val="false"/>
                <w:bCs w:val="false"/>
                <w:color w:val="000000"/>
                <w:sz w:val="20"/>
                <w:szCs w:val="20"/>
              </w:rPr>
              <w:t xml:space="preserve">1</w:t>
            </w:r>
          </w:p>
        </w:tc>
        <w:tc>
          <w:tcPr>
            <w:tcW w:type="dxa" w:w="3400"/>
            <w:tcMar>
              <w:top w:type="dxa" w:w="100"/>
              <w:left w:type="dxa" w:w="120"/>
              <w:bottom w:type="dxa" w:w="100"/>
              <w:right w:type="dxa" w:w="120"/>
            </w:tcMar>
          </w:tcPr>
          <w:p>
            <w:r>
              <w:rPr>
                <w:b w:val="false"/>
                <w:bCs w:val="false"/>
                <w:color w:val="000000"/>
                <w:sz w:val="20"/>
                <w:szCs w:val="20"/>
              </w:rPr>
              <w:t xml:space="preserve">Climate risk</w:t>
            </w:r>
          </w:p>
        </w:tc>
        <w:tc>
          <w:tcPr>
            <w:tcW w:type="dxa" w:w="4500"/>
            <w:tcMar>
              <w:top w:type="dxa" w:w="100"/>
              <w:left w:type="dxa" w:w="120"/>
              <w:bottom w:type="dxa" w:w="100"/>
              <w:right w:type="dxa" w:w="120"/>
            </w:tcMar>
          </w:tcPr>
          <w:p>
            <w:r>
              <w:rPr>
                <w:b w:val="false"/>
                <w:bCs w:val="false"/>
                <w:color w:val="000000"/>
                <w:sz w:val="20"/>
                <w:szCs w:val="20"/>
              </w:rPr>
              <w:t xml:space="preserve">Heat and humidity risk at kickoff, adjusted for venue roof type</w:t>
            </w:r>
          </w:p>
        </w:tc>
      </w:tr>
      <w:tr>
        <w:tc>
          <w:tcPr>
            <w:tcW w:type="dxa" w:w="1300"/>
            <w:tcMar>
              <w:top w:type="dxa" w:w="100"/>
              <w:left w:type="dxa" w:w="120"/>
              <w:bottom w:type="dxa" w:w="100"/>
              <w:right w:type="dxa" w:w="120"/>
            </w:tcMar>
          </w:tcPr>
          <w:p>
            <w:r>
              <w:rPr>
                <w:b w:val="false"/>
                <w:bCs w:val="false"/>
                <w:color w:val="000000"/>
                <w:sz w:val="20"/>
                <w:szCs w:val="20"/>
              </w:rPr>
              <w:t xml:space="preserve">2</w:t>
            </w:r>
          </w:p>
        </w:tc>
        <w:tc>
          <w:tcPr>
            <w:tcW w:type="dxa" w:w="3400"/>
            <w:tcMar>
              <w:top w:type="dxa" w:w="100"/>
              <w:left w:type="dxa" w:w="120"/>
              <w:bottom w:type="dxa" w:w="100"/>
              <w:right w:type="dxa" w:w="120"/>
            </w:tcMar>
          </w:tcPr>
          <w:p>
            <w:r>
              <w:rPr>
                <w:b w:val="false"/>
                <w:bCs w:val="false"/>
                <w:color w:val="000000"/>
                <w:sz w:val="20"/>
                <w:szCs w:val="20"/>
              </w:rPr>
              <w:t xml:space="preserve">Broadcast reach</w:t>
            </w:r>
          </w:p>
        </w:tc>
        <w:tc>
          <w:tcPr>
            <w:tcW w:type="dxa" w:w="4500"/>
            <w:tcMar>
              <w:top w:type="dxa" w:w="100"/>
              <w:left w:type="dxa" w:w="120"/>
              <w:bottom w:type="dxa" w:w="100"/>
              <w:right w:type="dxa" w:w="120"/>
            </w:tcMar>
          </w:tcPr>
          <w:p>
            <w:r>
              <w:rPr>
                <w:b w:val="false"/>
                <w:bCs w:val="false"/>
                <w:color w:val="000000"/>
                <w:sz w:val="20"/>
                <w:szCs w:val="20"/>
              </w:rPr>
              <w:t xml:space="preserve">Timezone-weighted audience reach for the scheduled kickoff time</w:t>
            </w:r>
          </w:p>
        </w:tc>
      </w:tr>
      <w:tr>
        <w:tc>
          <w:tcPr>
            <w:tcW w:type="dxa" w:w="1300"/>
            <w:tcMar>
              <w:top w:type="dxa" w:w="100"/>
              <w:left w:type="dxa" w:w="120"/>
              <w:bottom w:type="dxa" w:w="100"/>
              <w:right w:type="dxa" w:w="120"/>
            </w:tcMar>
          </w:tcPr>
          <w:p>
            <w:r>
              <w:rPr>
                <w:b w:val="false"/>
                <w:bCs w:val="false"/>
                <w:color w:val="000000"/>
                <w:sz w:val="20"/>
                <w:szCs w:val="20"/>
              </w:rPr>
              <w:t xml:space="preserve">3</w:t>
            </w:r>
          </w:p>
        </w:tc>
        <w:tc>
          <w:tcPr>
            <w:tcW w:type="dxa" w:w="3400"/>
            <w:tcMar>
              <w:top w:type="dxa" w:w="100"/>
              <w:left w:type="dxa" w:w="120"/>
              <w:bottom w:type="dxa" w:w="100"/>
              <w:right w:type="dxa" w:w="120"/>
            </w:tcMar>
          </w:tcPr>
          <w:p>
            <w:r>
              <w:rPr>
                <w:b w:val="false"/>
                <w:bCs w:val="false"/>
                <w:color w:val="000000"/>
                <w:sz w:val="20"/>
                <w:szCs w:val="20"/>
              </w:rPr>
              <w:t xml:space="preserve">Travel fairness</w:t>
            </w:r>
          </w:p>
        </w:tc>
        <w:tc>
          <w:tcPr>
            <w:tcW w:type="dxa" w:w="4500"/>
            <w:tcMar>
              <w:top w:type="dxa" w:w="100"/>
              <w:left w:type="dxa" w:w="120"/>
              <w:bottom w:type="dxa" w:w="100"/>
              <w:right w:type="dxa" w:w="120"/>
            </w:tcMar>
          </w:tcPr>
          <w:p>
            <w:r>
              <w:rPr>
                <w:b w:val="false"/>
                <w:bCs w:val="false"/>
                <w:color w:val="000000"/>
                <w:sz w:val="20"/>
                <w:szCs w:val="20"/>
              </w:rPr>
              <w:t xml:space="preserve">Rest-day and travel-distance asymmetry between the two competing teams</w:t>
            </w:r>
          </w:p>
        </w:tc>
      </w:tr>
      <w:tr>
        <w:tc>
          <w:tcPr>
            <w:tcW w:type="dxa" w:w="1300"/>
            <w:tcMar>
              <w:top w:type="dxa" w:w="100"/>
              <w:left w:type="dxa" w:w="120"/>
              <w:bottom w:type="dxa" w:w="100"/>
              <w:right w:type="dxa" w:w="120"/>
            </w:tcMar>
          </w:tcPr>
          <w:p>
            <w:r>
              <w:rPr>
                <w:b w:val="false"/>
                <w:bCs w:val="false"/>
                <w:color w:val="000000"/>
                <w:sz w:val="20"/>
                <w:szCs w:val="20"/>
              </w:rPr>
              <w:t xml:space="preserve">4</w:t>
            </w:r>
          </w:p>
        </w:tc>
        <w:tc>
          <w:tcPr>
            <w:tcW w:type="dxa" w:w="3400"/>
            <w:tcMar>
              <w:top w:type="dxa" w:w="100"/>
              <w:left w:type="dxa" w:w="120"/>
              <w:bottom w:type="dxa" w:w="100"/>
              <w:right w:type="dxa" w:w="120"/>
            </w:tcMar>
          </w:tcPr>
          <w:p>
            <w:r>
              <w:rPr>
                <w:b w:val="false"/>
                <w:bCs w:val="false"/>
                <w:color w:val="000000"/>
                <w:sz w:val="20"/>
                <w:szCs w:val="20"/>
              </w:rPr>
              <w:t xml:space="preserve">Venue fit</w:t>
            </w:r>
          </w:p>
        </w:tc>
        <w:tc>
          <w:tcPr>
            <w:tcW w:type="dxa" w:w="4500"/>
            <w:tcMar>
              <w:top w:type="dxa" w:w="100"/>
              <w:left w:type="dxa" w:w="120"/>
              <w:bottom w:type="dxa" w:w="100"/>
              <w:right w:type="dxa" w:w="120"/>
            </w:tcMar>
          </w:tcPr>
          <w:p>
            <w:r>
              <w:rPr>
                <w:b w:val="false"/>
                <w:bCs w:val="false"/>
                <w:color w:val="000000"/>
                <w:sz w:val="20"/>
                <w:szCs w:val="20"/>
              </w:rPr>
              <w:t xml:space="preserve">Venue capacity versus expected demand for that specific matchup</w:t>
            </w:r>
          </w:p>
        </w:tc>
      </w:tr>
      <w:tr>
        <w:tc>
          <w:tcPr>
            <w:tcW w:type="dxa" w:w="1300"/>
            <w:tcMar>
              <w:top w:type="dxa" w:w="100"/>
              <w:left w:type="dxa" w:w="120"/>
              <w:bottom w:type="dxa" w:w="100"/>
              <w:right w:type="dxa" w:w="120"/>
            </w:tcMar>
          </w:tcPr>
          <w:p>
            <w:r>
              <w:rPr>
                <w:b w:val="false"/>
                <w:bCs w:val="false"/>
                <w:color w:val="000000"/>
                <w:sz w:val="20"/>
                <w:szCs w:val="20"/>
              </w:rPr>
              <w:t xml:space="preserve">5</w:t>
            </w:r>
          </w:p>
        </w:tc>
        <w:tc>
          <w:tcPr>
            <w:tcW w:type="dxa" w:w="3400"/>
            <w:tcMar>
              <w:top w:type="dxa" w:w="100"/>
              <w:left w:type="dxa" w:w="120"/>
              <w:bottom w:type="dxa" w:w="100"/>
              <w:right w:type="dxa" w:w="120"/>
            </w:tcMar>
          </w:tcPr>
          <w:p>
            <w:r>
              <w:rPr>
                <w:b w:val="false"/>
                <w:bCs w:val="false"/>
                <w:color w:val="000000"/>
                <w:sz w:val="20"/>
                <w:szCs w:val="20"/>
              </w:rPr>
              <w:t xml:space="preserve">Altitude fairness</w:t>
            </w:r>
          </w:p>
        </w:tc>
        <w:tc>
          <w:tcPr>
            <w:tcW w:type="dxa" w:w="4500"/>
            <w:tcMar>
              <w:top w:type="dxa" w:w="100"/>
              <w:left w:type="dxa" w:w="120"/>
              <w:bottom w:type="dxa" w:w="100"/>
              <w:right w:type="dxa" w:w="120"/>
            </w:tcMar>
          </w:tcPr>
          <w:p>
            <w:r>
              <w:rPr>
                <w:b w:val="false"/>
                <w:bCs w:val="false"/>
                <w:color w:val="000000"/>
                <w:sz w:val="20"/>
                <w:szCs w:val="20"/>
              </w:rPr>
              <w:t xml:space="preserve">Venue elevation versus each team's home elevation, flagging asymmetric disadvantage</w:t>
            </w:r>
          </w:p>
        </w:tc>
      </w:tr>
    </w:tbl>
    <w:p>
      <w:pPr>
        <w:spacing w:after="200"/>
      </w:pPr>
    </w:p>
    <w:p>
      <w:pPr>
        <w:pStyle w:val="Heading2"/>
        <w:spacing w:after="100" w:before="220"/>
      </w:pPr>
      <w:r>
        <w:t xml:space="preserve">2.2 Why the scoring basis is defensible</w:t>
      </w:r>
    </w:p>
    <w:p>
      <w:pPr>
        <w:spacing w:after="160"/>
      </w:pPr>
      <w:r>
        <w:t xml:space="preserve">Each scorer's threshold is grounded in something external — FIFA's own stated criteria or established football/sports-science norms — rather than an invented cutoff. This is what allows the system's conclusions to be defended if challenged.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Scorer</w:t>
            </w:r>
          </w:p>
        </w:tc>
        <w:tc>
          <w:tcPr>
            <w:tcW w:type="dxa" w:w="5800"/>
            <w:shd w:fill="1F3864" w:val="clear"/>
            <w:tcMar>
              <w:top w:type="dxa" w:w="100"/>
              <w:left w:type="dxa" w:w="120"/>
              <w:bottom w:type="dxa" w:w="100"/>
              <w:right w:type="dxa" w:w="120"/>
            </w:tcMar>
          </w:tcPr>
          <w:p>
            <w:r>
              <w:rPr>
                <w:b/>
                <w:bCs/>
                <w:color w:val="FFFFFF"/>
                <w:sz w:val="20"/>
                <w:szCs w:val="20"/>
              </w:rPr>
              <w:t xml:space="preserve">Grounded in</w:t>
            </w:r>
          </w:p>
        </w:tc>
      </w:tr>
      <w:tr>
        <w:tc>
          <w:tcPr>
            <w:tcW w:type="dxa" w:w="3400"/>
            <w:tcMar>
              <w:top w:type="dxa" w:w="100"/>
              <w:left w:type="dxa" w:w="120"/>
              <w:bottom w:type="dxa" w:w="100"/>
              <w:right w:type="dxa" w:w="120"/>
            </w:tcMar>
          </w:tcPr>
          <w:p>
            <w:r>
              <w:rPr>
                <w:b w:val="false"/>
                <w:bCs w:val="false"/>
                <w:color w:val="000000"/>
                <w:sz w:val="20"/>
                <w:szCs w:val="20"/>
              </w:rPr>
              <w:t xml:space="preserve">Climate risk</w:t>
            </w:r>
          </w:p>
        </w:tc>
        <w:tc>
          <w:tcPr>
            <w:tcW w:type="dxa" w:w="5800"/>
            <w:tcMar>
              <w:top w:type="dxa" w:w="100"/>
              <w:left w:type="dxa" w:w="120"/>
              <w:bottom w:type="dxa" w:w="100"/>
              <w:right w:type="dxa" w:w="120"/>
            </w:tcMar>
          </w:tcPr>
          <w:p>
            <w:r>
              <w:rPr>
                <w:b w:val="false"/>
                <w:bCs w:val="false"/>
                <w:color w:val="000000"/>
                <w:sz w:val="20"/>
                <w:szCs w:val="20"/>
              </w:rPr>
              <w:t xml:space="preserve">FIFA's own stated venue-analysis criteria (temperature, cooling infrastructure) and established heat-safety practice in football</w:t>
            </w:r>
          </w:p>
        </w:tc>
      </w:tr>
      <w:tr>
        <w:tc>
          <w:tcPr>
            <w:tcW w:type="dxa" w:w="3400"/>
            <w:tcMar>
              <w:top w:type="dxa" w:w="100"/>
              <w:left w:type="dxa" w:w="120"/>
              <w:bottom w:type="dxa" w:w="100"/>
              <w:right w:type="dxa" w:w="120"/>
            </w:tcMar>
          </w:tcPr>
          <w:p>
            <w:r>
              <w:rPr>
                <w:b w:val="false"/>
                <w:bCs w:val="false"/>
                <w:color w:val="000000"/>
                <w:sz w:val="20"/>
                <w:szCs w:val="20"/>
              </w:rPr>
              <w:t xml:space="preserve">Broadcast reach</w:t>
            </w:r>
          </w:p>
        </w:tc>
        <w:tc>
          <w:tcPr>
            <w:tcW w:type="dxa" w:w="5800"/>
            <w:tcMar>
              <w:top w:type="dxa" w:w="100"/>
              <w:left w:type="dxa" w:w="120"/>
              <w:bottom w:type="dxa" w:w="100"/>
              <w:right w:type="dxa" w:w="120"/>
            </w:tcMar>
          </w:tcPr>
          <w:p>
            <w:r>
              <w:rPr>
                <w:b w:val="false"/>
                <w:bCs w:val="false"/>
                <w:color w:val="000000"/>
                <w:sz w:val="20"/>
                <w:szCs w:val="20"/>
              </w:rPr>
              <w:t xml:space="preserve">FIFA's own stated logic for kickoff timing — e.g. the Final's 3pm ET slot was chosen to hit European prime time</w:t>
            </w:r>
          </w:p>
        </w:tc>
      </w:tr>
      <w:tr>
        <w:tc>
          <w:tcPr>
            <w:tcW w:type="dxa" w:w="3400"/>
            <w:tcMar>
              <w:top w:type="dxa" w:w="100"/>
              <w:left w:type="dxa" w:w="120"/>
              <w:bottom w:type="dxa" w:w="100"/>
              <w:right w:type="dxa" w:w="120"/>
            </w:tcMar>
          </w:tcPr>
          <w:p>
            <w:r>
              <w:rPr>
                <w:b w:val="false"/>
                <w:bCs w:val="false"/>
                <w:color w:val="000000"/>
                <w:sz w:val="20"/>
                <w:szCs w:val="20"/>
              </w:rPr>
              <w:t xml:space="preserve">Travel fairness</w:t>
            </w:r>
          </w:p>
        </w:tc>
        <w:tc>
          <w:tcPr>
            <w:tcW w:type="dxa" w:w="5800"/>
            <w:tcMar>
              <w:top w:type="dxa" w:w="100"/>
              <w:left w:type="dxa" w:w="120"/>
              <w:bottom w:type="dxa" w:w="100"/>
              <w:right w:type="dxa" w:w="120"/>
            </w:tcMar>
          </w:tcPr>
          <w:p>
            <w:r>
              <w:rPr>
                <w:b w:val="false"/>
                <w:bCs w:val="false"/>
                <w:color w:val="000000"/>
                <w:sz w:val="20"/>
                <w:szCs w:val="20"/>
              </w:rPr>
              <w:t xml:space="preserve">Established minimum rest-day norms used across professional football scheduling</w:t>
            </w:r>
          </w:p>
        </w:tc>
      </w:tr>
      <w:tr>
        <w:tc>
          <w:tcPr>
            <w:tcW w:type="dxa" w:w="3400"/>
            <w:tcMar>
              <w:top w:type="dxa" w:w="100"/>
              <w:left w:type="dxa" w:w="120"/>
              <w:bottom w:type="dxa" w:w="100"/>
              <w:right w:type="dxa" w:w="120"/>
            </w:tcMar>
          </w:tcPr>
          <w:p>
            <w:r>
              <w:rPr>
                <w:b w:val="false"/>
                <w:bCs w:val="false"/>
                <w:color w:val="000000"/>
                <w:sz w:val="20"/>
                <w:szCs w:val="20"/>
              </w:rPr>
              <w:t xml:space="preserve">Venue fit</w:t>
            </w:r>
          </w:p>
        </w:tc>
        <w:tc>
          <w:tcPr>
            <w:tcW w:type="dxa" w:w="5800"/>
            <w:tcMar>
              <w:top w:type="dxa" w:w="100"/>
              <w:left w:type="dxa" w:w="120"/>
              <w:bottom w:type="dxa" w:w="100"/>
              <w:right w:type="dxa" w:w="120"/>
            </w:tcMar>
          </w:tcPr>
          <w:p>
            <w:r>
              <w:rPr>
                <w:b w:val="false"/>
                <w:bCs w:val="false"/>
                <w:color w:val="000000"/>
                <w:sz w:val="20"/>
                <w:szCs w:val="20"/>
              </w:rPr>
              <w:t xml:space="preserve">Public venue capacity data plus team audience-size proxies, documented as a simplification</w:t>
            </w:r>
          </w:p>
        </w:tc>
      </w:tr>
      <w:tr>
        <w:tc>
          <w:tcPr>
            <w:tcW w:type="dxa" w:w="3400"/>
            <w:tcMar>
              <w:top w:type="dxa" w:w="100"/>
              <w:left w:type="dxa" w:w="120"/>
              <w:bottom w:type="dxa" w:w="100"/>
              <w:right w:type="dxa" w:w="120"/>
            </w:tcMar>
          </w:tcPr>
          <w:p>
            <w:r>
              <w:rPr>
                <w:b w:val="false"/>
                <w:bCs w:val="false"/>
                <w:color w:val="000000"/>
                <w:sz w:val="20"/>
                <w:szCs w:val="20"/>
              </w:rPr>
              <w:t xml:space="preserve">Altitude fairness</w:t>
            </w:r>
          </w:p>
        </w:tc>
        <w:tc>
          <w:tcPr>
            <w:tcW w:type="dxa" w:w="5800"/>
            <w:tcMar>
              <w:top w:type="dxa" w:w="100"/>
              <w:left w:type="dxa" w:w="120"/>
              <w:bottom w:type="dxa" w:w="100"/>
              <w:right w:type="dxa" w:w="120"/>
            </w:tcMar>
          </w:tcPr>
          <w:p>
            <w:r>
              <w:rPr>
                <w:b w:val="false"/>
                <w:bCs w:val="false"/>
                <w:color w:val="000000"/>
                <w:sz w:val="20"/>
                <w:szCs w:val="20"/>
              </w:rPr>
              <w:t xml:space="preserve">Well-documented physiological and ball-flight effects of playing at elevation, with precedent from the 1970 and 1986 World Cups in Mexico</w:t>
            </w:r>
          </w:p>
        </w:tc>
      </w:tr>
    </w:tbl>
    <w:p>
      <w:pPr>
        <w:spacing w:after="200"/>
      </w:pPr>
    </w:p>
    <w:p>
      <w:pPr>
        <w:pStyle w:val="Heading1"/>
        <w:spacing w:after="120" w:before="280"/>
      </w:pPr>
      <w:r>
        <w:t xml:space="preserve">3. How it works</w:t>
      </w:r>
    </w:p>
    <w:p>
      <w:pPr>
        <w:pStyle w:val="Heading2"/>
        <w:spacing w:after="100" w:before="220"/>
      </w:pPr>
      <w:r>
        <w:t xml:space="preserve">3.1 Data layer</w:t>
      </w:r>
    </w:p>
    <w:p>
      <w:pPr>
        <w:spacing w:after="160"/>
      </w:pPr>
      <w:r>
        <w:t xml:space="preserve">A static, pre-built reference dataset covering the group stage, built once from public sources before any scoring runs. Nothing is fetched live at query time; the dataset is a completed almanac of the 72 group matches, not a live feed.</w:t>
      </w:r>
    </w:p>
    <w:p>
      <w:pPr>
        <w:pStyle w:val="ListParagraph"/>
        <w:numPr>
          <w:ilvl w:val="0"/>
          <w:numId w:val="2"/>
        </w:numPr>
        <w:spacing w:after="80"/>
      </w:pPr>
      <w:r>
        <w:t xml:space="preserve">matches.csv — the 72 group-stage matches: teams, venue, date, kickoff time, stage</w:t>
      </w:r>
    </w:p>
    <w:p>
      <w:pPr>
        <w:pStyle w:val="ListParagraph"/>
        <w:numPr>
          <w:ilvl w:val="0"/>
          <w:numId w:val="2"/>
        </w:numPr>
        <w:spacing w:after="80"/>
      </w:pPr>
      <w:r>
        <w:t xml:space="preserve">venues.csv — the 16 venues: capacity, roof type, timezone, elevation</w:t>
      </w:r>
    </w:p>
    <w:p>
      <w:pPr>
        <w:pStyle w:val="ListParagraph"/>
        <w:numPr>
          <w:ilvl w:val="0"/>
          <w:numId w:val="2"/>
        </w:numPr>
        <w:spacing w:after="80"/>
      </w:pPr>
      <w:r>
        <w:t xml:space="preserve">climate.csv — actual recorded weather for played matches; clearly flagged climate-normal estimates for upcoming ones</w:t>
      </w:r>
    </w:p>
    <w:p>
      <w:pPr>
        <w:pStyle w:val="ListParagraph"/>
        <w:numPr>
          <w:ilvl w:val="0"/>
          <w:numId w:val="2"/>
        </w:numPr>
        <w:spacing w:after="80"/>
      </w:pPr>
      <w:r>
        <w:t xml:space="preserve">teams.csv — home timezone, home elevation, and a documented audience-size proxy</w:t>
      </w:r>
    </w:p>
    <w:p>
      <w:pPr>
        <w:spacing w:after="120"/>
      </w:pPr>
    </w:p>
    <w:p>
      <w:pPr>
        <w:pStyle w:val="Heading2"/>
        <w:spacing w:after="100" w:before="220"/>
      </w:pPr>
      <w:r>
        <w:t xml:space="preserve">3.2 Scoring pipeline</w:t>
      </w:r>
    </w:p>
    <w:p>
      <w:pPr>
        <w:spacing w:after="160"/>
      </w:pPr>
      <w:r>
        <w:t xml:space="preserve">For a selected match, each of the five scorers runs independently and produces its own score with visible reasoning. An aggregator combines the five into a weighted composite score, and uses a narrowly-scoped LLM call — only to narrate numbers already computed, never to invent them — to explain the tension between competing scores in plain English.</w:t>
      </w:r>
    </w:p>
    <w:p>
      <w:pPr>
        <w:pStyle w:val="Heading2"/>
        <w:spacing w:after="100" w:before="220"/>
      </w:pPr>
      <w:r>
        <w:t xml:space="preserve">3.3 Agent layer (built on the same scorers)</w:t>
      </w:r>
    </w:p>
    <w:p>
      <w:pPr>
        <w:spacing w:after="160"/>
      </w:pPr>
      <w:r>
        <w:t xml:space="preserve">A ReAct-style, tool-calling agent sits on top of the scoring pipeline for open-ended natural-language questions that don't map to a single pre-built view — e.g. “why did FIFA schedule the Final at 3pm ET?” or “compare travel fairness across all African teams.” The agent never scores anything itself; it only decides which scorer(s) to call and reasons over the real numbers returned.</w:t>
      </w:r>
    </w:p>
    <w:p>
      <w:pPr>
        <w:spacing w:after="160"/>
      </w:pPr>
      <w:r>
        <w:t xml:space="preserve">Tools available to the agent:</w:t>
      </w:r>
    </w:p>
    <w:p>
      <w:pPr>
        <w:pStyle w:val="ListParagraph"/>
        <w:numPr>
          <w:ilvl w:val="0"/>
          <w:numId w:val="2"/>
        </w:numPr>
        <w:spacing w:after="80"/>
      </w:pPr>
      <w:r>
        <w:t xml:space="preserve">lookup_match(criteria) — resolves a natural-language reference to a match_id</w:t>
      </w:r>
    </w:p>
    <w:p>
      <w:pPr>
        <w:pStyle w:val="ListParagraph"/>
        <w:numPr>
          <w:ilvl w:val="0"/>
          <w:numId w:val="2"/>
        </w:numPr>
        <w:spacing w:after="80"/>
      </w:pPr>
      <w:r>
        <w:t xml:space="preserve">score_climate_risk(match_id)</w:t>
      </w:r>
    </w:p>
    <w:p>
      <w:pPr>
        <w:pStyle w:val="ListParagraph"/>
        <w:numPr>
          <w:ilvl w:val="0"/>
          <w:numId w:val="2"/>
        </w:numPr>
        <w:spacing w:after="80"/>
      </w:pPr>
      <w:r>
        <w:t xml:space="preserve">score_broadcast_reach(match_id)</w:t>
      </w:r>
    </w:p>
    <w:p>
      <w:pPr>
        <w:pStyle w:val="ListParagraph"/>
        <w:numPr>
          <w:ilvl w:val="0"/>
          <w:numId w:val="2"/>
        </w:numPr>
        <w:spacing w:after="80"/>
      </w:pPr>
      <w:r>
        <w:t xml:space="preserve">score_travel_fairness(match_id)</w:t>
      </w:r>
    </w:p>
    <w:p>
      <w:pPr>
        <w:pStyle w:val="ListParagraph"/>
        <w:numPr>
          <w:ilvl w:val="0"/>
          <w:numId w:val="2"/>
        </w:numPr>
        <w:spacing w:after="80"/>
      </w:pPr>
      <w:r>
        <w:t xml:space="preserve">score_venue_fit(match_id)</w:t>
      </w:r>
    </w:p>
    <w:p>
      <w:pPr>
        <w:pStyle w:val="ListParagraph"/>
        <w:numPr>
          <w:ilvl w:val="0"/>
          <w:numId w:val="2"/>
        </w:numPr>
        <w:spacing w:after="80"/>
      </w:pPr>
      <w:r>
        <w:t xml:space="preserve">score_altitude_fairness(match_id)</w:t>
      </w:r>
    </w:p>
    <w:p>
      <w:pPr>
        <w:spacing w:after="120"/>
      </w:pPr>
    </w:p>
    <w:p>
      <w:pPr>
        <w:pStyle w:val="Heading1"/>
        <w:spacing w:after="120" w:before="280"/>
      </w:pPr>
      <w:r>
        <w:t xml:space="preserve">4. What makes this a genuine contribution</w:t>
      </w:r>
    </w:p>
    <w:p>
      <w:pPr>
        <w:pStyle w:val="ListParagraph"/>
        <w:numPr>
          <w:ilvl w:val="0"/>
          <w:numId w:val="2"/>
        </w:numPr>
        <w:spacing w:after="80"/>
      </w:pPr>
      <w:r>
        <w:t xml:space="preserve">Original problem framing — not a direct restatement of the problem-statement template, but a self-identified gap in an under-modelled part of the tournament lifecycle</w:t>
      </w:r>
    </w:p>
    <w:p>
      <w:pPr>
        <w:pStyle w:val="ListParagraph"/>
        <w:numPr>
          <w:ilvl w:val="0"/>
          <w:numId w:val="2"/>
        </w:numPr>
        <w:spacing w:after="80"/>
      </w:pPr>
      <w:r>
        <w:t xml:space="preserve">Verifiable against reality — scored against the real, published 2026 schedule, not synthetic data, so every claim is checkable</w:t>
      </w:r>
    </w:p>
    <w:p>
      <w:pPr>
        <w:pStyle w:val="ListParagraph"/>
        <w:numPr>
          <w:ilvl w:val="0"/>
          <w:numId w:val="2"/>
        </w:numPr>
        <w:spacing w:after="80"/>
      </w:pPr>
      <w:r>
        <w:t xml:space="preserve">Explainable by design — deterministic, rule-based scorers with visible reasoning, not a black-box model</w:t>
      </w:r>
    </w:p>
    <w:p>
      <w:pPr>
        <w:pStyle w:val="ListParagraph"/>
        <w:numPr>
          <w:ilvl w:val="0"/>
          <w:numId w:val="2"/>
        </w:numPr>
        <w:spacing w:after="80"/>
      </w:pPr>
      <w:r>
        <w:t xml:space="preserve">Generalisable — the constraint model (climate, broadcast, travel, venue, altitude) is not football-specific in principle and could extend to other multi-venue global events</w:t>
      </w:r>
    </w:p>
    <w:p>
      <w:pPr>
        <w:spacing w:after="160"/>
      </w:pPr>
    </w:p>
    <w:p>
      <w:pPr>
        <w:pStyle w:val="Heading1"/>
        <w:spacing w:after="120" w:before="280"/>
      </w:pPr>
      <w:r>
        <w:t xml:space="preserve">5. Future scope: extending to the knockout stage</w:t>
      </w:r>
    </w:p>
    <w:p>
      <w:pPr>
        <w:spacing w:after="160"/>
      </w:pPr>
      <w:r>
        <w:t xml:space="preserve">The 32 knockout matches are deliberately out of scope for this build, for a principled reason: FIFA fixed each knockout slot's venue, date and kickoff time months in advance, but left the occupying teams undetermined until earlier rounds are played (e.g. “Winner of Match 86 vs. Winner of Match 88”). Scoring a knockout match the same way as a group match would misrepresent it — FIFA could not have known which team it was affecting when the slot was scheduled.</w:t>
      </w:r>
    </w:p>
    <w:p>
      <w:pPr>
        <w:spacing w:after="160"/>
      </w:pPr>
      <w:r>
        <w:t xml:space="preserve">The proposed extension treats this as a genuine scenario-scoring problem rather than something to wait out:</w:t>
      </w:r>
    </w:p>
    <w:p>
      <w:pPr>
        <w:pStyle w:val="ListParagraph"/>
        <w:numPr>
          <w:ilvl w:val="0"/>
          <w:numId w:val="2"/>
        </w:numPr>
        <w:spacing w:after="80"/>
      </w:pPr>
      <w:r>
        <w:t xml:space="preserve">For each unresolved knockout slot, enumerate every team that could plausibly occupy it, based on the bracket structure</w:t>
      </w:r>
    </w:p>
    <w:p>
      <w:pPr>
        <w:pStyle w:val="ListParagraph"/>
        <w:numPr>
          <w:ilvl w:val="0"/>
          <w:numId w:val="2"/>
        </w:numPr>
        <w:spacing w:after="80"/>
      </w:pPr>
      <w:r>
        <w:t xml:space="preserve">Score every resulting hypothetical matchup on travel fairness and altitude fairness using the same scorers, unchanged</w:t>
      </w:r>
    </w:p>
    <w:p>
      <w:pPr>
        <w:pStyle w:val="ListParagraph"/>
        <w:numPr>
          <w:ilvl w:val="0"/>
          <w:numId w:val="2"/>
        </w:numPr>
        <w:spacing w:after="80"/>
      </w:pPr>
      <w:r>
        <w:t xml:space="preserve">Aggregate across all possible pairings into one expected score — either a simple average, or a probability-weighted average using team advancement odds (rankings, ELO, or historical form)</w:t>
      </w:r>
    </w:p>
    <w:p>
      <w:pPr>
        <w:pStyle w:val="ListParagraph"/>
        <w:numPr>
          <w:ilvl w:val="0"/>
          <w:numId w:val="2"/>
        </w:numPr>
        <w:spacing w:after="80"/>
      </w:pPr>
      <w:r>
        <w:t xml:space="preserve">Present a best-case / worst-case range alongside the expected score, rather than a single number, to stay honest about the uncertainty that genuinely remains</w:t>
      </w:r>
    </w:p>
    <w:p>
      <w:pPr>
        <w:spacing w:after="160"/>
      </w:pPr>
      <w:r>
        <w:t xml:space="preserve">This turns “we can't score this yet” into “we can score the distribution of what this match could look like” — a more rigorous and more interesting extension than simply waiting for results to come in.</w:t>
      </w:r>
    </w:p>
    <w:p>
      <w:pPr>
        <w:spacing w:after="160"/>
      </w:pPr>
    </w:p>
    <w:p>
      <w:pPr>
        <w:pStyle w:val="Heading1"/>
        <w:spacing w:after="120" w:before="280"/>
      </w:pPr>
      <w:r>
        <w:t xml:space="preserve">6. Honest limitations</w:t>
      </w:r>
    </w:p>
    <w:p>
      <w:pPr>
        <w:pStyle w:val="ListParagraph"/>
        <w:numPr>
          <w:ilvl w:val="0"/>
          <w:numId w:val="2"/>
        </w:numPr>
        <w:spacing w:after="80"/>
      </w:pPr>
      <w:r>
        <w:t xml:space="preserve">Audience-size and rivalry-intensity proxies are documented simplifications, not real ticketing or viewership data</w:t>
      </w:r>
    </w:p>
    <w:p>
      <w:pPr>
        <w:pStyle w:val="ListParagraph"/>
        <w:numPr>
          <w:ilvl w:val="0"/>
          <w:numId w:val="2"/>
        </w:numPr>
        <w:spacing w:after="80"/>
      </w:pPr>
      <w:r>
        <w:t xml:space="preserve">Historical weather data availability may vary by venue and needs a short feasibility check before full build-out</w:t>
      </w:r>
    </w:p>
    <w:p>
      <w:pPr>
        <w:pStyle w:val="ListParagraph"/>
        <w:numPr>
          <w:ilvl w:val="0"/>
          <w:numId w:val="2"/>
        </w:numPr>
        <w:spacing w:after="80"/>
      </w:pPr>
      <w:r>
        <w:t xml:space="preserve">The system evaluates and explains; it does not claim to know FIFA's actual internal reasoning, only what a grounded, independent model would conclude</w:t>
      </w:r>
    </w:p>
    <w:p>
      <w:pPr>
        <w:pStyle w:val="ListParagraph"/>
        <w:numPr>
          <w:ilvl w:val="0"/>
          <w:numId w:val="2"/>
        </w:numPr>
        <w:spacing w:after="80"/>
      </w:pPr>
      <w:r>
        <w:t xml:space="preserve">Scope is limited to the group stage; the knockout stage is addressed only as future work (Section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2026-07-04T06:41:14.775Z</dcterms:created>
  <dcterms:modified xsi:type="dcterms:W3CDTF">2026-07-04T06:41:14.790Z</dcterms:modified>
</cp:coreProperties>
</file>

<file path=docProps/custom.xml><?xml version="1.0" encoding="utf-8"?>
<Properties xmlns="http://schemas.openxmlformats.org/officeDocument/2006/custom-properties" xmlns:vt="http://schemas.openxmlformats.org/officeDocument/2006/docPropsVTypes"/>
</file>