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Implementation Plan &amp; Requirements</w:t>
      </w:r>
    </w:p>
    <w:p>
      <w:pPr>
        <w:spacing w:after="320"/>
      </w:pPr>
      <w:r>
        <w:rPr>
          <w:i/>
          <w:iCs/>
          <w:color w:val="555555"/>
          <w:sz w:val="24"/>
          <w:szCs w:val="24"/>
        </w:rPr>
        <w:t xml:space="preserve">Schedule Fairness &amp; Reach Evaluator — Code Cup 2026</w:t>
      </w:r>
    </w:p>
    <w:p>
      <w:pPr>
        <w:pStyle w:val="Heading1"/>
        <w:spacing w:after="120" w:before="280"/>
      </w:pPr>
      <w:r>
        <w:t xml:space="preserve">1. Team requirements</w:t>
      </w:r>
    </w:p>
    <w:p>
      <w:pPr>
        <w:spacing w:after="160"/>
      </w:pPr>
      <w:r>
        <w:t xml:space="preserve">Registration requires a team of 2–4 members. At least one teammate should be confirmed before registration closes.</w:t>
      </w:r>
    </w:p>
    <w:p>
      <w:pPr>
        <w:pStyle w:val="ListParagraph"/>
        <w:numPr>
          <w:ilvl w:val="0"/>
          <w:numId w:val="2"/>
        </w:numPr>
        <w:spacing w:after="80"/>
      </w:pPr>
      <w:r>
        <w:t xml:space="preserve">Comfortable with Python and pandas for data wrangling</w:t>
      </w:r>
    </w:p>
    <w:p>
      <w:pPr>
        <w:pStyle w:val="ListParagraph"/>
        <w:numPr>
          <w:ilvl w:val="0"/>
          <w:numId w:val="2"/>
        </w:numPr>
        <w:spacing w:after="80"/>
      </w:pPr>
      <w:r>
        <w:t xml:space="preserve">At least one person able to build a Streamlit UI</w:t>
      </w:r>
    </w:p>
    <w:p>
      <w:pPr>
        <w:pStyle w:val="ListParagraph"/>
        <w:numPr>
          <w:ilvl w:val="0"/>
          <w:numId w:val="2"/>
        </w:numPr>
        <w:spacing w:after="80"/>
      </w:pPr>
      <w:r>
        <w:t xml:space="preserve">At least one person comfortable calling an LLM API for function-calling / tool-use, if the agent layer is attempted</w:t>
      </w:r>
    </w:p>
    <w:p>
      <w:pPr>
        <w:pStyle w:val="ListParagraph"/>
        <w:numPr>
          <w:ilvl w:val="0"/>
          <w:numId w:val="2"/>
        </w:numPr>
        <w:spacing w:after="80"/>
      </w:pPr>
      <w:r>
        <w:t xml:space="preserve">No deep ML background required — scoring logic is rule-based by design</w:t>
      </w:r>
    </w:p>
    <w:p>
      <w:pPr>
        <w:spacing w:after="120"/>
      </w:pPr>
    </w:p>
    <w:p>
      <w:pPr>
        <w:pStyle w:val="Heading1"/>
        <w:spacing w:after="120" w:before="280"/>
      </w:pPr>
      <w:r>
        <w:t xml:space="preserve">2. Technical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3864" w:val="clear"/>
            <w:tcMar>
              <w:top w:type="dxa" w:w="90"/>
              <w:left w:type="dxa" w:w="110"/>
              <w:bottom w:type="dxa" w:w="90"/>
              <w:right w:type="dxa" w:w="110"/>
            </w:tcMar>
          </w:tcPr>
          <w:p>
            <w:r>
              <w:rPr>
                <w:b/>
                <w:bCs/>
                <w:color w:val="FFFFFF"/>
                <w:sz w:val="19"/>
                <w:szCs w:val="19"/>
              </w:rPr>
              <w:t xml:space="preserve">Layer</w:t>
            </w:r>
          </w:p>
        </w:tc>
        <w:tc>
          <w:tcPr>
            <w:tcW w:type="dxa" w:w="6600"/>
            <w:shd w:fill="1F3864" w:val="clear"/>
            <w:tcMar>
              <w:top w:type="dxa" w:w="90"/>
              <w:left w:type="dxa" w:w="110"/>
              <w:bottom w:type="dxa" w:w="90"/>
              <w:right w:type="dxa" w:w="110"/>
            </w:tcMar>
          </w:tcPr>
          <w:p>
            <w:r>
              <w:rPr>
                <w:b/>
                <w:bCs/>
                <w:color w:val="FFFFFF"/>
                <w:sz w:val="19"/>
                <w:szCs w:val="19"/>
              </w:rPr>
              <w:t xml:space="preserve">Tool / choice</w:t>
            </w:r>
          </w:p>
        </w:tc>
      </w:tr>
      <w:tr>
        <w:tc>
          <w:tcPr>
            <w:tcW w:type="dxa" w:w="2600"/>
            <w:tcMar>
              <w:top w:type="dxa" w:w="90"/>
              <w:left w:type="dxa" w:w="110"/>
              <w:bottom w:type="dxa" w:w="90"/>
              <w:right w:type="dxa" w:w="110"/>
            </w:tcMar>
          </w:tcPr>
          <w:p>
            <w:r>
              <w:rPr>
                <w:b w:val="false"/>
                <w:bCs w:val="false"/>
                <w:color w:val="000000"/>
                <w:sz w:val="19"/>
                <w:szCs w:val="19"/>
              </w:rPr>
              <w:t xml:space="preserve">Data wrangling</w:t>
            </w:r>
          </w:p>
        </w:tc>
        <w:tc>
          <w:tcPr>
            <w:tcW w:type="dxa" w:w="6600"/>
            <w:tcMar>
              <w:top w:type="dxa" w:w="90"/>
              <w:left w:type="dxa" w:w="110"/>
              <w:bottom w:type="dxa" w:w="90"/>
              <w:right w:type="dxa" w:w="110"/>
            </w:tcMar>
          </w:tcPr>
          <w:p>
            <w:r>
              <w:rPr>
                <w:b w:val="false"/>
                <w:bCs w:val="false"/>
                <w:color w:val="000000"/>
                <w:sz w:val="19"/>
                <w:szCs w:val="19"/>
              </w:rPr>
              <w:t xml:space="preserve">Python, pandas</w:t>
            </w:r>
          </w:p>
        </w:tc>
      </w:tr>
      <w:tr>
        <w:tc>
          <w:tcPr>
            <w:tcW w:type="dxa" w:w="2600"/>
            <w:tcMar>
              <w:top w:type="dxa" w:w="90"/>
              <w:left w:type="dxa" w:w="110"/>
              <w:bottom w:type="dxa" w:w="90"/>
              <w:right w:type="dxa" w:w="110"/>
            </w:tcMar>
          </w:tcPr>
          <w:p>
            <w:r>
              <w:rPr>
                <w:b w:val="false"/>
                <w:bCs w:val="false"/>
                <w:color w:val="000000"/>
                <w:sz w:val="19"/>
                <w:szCs w:val="19"/>
              </w:rPr>
              <w:t xml:space="preserve">Storage</w:t>
            </w:r>
          </w:p>
        </w:tc>
        <w:tc>
          <w:tcPr>
            <w:tcW w:type="dxa" w:w="6600"/>
            <w:tcMar>
              <w:top w:type="dxa" w:w="90"/>
              <w:left w:type="dxa" w:w="110"/>
              <w:bottom w:type="dxa" w:w="90"/>
              <w:right w:type="dxa" w:w="110"/>
            </w:tcMar>
          </w:tcPr>
          <w:p>
            <w:r>
              <w:rPr>
                <w:b w:val="false"/>
                <w:bCs w:val="false"/>
                <w:color w:val="000000"/>
                <w:sz w:val="19"/>
                <w:szCs w:val="19"/>
              </w:rPr>
              <w:t xml:space="preserve">Flat CSV files or a single SQLite database</w:t>
            </w:r>
          </w:p>
        </w:tc>
      </w:tr>
      <w:tr>
        <w:tc>
          <w:tcPr>
            <w:tcW w:type="dxa" w:w="2600"/>
            <w:tcMar>
              <w:top w:type="dxa" w:w="90"/>
              <w:left w:type="dxa" w:w="110"/>
              <w:bottom w:type="dxa" w:w="90"/>
              <w:right w:type="dxa" w:w="110"/>
            </w:tcMar>
          </w:tcPr>
          <w:p>
            <w:r>
              <w:rPr>
                <w:b w:val="false"/>
                <w:bCs w:val="false"/>
                <w:color w:val="000000"/>
                <w:sz w:val="19"/>
                <w:szCs w:val="19"/>
              </w:rPr>
              <w:t xml:space="preserve">Historical weather</w:t>
            </w:r>
          </w:p>
        </w:tc>
        <w:tc>
          <w:tcPr>
            <w:tcW w:type="dxa" w:w="6600"/>
            <w:tcMar>
              <w:top w:type="dxa" w:w="90"/>
              <w:left w:type="dxa" w:w="110"/>
              <w:bottom w:type="dxa" w:w="90"/>
              <w:right w:type="dxa" w:w="110"/>
            </w:tcMar>
          </w:tcPr>
          <w:p>
            <w:r>
              <w:rPr>
                <w:b w:val="false"/>
                <w:bCs w:val="false"/>
                <w:color w:val="000000"/>
                <w:sz w:val="19"/>
                <w:szCs w:val="19"/>
              </w:rPr>
              <w:t xml:space="preserve">Open-Meteo historical API (or equivalent free weather API) plus published climate normals for upcoming-match estimates</w:t>
            </w:r>
          </w:p>
        </w:tc>
      </w:tr>
      <w:tr>
        <w:tc>
          <w:tcPr>
            <w:tcW w:type="dxa" w:w="2600"/>
            <w:tcMar>
              <w:top w:type="dxa" w:w="90"/>
              <w:left w:type="dxa" w:w="110"/>
              <w:bottom w:type="dxa" w:w="90"/>
              <w:right w:type="dxa" w:w="110"/>
            </w:tcMar>
          </w:tcPr>
          <w:p>
            <w:r>
              <w:rPr>
                <w:b w:val="false"/>
                <w:bCs w:val="false"/>
                <w:color w:val="000000"/>
                <w:sz w:val="19"/>
                <w:szCs w:val="19"/>
              </w:rPr>
              <w:t xml:space="preserve">Distance / geo calculations</w:t>
            </w:r>
          </w:p>
        </w:tc>
        <w:tc>
          <w:tcPr>
            <w:tcW w:type="dxa" w:w="6600"/>
            <w:tcMar>
              <w:top w:type="dxa" w:w="90"/>
              <w:left w:type="dxa" w:w="110"/>
              <w:bottom w:type="dxa" w:w="90"/>
              <w:right w:type="dxa" w:w="110"/>
            </w:tcMar>
          </w:tcPr>
          <w:p>
            <w:r>
              <w:rPr>
                <w:b w:val="false"/>
                <w:bCs w:val="false"/>
                <w:color w:val="000000"/>
                <w:sz w:val="19"/>
                <w:szCs w:val="19"/>
              </w:rPr>
              <w:t xml:space="preserve">haversine formula on venue latitude/longitude</w:t>
            </w:r>
          </w:p>
        </w:tc>
      </w:tr>
      <w:tr>
        <w:tc>
          <w:tcPr>
            <w:tcW w:type="dxa" w:w="2600"/>
            <w:tcMar>
              <w:top w:type="dxa" w:w="90"/>
              <w:left w:type="dxa" w:w="110"/>
              <w:bottom w:type="dxa" w:w="90"/>
              <w:right w:type="dxa" w:w="110"/>
            </w:tcMar>
          </w:tcPr>
          <w:p>
            <w:r>
              <w:rPr>
                <w:b w:val="false"/>
                <w:bCs w:val="false"/>
                <w:color w:val="000000"/>
                <w:sz w:val="19"/>
                <w:szCs w:val="19"/>
              </w:rPr>
              <w:t xml:space="preserve">Scoring logic</w:t>
            </w:r>
          </w:p>
        </w:tc>
        <w:tc>
          <w:tcPr>
            <w:tcW w:type="dxa" w:w="6600"/>
            <w:tcMar>
              <w:top w:type="dxa" w:w="90"/>
              <w:left w:type="dxa" w:w="110"/>
              <w:bottom w:type="dxa" w:w="90"/>
              <w:right w:type="dxa" w:w="110"/>
            </w:tcMar>
          </w:tcPr>
          <w:p>
            <w:r>
              <w:rPr>
                <w:b w:val="false"/>
                <w:bCs w:val="false"/>
                <w:color w:val="000000"/>
                <w:sz w:val="19"/>
                <w:szCs w:val="19"/>
              </w:rPr>
              <w:t xml:space="preserve">Plain Python, rule-based and weighted — no ML model, kept transparent and explainable</w:t>
            </w:r>
          </w:p>
        </w:tc>
      </w:tr>
      <w:tr>
        <w:tc>
          <w:tcPr>
            <w:tcW w:type="dxa" w:w="2600"/>
            <w:tcMar>
              <w:top w:type="dxa" w:w="90"/>
              <w:left w:type="dxa" w:w="110"/>
              <w:bottom w:type="dxa" w:w="90"/>
              <w:right w:type="dxa" w:w="110"/>
            </w:tcMar>
          </w:tcPr>
          <w:p>
            <w:r>
              <w:rPr>
                <w:b w:val="false"/>
                <w:bCs w:val="false"/>
                <w:color w:val="000000"/>
                <w:sz w:val="19"/>
                <w:szCs w:val="19"/>
              </w:rPr>
              <w:t xml:space="preserve">Tradeoff narration</w:t>
            </w:r>
          </w:p>
        </w:tc>
        <w:tc>
          <w:tcPr>
            <w:tcW w:type="dxa" w:w="6600"/>
            <w:tcMar>
              <w:top w:type="dxa" w:w="90"/>
              <w:left w:type="dxa" w:w="110"/>
              <w:bottom w:type="dxa" w:w="90"/>
              <w:right w:type="dxa" w:w="110"/>
            </w:tcMar>
          </w:tcPr>
          <w:p>
            <w:r>
              <w:rPr>
                <w:b w:val="false"/>
                <w:bCs w:val="false"/>
                <w:color w:val="000000"/>
                <w:sz w:val="19"/>
                <w:szCs w:val="19"/>
              </w:rPr>
              <w:t xml:space="preserve">One scoped LLM call (Anthropic/OpenAI API) that narrates precomputed scores only</w:t>
            </w:r>
          </w:p>
        </w:tc>
      </w:tr>
      <w:tr>
        <w:tc>
          <w:tcPr>
            <w:tcW w:type="dxa" w:w="2600"/>
            <w:tcMar>
              <w:top w:type="dxa" w:w="90"/>
              <w:left w:type="dxa" w:w="110"/>
              <w:bottom w:type="dxa" w:w="90"/>
              <w:right w:type="dxa" w:w="110"/>
            </w:tcMar>
          </w:tcPr>
          <w:p>
            <w:r>
              <w:rPr>
                <w:b w:val="false"/>
                <w:bCs w:val="false"/>
                <w:color w:val="000000"/>
                <w:sz w:val="19"/>
                <w:szCs w:val="19"/>
              </w:rPr>
              <w:t xml:space="preserve">Agent / tool-calling</w:t>
            </w:r>
          </w:p>
        </w:tc>
        <w:tc>
          <w:tcPr>
            <w:tcW w:type="dxa" w:w="6600"/>
            <w:tcMar>
              <w:top w:type="dxa" w:w="90"/>
              <w:left w:type="dxa" w:w="110"/>
              <w:bottom w:type="dxa" w:w="90"/>
              <w:right w:type="dxa" w:w="110"/>
            </w:tcMar>
          </w:tcPr>
          <w:p>
            <w:r>
              <w:rPr>
                <w:b w:val="false"/>
                <w:bCs w:val="false"/>
                <w:color w:val="000000"/>
                <w:sz w:val="19"/>
                <w:szCs w:val="19"/>
              </w:rPr>
              <w:t xml:space="preserve">Function-calling via the Anthropic or OpenAI API (tool_use); avoid a heavier framework unless the team has already built with it</w:t>
            </w:r>
          </w:p>
        </w:tc>
      </w:tr>
      <w:tr>
        <w:tc>
          <w:tcPr>
            <w:tcW w:type="dxa" w:w="2600"/>
            <w:tcMar>
              <w:top w:type="dxa" w:w="90"/>
              <w:left w:type="dxa" w:w="110"/>
              <w:bottom w:type="dxa" w:w="90"/>
              <w:right w:type="dxa" w:w="110"/>
            </w:tcMar>
          </w:tcPr>
          <w:p>
            <w:r>
              <w:rPr>
                <w:b w:val="false"/>
                <w:bCs w:val="false"/>
                <w:color w:val="000000"/>
                <w:sz w:val="19"/>
                <w:szCs w:val="19"/>
              </w:rPr>
              <w:t xml:space="preserve">Dashboard</w:t>
            </w:r>
          </w:p>
        </w:tc>
        <w:tc>
          <w:tcPr>
            <w:tcW w:type="dxa" w:w="6600"/>
            <w:tcMar>
              <w:top w:type="dxa" w:w="90"/>
              <w:left w:type="dxa" w:w="110"/>
              <w:bottom w:type="dxa" w:w="90"/>
              <w:right w:type="dxa" w:w="110"/>
            </w:tcMar>
          </w:tcPr>
          <w:p>
            <w:r>
              <w:rPr>
                <w:b w:val="false"/>
                <w:bCs w:val="false"/>
                <w:color w:val="000000"/>
                <w:sz w:val="19"/>
                <w:szCs w:val="19"/>
              </w:rPr>
              <w:t xml:space="preserve">Streamlit</w:t>
            </w:r>
          </w:p>
        </w:tc>
      </w:tr>
      <w:tr>
        <w:tc>
          <w:tcPr>
            <w:tcW w:type="dxa" w:w="2600"/>
            <w:tcMar>
              <w:top w:type="dxa" w:w="90"/>
              <w:left w:type="dxa" w:w="110"/>
              <w:bottom w:type="dxa" w:w="90"/>
              <w:right w:type="dxa" w:w="110"/>
            </w:tcMar>
          </w:tcPr>
          <w:p>
            <w:r>
              <w:rPr>
                <w:b w:val="false"/>
                <w:bCs w:val="false"/>
                <w:color w:val="000000"/>
                <w:sz w:val="19"/>
                <w:szCs w:val="19"/>
              </w:rPr>
              <w:t xml:space="preserve">Visualisation</w:t>
            </w:r>
          </w:p>
        </w:tc>
        <w:tc>
          <w:tcPr>
            <w:tcW w:type="dxa" w:w="6600"/>
            <w:tcMar>
              <w:top w:type="dxa" w:w="90"/>
              <w:left w:type="dxa" w:w="110"/>
              <w:bottom w:type="dxa" w:w="90"/>
              <w:right w:type="dxa" w:w="110"/>
            </w:tcMar>
          </w:tcPr>
          <w:p>
            <w:r>
              <w:rPr>
                <w:b w:val="false"/>
                <w:bCs w:val="false"/>
                <w:color w:val="000000"/>
                <w:sz w:val="19"/>
                <w:szCs w:val="19"/>
              </w:rPr>
              <w:t xml:space="preserve">Plotly / built-in Streamlit charts for the tournament-wide pattern view</w:t>
            </w:r>
          </w:p>
        </w:tc>
      </w:tr>
    </w:tbl>
    <w:p>
      <w:pPr>
        <w:spacing w:after="200"/>
      </w:pPr>
    </w:p>
    <w:p>
      <w:pPr>
        <w:pStyle w:val="Heading1"/>
        <w:spacing w:after="120" w:before="280"/>
      </w:pPr>
      <w:r>
        <w:t xml:space="preserve">3. Dataset plan</w:t>
      </w:r>
    </w:p>
    <w:p>
      <w:pPr>
        <w:spacing w:after="160"/>
      </w:pPr>
      <w:r>
        <w:t xml:space="preserve">Built once, up front, from public and derived sources — no live data feed, no user-submitted input at query time. Scoped to the 72 group-stage matches, where both teams and the schedule were fixed together at the December 2025 draw — avoiding the placeholder-team problem that knockout slots carry (see Section 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shd w:fill="1F3864" w:val="clear"/>
            <w:tcMar>
              <w:top w:type="dxa" w:w="90"/>
              <w:left w:type="dxa" w:w="110"/>
              <w:bottom w:type="dxa" w:w="90"/>
              <w:right w:type="dxa" w:w="110"/>
            </w:tcMar>
          </w:tcPr>
          <w:p>
            <w:r>
              <w:rPr>
                <w:b/>
                <w:bCs/>
                <w:color w:val="FFFFFF"/>
                <w:sz w:val="19"/>
                <w:szCs w:val="19"/>
              </w:rPr>
              <w:t xml:space="preserve">File</w:t>
            </w:r>
          </w:p>
        </w:tc>
        <w:tc>
          <w:tcPr>
            <w:tcW w:type="dxa" w:w="3600"/>
            <w:shd w:fill="1F3864" w:val="clear"/>
            <w:tcMar>
              <w:top w:type="dxa" w:w="90"/>
              <w:left w:type="dxa" w:w="110"/>
              <w:bottom w:type="dxa" w:w="90"/>
              <w:right w:type="dxa" w:w="110"/>
            </w:tcMar>
          </w:tcPr>
          <w:p>
            <w:r>
              <w:rPr>
                <w:b/>
                <w:bCs/>
                <w:color w:val="FFFFFF"/>
                <w:sz w:val="19"/>
                <w:szCs w:val="19"/>
              </w:rPr>
              <w:t xml:space="preserve">Key columns</w:t>
            </w:r>
          </w:p>
        </w:tc>
        <w:tc>
          <w:tcPr>
            <w:tcW w:type="dxa" w:w="3600"/>
            <w:shd w:fill="1F3864" w:val="clear"/>
            <w:tcMar>
              <w:top w:type="dxa" w:w="90"/>
              <w:left w:type="dxa" w:w="110"/>
              <w:bottom w:type="dxa" w:w="90"/>
              <w:right w:type="dxa" w:w="110"/>
            </w:tcMar>
          </w:tcPr>
          <w:p>
            <w:r>
              <w:rPr>
                <w:b/>
                <w:bCs/>
                <w:color w:val="FFFFFF"/>
                <w:sz w:val="19"/>
                <w:szCs w:val="19"/>
              </w:rPr>
              <w:t xml:space="preserve">Source</w:t>
            </w:r>
          </w:p>
        </w:tc>
      </w:tr>
      <w:tr>
        <w:tc>
          <w:tcPr>
            <w:tcW w:type="dxa" w:w="2000"/>
            <w:tcMar>
              <w:top w:type="dxa" w:w="90"/>
              <w:left w:type="dxa" w:w="110"/>
              <w:bottom w:type="dxa" w:w="90"/>
              <w:right w:type="dxa" w:w="110"/>
            </w:tcMar>
          </w:tcPr>
          <w:p>
            <w:r>
              <w:rPr>
                <w:b w:val="false"/>
                <w:bCs w:val="false"/>
                <w:color w:val="000000"/>
                <w:sz w:val="19"/>
                <w:szCs w:val="19"/>
              </w:rPr>
              <w:t xml:space="preserve">matches.csv</w:t>
            </w:r>
          </w:p>
        </w:tc>
        <w:tc>
          <w:tcPr>
            <w:tcW w:type="dxa" w:w="3600"/>
            <w:tcMar>
              <w:top w:type="dxa" w:w="90"/>
              <w:left w:type="dxa" w:w="110"/>
              <w:bottom w:type="dxa" w:w="90"/>
              <w:right w:type="dxa" w:w="110"/>
            </w:tcMar>
          </w:tcPr>
          <w:p>
            <w:r>
              <w:rPr>
                <w:b w:val="false"/>
                <w:bCs w:val="false"/>
                <w:color w:val="000000"/>
                <w:sz w:val="19"/>
                <w:szCs w:val="19"/>
              </w:rPr>
              <w:t xml:space="preserve">match_id, teams, venue_id, date, kickoff_local/utc, stage</w:t>
            </w:r>
          </w:p>
        </w:tc>
        <w:tc>
          <w:tcPr>
            <w:tcW w:type="dxa" w:w="3600"/>
            <w:tcMar>
              <w:top w:type="dxa" w:w="90"/>
              <w:left w:type="dxa" w:w="110"/>
              <w:bottom w:type="dxa" w:w="90"/>
              <w:right w:type="dxa" w:w="110"/>
            </w:tcMar>
          </w:tcPr>
          <w:p>
            <w:r>
              <w:rPr>
                <w:b w:val="false"/>
                <w:bCs w:val="false"/>
                <w:color w:val="000000"/>
                <w:sz w:val="19"/>
                <w:szCs w:val="19"/>
              </w:rPr>
              <w:t xml:space="preserve">Public 2026 schedule (already released)</w:t>
            </w:r>
          </w:p>
        </w:tc>
      </w:tr>
      <w:tr>
        <w:tc>
          <w:tcPr>
            <w:tcW w:type="dxa" w:w="2000"/>
            <w:tcMar>
              <w:top w:type="dxa" w:w="90"/>
              <w:left w:type="dxa" w:w="110"/>
              <w:bottom w:type="dxa" w:w="90"/>
              <w:right w:type="dxa" w:w="110"/>
            </w:tcMar>
          </w:tcPr>
          <w:p>
            <w:r>
              <w:rPr>
                <w:b w:val="false"/>
                <w:bCs w:val="false"/>
                <w:color w:val="000000"/>
                <w:sz w:val="19"/>
                <w:szCs w:val="19"/>
              </w:rPr>
              <w:t xml:space="preserve">venues.csv</w:t>
            </w:r>
          </w:p>
        </w:tc>
        <w:tc>
          <w:tcPr>
            <w:tcW w:type="dxa" w:w="3600"/>
            <w:tcMar>
              <w:top w:type="dxa" w:w="90"/>
              <w:left w:type="dxa" w:w="110"/>
              <w:bottom w:type="dxa" w:w="90"/>
              <w:right w:type="dxa" w:w="110"/>
            </w:tcMar>
          </w:tcPr>
          <w:p>
            <w:r>
              <w:rPr>
                <w:b w:val="false"/>
                <w:bCs w:val="false"/>
                <w:color w:val="000000"/>
                <w:sz w:val="19"/>
                <w:szCs w:val="19"/>
              </w:rPr>
              <w:t xml:space="preserve">venue_id, name, city, capacity, roof_type, timezone, elevation_m, lat/long</w:t>
            </w:r>
          </w:p>
        </w:tc>
        <w:tc>
          <w:tcPr>
            <w:tcW w:type="dxa" w:w="3600"/>
            <w:tcMar>
              <w:top w:type="dxa" w:w="90"/>
              <w:left w:type="dxa" w:w="110"/>
              <w:bottom w:type="dxa" w:w="90"/>
              <w:right w:type="dxa" w:w="110"/>
            </w:tcMar>
          </w:tcPr>
          <w:p>
            <w:r>
              <w:rPr>
                <w:b w:val="false"/>
                <w:bCs w:val="false"/>
                <w:color w:val="000000"/>
                <w:sz w:val="19"/>
                <w:szCs w:val="19"/>
              </w:rPr>
              <w:t xml:space="preserve">Public venue specifications</w:t>
            </w:r>
          </w:p>
        </w:tc>
      </w:tr>
      <w:tr>
        <w:tc>
          <w:tcPr>
            <w:tcW w:type="dxa" w:w="2000"/>
            <w:tcMar>
              <w:top w:type="dxa" w:w="90"/>
              <w:left w:type="dxa" w:w="110"/>
              <w:bottom w:type="dxa" w:w="90"/>
              <w:right w:type="dxa" w:w="110"/>
            </w:tcMar>
          </w:tcPr>
          <w:p>
            <w:r>
              <w:rPr>
                <w:b w:val="false"/>
                <w:bCs w:val="false"/>
                <w:color w:val="000000"/>
                <w:sz w:val="19"/>
                <w:szCs w:val="19"/>
              </w:rPr>
              <w:t xml:space="preserve">climate.csv</w:t>
            </w:r>
          </w:p>
        </w:tc>
        <w:tc>
          <w:tcPr>
            <w:tcW w:type="dxa" w:w="3600"/>
            <w:tcMar>
              <w:top w:type="dxa" w:w="90"/>
              <w:left w:type="dxa" w:w="110"/>
              <w:bottom w:type="dxa" w:w="90"/>
              <w:right w:type="dxa" w:w="110"/>
            </w:tcMar>
          </w:tcPr>
          <w:p>
            <w:r>
              <w:rPr>
                <w:b w:val="false"/>
                <w:bCs w:val="false"/>
                <w:color w:val="000000"/>
                <w:sz w:val="19"/>
                <w:szCs w:val="19"/>
              </w:rPr>
              <w:t xml:space="preserve">venue_id, date, kickoff hour, temp_c, humidity_pct, data_type (actual/estimate)</w:t>
            </w:r>
          </w:p>
        </w:tc>
        <w:tc>
          <w:tcPr>
            <w:tcW w:type="dxa" w:w="3600"/>
            <w:tcMar>
              <w:top w:type="dxa" w:w="90"/>
              <w:left w:type="dxa" w:w="110"/>
              <w:bottom w:type="dxa" w:w="90"/>
              <w:right w:type="dxa" w:w="110"/>
            </w:tcMar>
          </w:tcPr>
          <w:p>
            <w:r>
              <w:rPr>
                <w:b w:val="false"/>
                <w:bCs w:val="false"/>
                <w:color w:val="000000"/>
                <w:sz w:val="19"/>
                <w:szCs w:val="19"/>
              </w:rPr>
              <w:t xml:space="preserve">Historical weather API for played matches; climate normals for upcoming ones</w:t>
            </w:r>
          </w:p>
        </w:tc>
      </w:tr>
      <w:tr>
        <w:tc>
          <w:tcPr>
            <w:tcW w:type="dxa" w:w="2000"/>
            <w:tcMar>
              <w:top w:type="dxa" w:w="90"/>
              <w:left w:type="dxa" w:w="110"/>
              <w:bottom w:type="dxa" w:w="90"/>
              <w:right w:type="dxa" w:w="110"/>
            </w:tcMar>
          </w:tcPr>
          <w:p>
            <w:r>
              <w:rPr>
                <w:b w:val="false"/>
                <w:bCs w:val="false"/>
                <w:color w:val="000000"/>
                <w:sz w:val="19"/>
                <w:szCs w:val="19"/>
              </w:rPr>
              <w:t xml:space="preserve">teams.csv</w:t>
            </w:r>
          </w:p>
        </w:tc>
        <w:tc>
          <w:tcPr>
            <w:tcW w:type="dxa" w:w="3600"/>
            <w:tcMar>
              <w:top w:type="dxa" w:w="90"/>
              <w:left w:type="dxa" w:w="110"/>
              <w:bottom w:type="dxa" w:w="90"/>
              <w:right w:type="dxa" w:w="110"/>
            </w:tcMar>
          </w:tcPr>
          <w:p>
            <w:r>
              <w:rPr>
                <w:b w:val="false"/>
                <w:bCs w:val="false"/>
                <w:color w:val="000000"/>
                <w:sz w:val="19"/>
                <w:szCs w:val="19"/>
              </w:rPr>
              <w:t xml:space="preserve">team, home_timezone, home_elevation_m, audience_proxy_score</w:t>
            </w:r>
          </w:p>
        </w:tc>
        <w:tc>
          <w:tcPr>
            <w:tcW w:type="dxa" w:w="3600"/>
            <w:tcMar>
              <w:top w:type="dxa" w:w="90"/>
              <w:left w:type="dxa" w:w="110"/>
              <w:bottom w:type="dxa" w:w="90"/>
              <w:right w:type="dxa" w:w="110"/>
            </w:tcMar>
          </w:tcPr>
          <w:p>
            <w:r>
              <w:rPr>
                <w:b w:val="false"/>
                <w:bCs w:val="false"/>
                <w:color w:val="000000"/>
                <w:sz w:val="19"/>
                <w:szCs w:val="19"/>
              </w:rPr>
              <w:t xml:space="preserve">Public reference data; audience proxy is a documented simplification</w:t>
            </w:r>
          </w:p>
        </w:tc>
      </w:tr>
      <w:tr>
        <w:tc>
          <w:tcPr>
            <w:tcW w:type="dxa" w:w="2000"/>
            <w:tcMar>
              <w:top w:type="dxa" w:w="90"/>
              <w:left w:type="dxa" w:w="110"/>
              <w:bottom w:type="dxa" w:w="90"/>
              <w:right w:type="dxa" w:w="110"/>
            </w:tcMar>
          </w:tcPr>
          <w:p>
            <w:r>
              <w:rPr>
                <w:b w:val="false"/>
                <w:bCs w:val="false"/>
                <w:color w:val="000000"/>
                <w:sz w:val="19"/>
                <w:szCs w:val="19"/>
              </w:rPr>
              <w:t xml:space="preserve">team_match_sequence (derived)</w:t>
            </w:r>
          </w:p>
        </w:tc>
        <w:tc>
          <w:tcPr>
            <w:tcW w:type="dxa" w:w="3600"/>
            <w:tcMar>
              <w:top w:type="dxa" w:w="90"/>
              <w:left w:type="dxa" w:w="110"/>
              <w:bottom w:type="dxa" w:w="90"/>
              <w:right w:type="dxa" w:w="110"/>
            </w:tcMar>
          </w:tcPr>
          <w:p>
            <w:r>
              <w:rPr>
                <w:b w:val="false"/>
                <w:bCs w:val="false"/>
                <w:color w:val="000000"/>
                <w:sz w:val="19"/>
                <w:szCs w:val="19"/>
              </w:rPr>
              <w:t xml:space="preserve">team, match_id, rest_days, travel_distance_km</w:t>
            </w:r>
          </w:p>
        </w:tc>
        <w:tc>
          <w:tcPr>
            <w:tcW w:type="dxa" w:w="3600"/>
            <w:tcMar>
              <w:top w:type="dxa" w:w="90"/>
              <w:left w:type="dxa" w:w="110"/>
              <w:bottom w:type="dxa" w:w="90"/>
              <w:right w:type="dxa" w:w="110"/>
            </w:tcMar>
          </w:tcPr>
          <w:p>
            <w:r>
              <w:rPr>
                <w:b w:val="false"/>
                <w:bCs w:val="false"/>
                <w:color w:val="000000"/>
                <w:sz w:val="19"/>
                <w:szCs w:val="19"/>
              </w:rPr>
              <w:t xml:space="preserve">Computed once from matches.csv + venues.csv, not sourced externally</w:t>
            </w:r>
          </w:p>
        </w:tc>
      </w:tr>
    </w:tbl>
    <w:p>
      <w:pPr>
        <w:spacing w:after="200"/>
      </w:pPr>
    </w:p>
    <w:p>
      <w:pPr>
        <w:pStyle w:val="Heading1"/>
        <w:spacing w:after="120" w:before="280"/>
      </w:pPr>
      <w:r>
        <w:t xml:space="preserve">4. System requirements</w:t>
      </w:r>
    </w:p>
    <w:p>
      <w:pPr>
        <w:pStyle w:val="Heading2"/>
        <w:spacing w:after="100" w:before="220"/>
      </w:pPr>
      <w:r>
        <w:t xml:space="preserve">4.1 Functional requirements</w:t>
      </w:r>
    </w:p>
    <w:p>
      <w:pPr>
        <w:pStyle w:val="ListParagraph"/>
        <w:numPr>
          <w:ilvl w:val="0"/>
          <w:numId w:val="2"/>
        </w:numPr>
        <w:spacing w:after="80"/>
      </w:pPr>
      <w:r>
        <w:t xml:space="preserve">Score any single match on all five criteria and produce a composite score with plain-English tradeoff reasoning</w:t>
      </w:r>
    </w:p>
    <w:p>
      <w:pPr>
        <w:pStyle w:val="ListParagraph"/>
        <w:numPr>
          <w:ilvl w:val="0"/>
          <w:numId w:val="2"/>
        </w:numPr>
        <w:spacing w:after="80"/>
      </w:pPr>
      <w:r>
        <w:t xml:space="preserve">Provide a searchable/browsable dashboard view across all 72 group-stage matches</w:t>
      </w:r>
    </w:p>
    <w:p>
      <w:pPr>
        <w:pStyle w:val="ListParagraph"/>
        <w:numPr>
          <w:ilvl w:val="0"/>
          <w:numId w:val="2"/>
        </w:numPr>
        <w:spacing w:after="80"/>
      </w:pPr>
      <w:r>
        <w:t xml:space="preserve">Surface at least one tournament-wide pattern finding (e.g. a confederation-level fairness gap)</w:t>
      </w:r>
    </w:p>
    <w:p>
      <w:pPr>
        <w:pStyle w:val="ListParagraph"/>
        <w:numPr>
          <w:ilvl w:val="0"/>
          <w:numId w:val="2"/>
        </w:numPr>
        <w:spacing w:after="80"/>
      </w:pPr>
      <w:r>
        <w:t xml:space="preserve">(Stretch) Accept a natural-language question and answer it by calling the relevant scorer(s) via an agent</w:t>
      </w:r>
    </w:p>
    <w:p>
      <w:pPr>
        <w:pStyle w:val="Heading2"/>
        <w:spacing w:after="100" w:before="220"/>
      </w:pPr>
      <w:r>
        <w:t xml:space="preserve">4.2 Non-functional requirements</w:t>
      </w:r>
    </w:p>
    <w:p>
      <w:pPr>
        <w:pStyle w:val="ListParagraph"/>
        <w:numPr>
          <w:ilvl w:val="0"/>
          <w:numId w:val="2"/>
        </w:numPr>
        <w:spacing w:after="80"/>
      </w:pPr>
      <w:r>
        <w:t xml:space="preserve">Every score must be traceable to a visible, inspectable calculation — no unexplained numbers</w:t>
      </w:r>
    </w:p>
    <w:p>
      <w:pPr>
        <w:pStyle w:val="ListParagraph"/>
        <w:numPr>
          <w:ilvl w:val="0"/>
          <w:numId w:val="2"/>
        </w:numPr>
        <w:spacing w:after="80"/>
      </w:pPr>
      <w:r>
        <w:t xml:space="preserve">Any LLM-generated text must be grounded in precomputed scores, not used to invent facts</w:t>
      </w:r>
    </w:p>
    <w:p>
      <w:pPr>
        <w:pStyle w:val="ListParagraph"/>
        <w:numPr>
          <w:ilvl w:val="0"/>
          <w:numId w:val="2"/>
        </w:numPr>
        <w:spacing w:after="80"/>
      </w:pPr>
      <w:r>
        <w:t xml:space="preserve">Dataset and scoring logic must run without needing FIFA-internal or paywalled data</w:t>
      </w:r>
    </w:p>
    <w:p>
      <w:pPr>
        <w:spacing w:after="120"/>
      </w:pPr>
    </w:p>
    <w:p>
      <w:pPr>
        <w:pStyle w:val="Heading1"/>
        <w:spacing w:after="120" w:before="280"/>
      </w:pPr>
      <w:r>
        <w:t xml:space="preserve">5. Build timeline (48 hours)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600"/>
      </w:tblGrid>
      <w:tr>
        <w:tc>
          <w:tcPr>
            <w:tcW w:type="dxa" w:w="1600"/>
            <w:shd w:fill="1F3864" w:val="clear"/>
            <w:tcMar>
              <w:top w:type="dxa" w:w="90"/>
              <w:left w:type="dxa" w:w="110"/>
              <w:bottom w:type="dxa" w:w="90"/>
              <w:right w:type="dxa" w:w="110"/>
            </w:tcMar>
          </w:tcPr>
          <w:p>
            <w:r>
              <w:rPr>
                <w:b/>
                <w:bCs/>
                <w:color w:val="FFFFFF"/>
                <w:sz w:val="19"/>
                <w:szCs w:val="19"/>
              </w:rPr>
              <w:t xml:space="preserve">Hours</w:t>
            </w:r>
          </w:p>
        </w:tc>
        <w:tc>
          <w:tcPr>
            <w:tcW w:type="dxa" w:w="2000"/>
            <w:shd w:fill="1F3864" w:val="clear"/>
            <w:tcMar>
              <w:top w:type="dxa" w:w="90"/>
              <w:left w:type="dxa" w:w="110"/>
              <w:bottom w:type="dxa" w:w="90"/>
              <w:right w:type="dxa" w:w="110"/>
            </w:tcMar>
          </w:tcPr>
          <w:p>
            <w:r>
              <w:rPr>
                <w:b/>
                <w:bCs/>
                <w:color w:val="FFFFFF"/>
                <w:sz w:val="19"/>
                <w:szCs w:val="19"/>
              </w:rPr>
              <w:t xml:space="preserve">Phase</w:t>
            </w:r>
          </w:p>
        </w:tc>
        <w:tc>
          <w:tcPr>
            <w:tcW w:type="dxa" w:w="5600"/>
            <w:shd w:fill="1F3864" w:val="clear"/>
            <w:tcMar>
              <w:top w:type="dxa" w:w="90"/>
              <w:left w:type="dxa" w:w="110"/>
              <w:bottom w:type="dxa" w:w="90"/>
              <w:right w:type="dxa" w:w="110"/>
            </w:tcMar>
          </w:tcPr>
          <w:p>
            <w:r>
              <w:rPr>
                <w:b/>
                <w:bCs/>
                <w:color w:val="FFFFFF"/>
                <w:sz w:val="19"/>
                <w:szCs w:val="19"/>
              </w:rPr>
              <w:t xml:space="preserve">What happens</w:t>
            </w:r>
          </w:p>
        </w:tc>
      </w:tr>
      <w:tr>
        <w:tc>
          <w:tcPr>
            <w:tcW w:type="dxa" w:w="1600"/>
            <w:tcMar>
              <w:top w:type="dxa" w:w="90"/>
              <w:left w:type="dxa" w:w="110"/>
              <w:bottom w:type="dxa" w:w="90"/>
              <w:right w:type="dxa" w:w="110"/>
            </w:tcMar>
          </w:tcPr>
          <w:p>
            <w:r>
              <w:rPr>
                <w:b w:val="false"/>
                <w:bCs w:val="false"/>
                <w:color w:val="000000"/>
                <w:sz w:val="19"/>
                <w:szCs w:val="19"/>
              </w:rPr>
              <w:t xml:space="preserve">0–8</w:t>
            </w:r>
          </w:p>
        </w:tc>
        <w:tc>
          <w:tcPr>
            <w:tcW w:type="dxa" w:w="2000"/>
            <w:tcMar>
              <w:top w:type="dxa" w:w="90"/>
              <w:left w:type="dxa" w:w="110"/>
              <w:bottom w:type="dxa" w:w="90"/>
              <w:right w:type="dxa" w:w="110"/>
            </w:tcMar>
          </w:tcPr>
          <w:p>
            <w:r>
              <w:rPr>
                <w:b w:val="false"/>
                <w:bCs w:val="false"/>
                <w:color w:val="000000"/>
                <w:sz w:val="19"/>
                <w:szCs w:val="19"/>
              </w:rPr>
              <w:t xml:space="preserve">Data sourcing</w:t>
            </w:r>
          </w:p>
        </w:tc>
        <w:tc>
          <w:tcPr>
            <w:tcW w:type="dxa" w:w="5600"/>
            <w:tcMar>
              <w:top w:type="dxa" w:w="90"/>
              <w:left w:type="dxa" w:w="110"/>
              <w:bottom w:type="dxa" w:w="90"/>
              <w:right w:type="dxa" w:w="110"/>
            </w:tcMar>
          </w:tcPr>
          <w:p>
            <w:r>
              <w:rPr>
                <w:b w:val="false"/>
                <w:bCs w:val="false"/>
                <w:color w:val="000000"/>
                <w:sz w:val="19"/>
                <w:szCs w:val="19"/>
              </w:rPr>
              <w:t xml:space="preserve">Pull real 2026 schedule, venue, elevation and timezone data; source or query historical weather; build matches.csv, venues.csv, teams.csv, climate.csv</w:t>
            </w:r>
          </w:p>
        </w:tc>
      </w:tr>
      <w:tr>
        <w:tc>
          <w:tcPr>
            <w:tcW w:type="dxa" w:w="1600"/>
            <w:tcMar>
              <w:top w:type="dxa" w:w="90"/>
              <w:left w:type="dxa" w:w="110"/>
              <w:bottom w:type="dxa" w:w="90"/>
              <w:right w:type="dxa" w:w="110"/>
            </w:tcMar>
          </w:tcPr>
          <w:p>
            <w:r>
              <w:rPr>
                <w:b w:val="false"/>
                <w:bCs w:val="false"/>
                <w:color w:val="000000"/>
                <w:sz w:val="19"/>
                <w:szCs w:val="19"/>
              </w:rPr>
              <w:t xml:space="preserve">8–16</w:t>
            </w:r>
          </w:p>
        </w:tc>
        <w:tc>
          <w:tcPr>
            <w:tcW w:type="dxa" w:w="2000"/>
            <w:tcMar>
              <w:top w:type="dxa" w:w="90"/>
              <w:left w:type="dxa" w:w="110"/>
              <w:bottom w:type="dxa" w:w="90"/>
              <w:right w:type="dxa" w:w="110"/>
            </w:tcMar>
          </w:tcPr>
          <w:p>
            <w:r>
              <w:rPr>
                <w:b w:val="false"/>
                <w:bCs w:val="false"/>
                <w:color w:val="000000"/>
                <w:sz w:val="19"/>
                <w:szCs w:val="19"/>
              </w:rPr>
              <w:t xml:space="preserve">Scorers</w:t>
            </w:r>
          </w:p>
        </w:tc>
        <w:tc>
          <w:tcPr>
            <w:tcW w:type="dxa" w:w="5600"/>
            <w:tcMar>
              <w:top w:type="dxa" w:w="90"/>
              <w:left w:type="dxa" w:w="110"/>
              <w:bottom w:type="dxa" w:w="90"/>
              <w:right w:type="dxa" w:w="110"/>
            </w:tcMar>
          </w:tcPr>
          <w:p>
            <w:r>
              <w:rPr>
                <w:b w:val="false"/>
                <w:bCs w:val="false"/>
                <w:color w:val="000000"/>
                <w:sz w:val="19"/>
                <w:szCs w:val="19"/>
              </w:rPr>
              <w:t xml:space="preserve">Implement and unit-test the five scoring functions independently against a handful of known matches</w:t>
            </w:r>
          </w:p>
        </w:tc>
      </w:tr>
      <w:tr>
        <w:tc>
          <w:tcPr>
            <w:tcW w:type="dxa" w:w="1600"/>
            <w:tcMar>
              <w:top w:type="dxa" w:w="90"/>
              <w:left w:type="dxa" w:w="110"/>
              <w:bottom w:type="dxa" w:w="90"/>
              <w:right w:type="dxa" w:w="110"/>
            </w:tcMar>
          </w:tcPr>
          <w:p>
            <w:r>
              <w:rPr>
                <w:b w:val="false"/>
                <w:bCs w:val="false"/>
                <w:color w:val="000000"/>
                <w:sz w:val="19"/>
                <w:szCs w:val="19"/>
              </w:rPr>
              <w:t xml:space="preserve">16–24</w:t>
            </w:r>
          </w:p>
        </w:tc>
        <w:tc>
          <w:tcPr>
            <w:tcW w:type="dxa" w:w="2000"/>
            <w:tcMar>
              <w:top w:type="dxa" w:w="90"/>
              <w:left w:type="dxa" w:w="110"/>
              <w:bottom w:type="dxa" w:w="90"/>
              <w:right w:type="dxa" w:w="110"/>
            </w:tcMar>
          </w:tcPr>
          <w:p>
            <w:r>
              <w:rPr>
                <w:b w:val="false"/>
                <w:bCs w:val="false"/>
                <w:color w:val="000000"/>
                <w:sz w:val="19"/>
                <w:szCs w:val="19"/>
              </w:rPr>
              <w:t xml:space="preserve">Aggregator</w:t>
            </w:r>
          </w:p>
        </w:tc>
        <w:tc>
          <w:tcPr>
            <w:tcW w:type="dxa" w:w="5600"/>
            <w:tcMar>
              <w:top w:type="dxa" w:w="90"/>
              <w:left w:type="dxa" w:w="110"/>
              <w:bottom w:type="dxa" w:w="90"/>
              <w:right w:type="dxa" w:w="110"/>
            </w:tcMar>
          </w:tcPr>
          <w:p>
            <w:r>
              <w:rPr>
                <w:b w:val="false"/>
                <w:bCs w:val="false"/>
                <w:color w:val="000000"/>
                <w:sz w:val="19"/>
                <w:szCs w:val="19"/>
              </w:rPr>
              <w:t xml:space="preserve">Weighted composite scoring plus LLM tradeoff narration, grounded strictly in computed scores</w:t>
            </w:r>
          </w:p>
        </w:tc>
      </w:tr>
      <w:tr>
        <w:tc>
          <w:tcPr>
            <w:tcW w:type="dxa" w:w="1600"/>
            <w:tcMar>
              <w:top w:type="dxa" w:w="90"/>
              <w:left w:type="dxa" w:w="110"/>
              <w:bottom w:type="dxa" w:w="90"/>
              <w:right w:type="dxa" w:w="110"/>
            </w:tcMar>
          </w:tcPr>
          <w:p>
            <w:r>
              <w:rPr>
                <w:b w:val="false"/>
                <w:bCs w:val="false"/>
                <w:color w:val="000000"/>
                <w:sz w:val="19"/>
                <w:szCs w:val="19"/>
              </w:rPr>
              <w:t xml:space="preserve">24–32</w:t>
            </w:r>
          </w:p>
        </w:tc>
        <w:tc>
          <w:tcPr>
            <w:tcW w:type="dxa" w:w="2000"/>
            <w:tcMar>
              <w:top w:type="dxa" w:w="90"/>
              <w:left w:type="dxa" w:w="110"/>
              <w:bottom w:type="dxa" w:w="90"/>
              <w:right w:type="dxa" w:w="110"/>
            </w:tcMar>
          </w:tcPr>
          <w:p>
            <w:r>
              <w:rPr>
                <w:b w:val="false"/>
                <w:bCs w:val="false"/>
                <w:color w:val="000000"/>
                <w:sz w:val="19"/>
                <w:szCs w:val="19"/>
              </w:rPr>
              <w:t xml:space="preserve">Dashboard</w:t>
            </w:r>
          </w:p>
        </w:tc>
        <w:tc>
          <w:tcPr>
            <w:tcW w:type="dxa" w:w="5600"/>
            <w:tcMar>
              <w:top w:type="dxa" w:w="90"/>
              <w:left w:type="dxa" w:w="110"/>
              <w:bottom w:type="dxa" w:w="90"/>
              <w:right w:type="dxa" w:w="110"/>
            </w:tcMar>
          </w:tcPr>
          <w:p>
            <w:r>
              <w:rPr>
                <w:b w:val="false"/>
                <w:bCs w:val="false"/>
                <w:color w:val="000000"/>
                <w:sz w:val="19"/>
                <w:szCs w:val="19"/>
              </w:rPr>
              <w:t xml:space="preserve">Streamlit UI: match search/selection, score breakdown view, tournament-wide pattern view</w:t>
            </w:r>
          </w:p>
        </w:tc>
      </w:tr>
      <w:tr>
        <w:tc>
          <w:tcPr>
            <w:tcW w:type="dxa" w:w="1600"/>
            <w:tcMar>
              <w:top w:type="dxa" w:w="90"/>
              <w:left w:type="dxa" w:w="110"/>
              <w:bottom w:type="dxa" w:w="90"/>
              <w:right w:type="dxa" w:w="110"/>
            </w:tcMar>
          </w:tcPr>
          <w:p>
            <w:r>
              <w:rPr>
                <w:b w:val="false"/>
                <w:bCs w:val="false"/>
                <w:color w:val="000000"/>
                <w:sz w:val="19"/>
                <w:szCs w:val="19"/>
              </w:rPr>
              <w:t xml:space="preserve">32–40</w:t>
            </w:r>
          </w:p>
        </w:tc>
        <w:tc>
          <w:tcPr>
            <w:tcW w:type="dxa" w:w="2000"/>
            <w:tcMar>
              <w:top w:type="dxa" w:w="90"/>
              <w:left w:type="dxa" w:w="110"/>
              <w:bottom w:type="dxa" w:w="90"/>
              <w:right w:type="dxa" w:w="110"/>
            </w:tcMar>
          </w:tcPr>
          <w:p>
            <w:r>
              <w:rPr>
                <w:b w:val="false"/>
                <w:bCs w:val="false"/>
                <w:color w:val="000000"/>
                <w:sz w:val="19"/>
                <w:szCs w:val="19"/>
              </w:rPr>
              <w:t xml:space="preserve">Agent layer (if time allows)</w:t>
            </w:r>
          </w:p>
        </w:tc>
        <w:tc>
          <w:tcPr>
            <w:tcW w:type="dxa" w:w="5600"/>
            <w:tcMar>
              <w:top w:type="dxa" w:w="90"/>
              <w:left w:type="dxa" w:w="110"/>
              <w:bottom w:type="dxa" w:w="90"/>
              <w:right w:type="dxa" w:w="110"/>
            </w:tcMar>
          </w:tcPr>
          <w:p>
            <w:r>
              <w:rPr>
                <w:b w:val="false"/>
                <w:bCs w:val="false"/>
                <w:color w:val="000000"/>
                <w:sz w:val="19"/>
                <w:szCs w:val="19"/>
              </w:rPr>
              <w:t xml:space="preserve">Wrap the five scorers as tools, add a ReAct/tool-calling chat interface for open-ended questions</w:t>
            </w:r>
          </w:p>
        </w:tc>
      </w:tr>
      <w:tr>
        <w:tc>
          <w:tcPr>
            <w:tcW w:type="dxa" w:w="1600"/>
            <w:tcMar>
              <w:top w:type="dxa" w:w="90"/>
              <w:left w:type="dxa" w:w="110"/>
              <w:bottom w:type="dxa" w:w="90"/>
              <w:right w:type="dxa" w:w="110"/>
            </w:tcMar>
          </w:tcPr>
          <w:p>
            <w:r>
              <w:rPr>
                <w:b w:val="false"/>
                <w:bCs w:val="false"/>
                <w:color w:val="000000"/>
                <w:sz w:val="19"/>
                <w:szCs w:val="19"/>
              </w:rPr>
              <w:t xml:space="preserve">40–44</w:t>
            </w:r>
          </w:p>
        </w:tc>
        <w:tc>
          <w:tcPr>
            <w:tcW w:type="dxa" w:w="2000"/>
            <w:tcMar>
              <w:top w:type="dxa" w:w="90"/>
              <w:left w:type="dxa" w:w="110"/>
              <w:bottom w:type="dxa" w:w="90"/>
              <w:right w:type="dxa" w:w="110"/>
            </w:tcMar>
          </w:tcPr>
          <w:p>
            <w:r>
              <w:rPr>
                <w:b w:val="false"/>
                <w:bCs w:val="false"/>
                <w:color w:val="000000"/>
                <w:sz w:val="19"/>
                <w:szCs w:val="19"/>
              </w:rPr>
              <w:t xml:space="preserve">Polish</w:t>
            </w:r>
          </w:p>
        </w:tc>
        <w:tc>
          <w:tcPr>
            <w:tcW w:type="dxa" w:w="5600"/>
            <w:tcMar>
              <w:top w:type="dxa" w:w="90"/>
              <w:left w:type="dxa" w:w="110"/>
              <w:bottom w:type="dxa" w:w="90"/>
              <w:right w:type="dxa" w:w="110"/>
            </w:tcMar>
          </w:tcPr>
          <w:p>
            <w:r>
              <w:rPr>
                <w:b w:val="false"/>
                <w:bCs w:val="false"/>
                <w:color w:val="000000"/>
                <w:sz w:val="19"/>
                <w:szCs w:val="19"/>
              </w:rPr>
              <w:t xml:space="preserve">Pick 3–4 hero matches, verify demo flows end-to-end, fix edge cases</w:t>
            </w:r>
          </w:p>
        </w:tc>
      </w:tr>
      <w:tr>
        <w:tc>
          <w:tcPr>
            <w:tcW w:type="dxa" w:w="1600"/>
            <w:tcMar>
              <w:top w:type="dxa" w:w="90"/>
              <w:left w:type="dxa" w:w="110"/>
              <w:bottom w:type="dxa" w:w="90"/>
              <w:right w:type="dxa" w:w="110"/>
            </w:tcMar>
          </w:tcPr>
          <w:p>
            <w:r>
              <w:rPr>
                <w:b w:val="false"/>
                <w:bCs w:val="false"/>
                <w:color w:val="000000"/>
                <w:sz w:val="19"/>
                <w:szCs w:val="19"/>
              </w:rPr>
              <w:t xml:space="preserve">44–48</w:t>
            </w:r>
          </w:p>
        </w:tc>
        <w:tc>
          <w:tcPr>
            <w:tcW w:type="dxa" w:w="2000"/>
            <w:tcMar>
              <w:top w:type="dxa" w:w="90"/>
              <w:left w:type="dxa" w:w="110"/>
              <w:bottom w:type="dxa" w:w="90"/>
              <w:right w:type="dxa" w:w="110"/>
            </w:tcMar>
          </w:tcPr>
          <w:p>
            <w:r>
              <w:rPr>
                <w:b w:val="false"/>
                <w:bCs w:val="false"/>
                <w:color w:val="000000"/>
                <w:sz w:val="19"/>
                <w:szCs w:val="19"/>
              </w:rPr>
              <w:t xml:space="preserve">Pitch prep</w:t>
            </w:r>
          </w:p>
        </w:tc>
        <w:tc>
          <w:tcPr>
            <w:tcW w:type="dxa" w:w="5600"/>
            <w:tcMar>
              <w:top w:type="dxa" w:w="90"/>
              <w:left w:type="dxa" w:w="110"/>
              <w:bottom w:type="dxa" w:w="90"/>
              <w:right w:type="dxa" w:w="110"/>
            </w:tcMar>
          </w:tcPr>
          <w:p>
            <w:r>
              <w:rPr>
                <w:b w:val="false"/>
                <w:bCs w:val="false"/>
                <w:color w:val="000000"/>
                <w:sz w:val="19"/>
                <w:szCs w:val="19"/>
              </w:rPr>
              <w:t xml:space="preserve">Slides, rehearsed narrative, pre-recorded fallback clip for the agent if needed</w:t>
            </w:r>
          </w:p>
        </w:tc>
      </w:tr>
    </w:tbl>
    <w:p>
      <w:pPr>
        <w:spacing w:after="200"/>
      </w:pPr>
    </w:p>
    <w:p>
      <w:pPr>
        <w:pStyle w:val="Heading1"/>
        <w:spacing w:after="120" w:before="280"/>
      </w:pPr>
      <w:r>
        <w:t xml:space="preserve">6. Scoring logic reference</w:t>
      </w:r>
    </w:p>
    <w:p>
      <w:pPr>
        <w:pStyle w:val="ListParagraph"/>
        <w:numPr>
          <w:ilvl w:val="0"/>
          <w:numId w:val="2"/>
        </w:numPr>
        <w:spacing w:after="80"/>
      </w:pPr>
      <w:r>
        <w:t xml:space="preserve">Climate risk — threshold bands on temperature/humidity at kickoff, adjusted down if the venue has a closed or retractable roof</w:t>
      </w:r>
    </w:p>
    <w:p>
      <w:pPr>
        <w:pStyle w:val="ListParagraph"/>
        <w:numPr>
          <w:ilvl w:val="0"/>
          <w:numId w:val="2"/>
        </w:numPr>
        <w:spacing w:after="80"/>
      </w:pPr>
      <w:r>
        <w:t xml:space="preserve">Broadcast reach — convert kickoff time into major football-market timezones; score each against a defined “good viewing window”; weight by rough audience size</w:t>
      </w:r>
    </w:p>
    <w:p>
      <w:pPr>
        <w:pStyle w:val="ListParagraph"/>
        <w:numPr>
          <w:ilvl w:val="0"/>
          <w:numId w:val="2"/>
        </w:numPr>
        <w:spacing w:after="80"/>
      </w:pPr>
      <w:r>
        <w:t xml:space="preserve">Travel fairness — compare each team's rest days and travel distance since their previous match; score the asymmetry, not the absolute values</w:t>
      </w:r>
    </w:p>
    <w:p>
      <w:pPr>
        <w:pStyle w:val="ListParagraph"/>
        <w:numPr>
          <w:ilvl w:val="0"/>
          <w:numId w:val="2"/>
        </w:numPr>
        <w:spacing w:after="80"/>
      </w:pPr>
      <w:r>
        <w:t xml:space="preserve">Venue fit — compare venue capacity against an expected-demand estimate derived from team audience proxies and matchup type</w:t>
      </w:r>
    </w:p>
    <w:p>
      <w:pPr>
        <w:pStyle w:val="ListParagraph"/>
        <w:numPr>
          <w:ilvl w:val="0"/>
          <w:numId w:val="2"/>
        </w:numPr>
        <w:spacing w:after="80"/>
      </w:pPr>
      <w:r>
        <w:t xml:space="preserve">Altitude fairness — compare venue elevation against each team's home elevation; flag cases where one team is acclimated and the other is not</w:t>
      </w:r>
    </w:p>
    <w:p>
      <w:pPr>
        <w:spacing w:after="160"/>
      </w:pPr>
    </w:p>
    <w:p>
      <w:pPr>
        <w:pStyle w:val="Heading1"/>
        <w:spacing w:after="120" w:before="280"/>
      </w:pPr>
      <w:r>
        <w:t xml:space="preserve">7. Risks and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c>
          <w:tcPr>
            <w:tcW w:type="dxa" w:w="3000"/>
            <w:shd w:fill="1F3864" w:val="clear"/>
            <w:tcMar>
              <w:top w:type="dxa" w:w="90"/>
              <w:left w:type="dxa" w:w="110"/>
              <w:bottom w:type="dxa" w:w="90"/>
              <w:right w:type="dxa" w:w="110"/>
            </w:tcMar>
          </w:tcPr>
          <w:p>
            <w:r>
              <w:rPr>
                <w:b/>
                <w:bCs/>
                <w:color w:val="FFFFFF"/>
                <w:sz w:val="19"/>
                <w:szCs w:val="19"/>
              </w:rPr>
              <w:t xml:space="preserve">Risk</w:t>
            </w:r>
          </w:p>
        </w:tc>
        <w:tc>
          <w:tcPr>
            <w:tcW w:type="dxa" w:w="3000"/>
            <w:shd w:fill="1F3864" w:val="clear"/>
            <w:tcMar>
              <w:top w:type="dxa" w:w="90"/>
              <w:left w:type="dxa" w:w="110"/>
              <w:bottom w:type="dxa" w:w="90"/>
              <w:right w:type="dxa" w:w="110"/>
            </w:tcMar>
          </w:tcPr>
          <w:p>
            <w:r>
              <w:rPr>
                <w:b/>
                <w:bCs/>
                <w:color w:val="FFFFFF"/>
                <w:sz w:val="19"/>
                <w:szCs w:val="19"/>
              </w:rPr>
              <w:t xml:space="preserve">Impact</w:t>
            </w:r>
          </w:p>
        </w:tc>
        <w:tc>
          <w:tcPr>
            <w:tcW w:type="dxa" w:w="3200"/>
            <w:shd w:fill="1F3864" w:val="clear"/>
            <w:tcMar>
              <w:top w:type="dxa" w:w="90"/>
              <w:left w:type="dxa" w:w="110"/>
              <w:bottom w:type="dxa" w:w="90"/>
              <w:right w:type="dxa" w:w="110"/>
            </w:tcMar>
          </w:tcPr>
          <w:p>
            <w:r>
              <w:rPr>
                <w:b/>
                <w:bCs/>
                <w:color w:val="FFFFFF"/>
                <w:sz w:val="19"/>
                <w:szCs w:val="19"/>
              </w:rPr>
              <w:t xml:space="preserve">Mitigation</w:t>
            </w:r>
          </w:p>
        </w:tc>
      </w:tr>
      <w:tr>
        <w:tc>
          <w:tcPr>
            <w:tcW w:type="dxa" w:w="3000"/>
            <w:tcMar>
              <w:top w:type="dxa" w:w="90"/>
              <w:left w:type="dxa" w:w="110"/>
              <w:bottom w:type="dxa" w:w="90"/>
              <w:right w:type="dxa" w:w="110"/>
            </w:tcMar>
          </w:tcPr>
          <w:p>
            <w:r>
              <w:rPr>
                <w:b w:val="false"/>
                <w:bCs w:val="false"/>
                <w:color w:val="000000"/>
                <w:sz w:val="19"/>
                <w:szCs w:val="19"/>
              </w:rPr>
              <w:t xml:space="preserve">Historical weather data harder to source than expected</w:t>
            </w:r>
          </w:p>
        </w:tc>
        <w:tc>
          <w:tcPr>
            <w:tcW w:type="dxa" w:w="3000"/>
            <w:tcMar>
              <w:top w:type="dxa" w:w="90"/>
              <w:left w:type="dxa" w:w="110"/>
              <w:bottom w:type="dxa" w:w="90"/>
              <w:right w:type="dxa" w:w="110"/>
            </w:tcMar>
          </w:tcPr>
          <w:p>
            <w:r>
              <w:rPr>
                <w:b w:val="false"/>
                <w:bCs w:val="false"/>
                <w:color w:val="000000"/>
                <w:sz w:val="19"/>
                <w:szCs w:val="19"/>
              </w:rPr>
              <w:t xml:space="preserve">Delays climate.csv, cascades into scorer testing</w:t>
            </w:r>
          </w:p>
        </w:tc>
        <w:tc>
          <w:tcPr>
            <w:tcW w:type="dxa" w:w="3200"/>
            <w:tcMar>
              <w:top w:type="dxa" w:w="90"/>
              <w:left w:type="dxa" w:w="110"/>
              <w:bottom w:type="dxa" w:w="90"/>
              <w:right w:type="dxa" w:w="110"/>
            </w:tcMar>
          </w:tcPr>
          <w:p>
            <w:r>
              <w:rPr>
                <w:b w:val="false"/>
                <w:bCs w:val="false"/>
                <w:color w:val="000000"/>
                <w:sz w:val="19"/>
                <w:szCs w:val="19"/>
              </w:rPr>
              <w:t xml:space="preserve">Do a 1-hour feasibility spike in hour 0–1 before committing; fall back to monthly climate normals if needed</w:t>
            </w:r>
          </w:p>
        </w:tc>
      </w:tr>
      <w:tr>
        <w:tc>
          <w:tcPr>
            <w:tcW w:type="dxa" w:w="3000"/>
            <w:tcMar>
              <w:top w:type="dxa" w:w="90"/>
              <w:left w:type="dxa" w:w="110"/>
              <w:bottom w:type="dxa" w:w="90"/>
              <w:right w:type="dxa" w:w="110"/>
            </w:tcMar>
          </w:tcPr>
          <w:p>
            <w:r>
              <w:rPr>
                <w:b w:val="false"/>
                <w:bCs w:val="false"/>
                <w:color w:val="000000"/>
                <w:sz w:val="19"/>
                <w:szCs w:val="19"/>
              </w:rPr>
              <w:t xml:space="preserve">Audience-size proxy looks arbitrary to judges</w:t>
            </w:r>
          </w:p>
        </w:tc>
        <w:tc>
          <w:tcPr>
            <w:tcW w:type="dxa" w:w="3000"/>
            <w:tcMar>
              <w:top w:type="dxa" w:w="90"/>
              <w:left w:type="dxa" w:w="110"/>
              <w:bottom w:type="dxa" w:w="90"/>
              <w:right w:type="dxa" w:w="110"/>
            </w:tcMar>
          </w:tcPr>
          <w:p>
            <w:r>
              <w:rPr>
                <w:b w:val="false"/>
                <w:bCs w:val="false"/>
                <w:color w:val="000000"/>
                <w:sz w:val="19"/>
                <w:szCs w:val="19"/>
              </w:rPr>
              <w:t xml:space="preserve">Weakens venue-fit credibility</w:t>
            </w:r>
          </w:p>
        </w:tc>
        <w:tc>
          <w:tcPr>
            <w:tcW w:type="dxa" w:w="3200"/>
            <w:tcMar>
              <w:top w:type="dxa" w:w="90"/>
              <w:left w:type="dxa" w:w="110"/>
              <w:bottom w:type="dxa" w:w="90"/>
              <w:right w:type="dxa" w:w="110"/>
            </w:tcMar>
          </w:tcPr>
          <w:p>
            <w:r>
              <w:rPr>
                <w:b w:val="false"/>
                <w:bCs w:val="false"/>
                <w:color w:val="000000"/>
                <w:sz w:val="19"/>
                <w:szCs w:val="19"/>
              </w:rPr>
              <w:t xml:space="preserve">Document the formula explicitly and label it a simplification up front, not something to be caught out on</w:t>
            </w:r>
          </w:p>
        </w:tc>
      </w:tr>
      <w:tr>
        <w:tc>
          <w:tcPr>
            <w:tcW w:type="dxa" w:w="3000"/>
            <w:tcMar>
              <w:top w:type="dxa" w:w="90"/>
              <w:left w:type="dxa" w:w="110"/>
              <w:bottom w:type="dxa" w:w="90"/>
              <w:right w:type="dxa" w:w="110"/>
            </w:tcMar>
          </w:tcPr>
          <w:p>
            <w:r>
              <w:rPr>
                <w:b w:val="false"/>
                <w:bCs w:val="false"/>
                <w:color w:val="000000"/>
                <w:sz w:val="19"/>
                <w:szCs w:val="19"/>
              </w:rPr>
              <w:t xml:space="preserve">Agent layer unreliable under demo conditions</w:t>
            </w:r>
          </w:p>
        </w:tc>
        <w:tc>
          <w:tcPr>
            <w:tcW w:type="dxa" w:w="3000"/>
            <w:tcMar>
              <w:top w:type="dxa" w:w="90"/>
              <w:left w:type="dxa" w:w="110"/>
              <w:bottom w:type="dxa" w:w="90"/>
              <w:right w:type="dxa" w:w="110"/>
            </w:tcMar>
          </w:tcPr>
          <w:p>
            <w:r>
              <w:rPr>
                <w:b w:val="false"/>
                <w:bCs w:val="false"/>
                <w:color w:val="000000"/>
                <w:sz w:val="19"/>
                <w:szCs w:val="19"/>
              </w:rPr>
              <w:t xml:space="preserve">Live failure looks worse than not having it</w:t>
            </w:r>
          </w:p>
        </w:tc>
        <w:tc>
          <w:tcPr>
            <w:tcW w:type="dxa" w:w="3200"/>
            <w:tcMar>
              <w:top w:type="dxa" w:w="90"/>
              <w:left w:type="dxa" w:w="110"/>
              <w:bottom w:type="dxa" w:w="90"/>
              <w:right w:type="dxa" w:w="110"/>
            </w:tcMar>
          </w:tcPr>
          <w:p>
            <w:r>
              <w:rPr>
                <w:b w:val="false"/>
                <w:bCs w:val="false"/>
                <w:color w:val="000000"/>
                <w:sz w:val="19"/>
                <w:szCs w:val="19"/>
              </w:rPr>
              <w:t xml:space="preserve">Treat as optional; pre-record a working clip as fallback; dashboard alone is a complete submission</w:t>
            </w:r>
          </w:p>
        </w:tc>
      </w:tr>
      <w:tr>
        <w:tc>
          <w:tcPr>
            <w:tcW w:type="dxa" w:w="3000"/>
            <w:tcMar>
              <w:top w:type="dxa" w:w="90"/>
              <w:left w:type="dxa" w:w="110"/>
              <w:bottom w:type="dxa" w:w="90"/>
              <w:right w:type="dxa" w:w="110"/>
            </w:tcMar>
          </w:tcPr>
          <w:p>
            <w:r>
              <w:rPr>
                <w:b w:val="false"/>
                <w:bCs w:val="false"/>
                <w:color w:val="000000"/>
                <w:sz w:val="19"/>
                <w:szCs w:val="19"/>
              </w:rPr>
              <w:t xml:space="preserve">Team unfamiliar with function-calling APIs</w:t>
            </w:r>
          </w:p>
        </w:tc>
        <w:tc>
          <w:tcPr>
            <w:tcW w:type="dxa" w:w="3000"/>
            <w:tcMar>
              <w:top w:type="dxa" w:w="90"/>
              <w:left w:type="dxa" w:w="110"/>
              <w:bottom w:type="dxa" w:w="90"/>
              <w:right w:type="dxa" w:w="110"/>
            </w:tcMar>
          </w:tcPr>
          <w:p>
            <w:r>
              <w:rPr>
                <w:b w:val="false"/>
                <w:bCs w:val="false"/>
                <w:color w:val="000000"/>
                <w:sz w:val="19"/>
                <w:szCs w:val="19"/>
              </w:rPr>
              <w:t xml:space="preserve">Eats into hours 8–16 buffer</w:t>
            </w:r>
          </w:p>
        </w:tc>
        <w:tc>
          <w:tcPr>
            <w:tcW w:type="dxa" w:w="3200"/>
            <w:tcMar>
              <w:top w:type="dxa" w:w="90"/>
              <w:left w:type="dxa" w:w="110"/>
              <w:bottom w:type="dxa" w:w="90"/>
              <w:right w:type="dxa" w:w="110"/>
            </w:tcMar>
          </w:tcPr>
          <w:p>
            <w:r>
              <w:rPr>
                <w:b w:val="false"/>
                <w:bCs w:val="false"/>
                <w:color w:val="000000"/>
                <w:sz w:val="19"/>
                <w:szCs w:val="19"/>
              </w:rPr>
              <w:t xml:space="preserve">Budget extra time early; keep the ReAct loop pattern from prior learning rather than adopting a new framework under time pressure</w:t>
            </w:r>
          </w:p>
        </w:tc>
      </w:tr>
      <w:tr>
        <w:tc>
          <w:tcPr>
            <w:tcW w:type="dxa" w:w="3000"/>
            <w:tcMar>
              <w:top w:type="dxa" w:w="90"/>
              <w:left w:type="dxa" w:w="110"/>
              <w:bottom w:type="dxa" w:w="90"/>
              <w:right w:type="dxa" w:w="110"/>
            </w:tcMar>
          </w:tcPr>
          <w:p>
            <w:r>
              <w:rPr>
                <w:b w:val="false"/>
                <w:bCs w:val="false"/>
                <w:color w:val="000000"/>
                <w:sz w:val="19"/>
                <w:szCs w:val="19"/>
              </w:rPr>
              <w:t xml:space="preserve">Scope creep beyond five scorers</w:t>
            </w:r>
          </w:p>
        </w:tc>
        <w:tc>
          <w:tcPr>
            <w:tcW w:type="dxa" w:w="3000"/>
            <w:tcMar>
              <w:top w:type="dxa" w:w="90"/>
              <w:left w:type="dxa" w:w="110"/>
              <w:bottom w:type="dxa" w:w="90"/>
              <w:right w:type="dxa" w:w="110"/>
            </w:tcMar>
          </w:tcPr>
          <w:p>
            <w:r>
              <w:rPr>
                <w:b w:val="false"/>
                <w:bCs w:val="false"/>
                <w:color w:val="000000"/>
                <w:sz w:val="19"/>
                <w:szCs w:val="19"/>
              </w:rPr>
              <w:t xml:space="preserve">Shallow depth across too many features</w:t>
            </w:r>
          </w:p>
        </w:tc>
        <w:tc>
          <w:tcPr>
            <w:tcW w:type="dxa" w:w="3200"/>
            <w:tcMar>
              <w:top w:type="dxa" w:w="90"/>
              <w:left w:type="dxa" w:w="110"/>
              <w:bottom w:type="dxa" w:w="90"/>
              <w:right w:type="dxa" w:w="110"/>
            </w:tcMar>
          </w:tcPr>
          <w:p>
            <w:r>
              <w:rPr>
                <w:b w:val="false"/>
                <w:bCs w:val="false"/>
                <w:color w:val="000000"/>
                <w:sz w:val="19"/>
                <w:szCs w:val="19"/>
              </w:rPr>
              <w:t xml:space="preserve">Freeze the scorer list at five before implementation begins; note further scorers as future work in the pitch only</w:t>
            </w:r>
          </w:p>
        </w:tc>
      </w:tr>
    </w:tbl>
    <w:p>
      <w:pPr>
        <w:spacing w:after="200"/>
      </w:pPr>
    </w:p>
    <w:p>
      <w:pPr>
        <w:pStyle w:val="Heading1"/>
        <w:spacing w:after="120" w:before="280"/>
      </w:pPr>
      <w:r>
        <w:t xml:space="preserve">8. Demo plan (approx. 5 minutes)</w:t>
      </w:r>
    </w:p>
    <w:p>
      <w:pPr>
        <w:pStyle w:val="ListParagraph"/>
        <w:numPr>
          <w:ilvl w:val="0"/>
          <w:numId w:val="2"/>
        </w:numPr>
        <w:spacing w:after="80"/>
      </w:pPr>
      <w:r>
        <w:t xml:space="preserve">Minute 1 — hook: state the opacity problem, show one striking disagreement between the model and FIFA's actual choice</w:t>
      </w:r>
    </w:p>
    <w:p>
      <w:pPr>
        <w:pStyle w:val="ListParagraph"/>
        <w:numPr>
          <w:ilvl w:val="0"/>
          <w:numId w:val="2"/>
        </w:numPr>
        <w:spacing w:after="80"/>
      </w:pPr>
      <w:r>
        <w:t xml:space="preserve">Minute 2 — single-match walkthrough: reveal all five scores plus the composite and tradeoff explanation for one hero match</w:t>
      </w:r>
    </w:p>
    <w:p>
      <w:pPr>
        <w:pStyle w:val="ListParagraph"/>
        <w:numPr>
          <w:ilvl w:val="0"/>
          <w:numId w:val="2"/>
        </w:numPr>
        <w:spacing w:after="80"/>
      </w:pPr>
      <w:r>
        <w:t xml:space="preserve">Minute 3 — tournament-wide pattern: show a concrete, specific finding across all 72 group-stage matches</w:t>
      </w:r>
    </w:p>
    <w:p>
      <w:pPr>
        <w:pStyle w:val="ListParagraph"/>
        <w:numPr>
          <w:ilvl w:val="0"/>
          <w:numId w:val="2"/>
        </w:numPr>
        <w:spacing w:after="80"/>
      </w:pPr>
      <w:r>
        <w:t xml:space="preserve">Minute 4 (if built) — agent layer: live natural-language question answered via tool calls</w:t>
      </w:r>
    </w:p>
    <w:p>
      <w:pPr>
        <w:pStyle w:val="ListParagraph"/>
        <w:numPr>
          <w:ilvl w:val="0"/>
          <w:numId w:val="2"/>
        </w:numPr>
        <w:spacing w:after="80"/>
      </w:pPr>
      <w:r>
        <w:t xml:space="preserve">Minute 5 — close: state what's grounded vs. simplified, and the generalisation argument to other multi-venue tournaments</w:t>
      </w:r>
    </w:p>
    <w:p>
      <w:pPr>
        <w:spacing w:after="160"/>
      </w:pPr>
    </w:p>
    <w:p>
      <w:pPr>
        <w:pStyle w:val="Heading1"/>
        <w:spacing w:after="120" w:before="280"/>
      </w:pPr>
      <w:r>
        <w:t xml:space="preserve">9. Future scope: extending to the knockout stage</w:t>
      </w:r>
    </w:p>
    <w:p>
      <w:pPr>
        <w:spacing w:after="160"/>
      </w:pPr>
      <w:r>
        <w:t xml:space="preserve">The 32 knockout matches are intentionally out of scope for the 48-hour build. FIFA fixed each knockout slot's venue, date and kickoff time in advance, but left the occupying teams as placeholders (e.g. “Winner of Match 86 vs. Winner of Match 88”) until earlier rounds resolve — so travel fairness and altitude fairness cannot be computed until real teams are known, and treating a knockout match like a group match would misattribute a bracket-structure outcome to a deliberate FIFA choice.</w:t>
      </w:r>
    </w:p>
    <w:p>
      <w:pPr>
        <w:spacing w:after="160"/>
      </w:pPr>
      <w:r>
        <w:t xml:space="preserve">Proposed extension, not built in this submission:</w:t>
      </w:r>
    </w:p>
    <w:p>
      <w:pPr>
        <w:pStyle w:val="ListParagraph"/>
        <w:numPr>
          <w:ilvl w:val="0"/>
          <w:numId w:val="2"/>
        </w:numPr>
        <w:spacing w:after="80"/>
      </w:pPr>
      <w:r>
        <w:t xml:space="preserve">Enumerate every team that could plausibly occupy each unresolved knockout slot, based on the bracket structure</w:t>
      </w:r>
    </w:p>
    <w:p>
      <w:pPr>
        <w:pStyle w:val="ListParagraph"/>
        <w:numPr>
          <w:ilvl w:val="0"/>
          <w:numId w:val="2"/>
        </w:numPr>
        <w:spacing w:after="80"/>
      </w:pPr>
      <w:r>
        <w:t xml:space="preserve">Score every resulting hypothetical matchup with the existing travel-fairness and altitude-fairness scorers, unchanged</w:t>
      </w:r>
    </w:p>
    <w:p>
      <w:pPr>
        <w:pStyle w:val="ListParagraph"/>
        <w:numPr>
          <w:ilvl w:val="0"/>
          <w:numId w:val="2"/>
        </w:numPr>
        <w:spacing w:after="80"/>
      </w:pPr>
      <w:r>
        <w:t xml:space="preserve">Aggregate across all possible pairings into one expected score — a simple average, or a probability-weighted average using team advancement odds</w:t>
      </w:r>
    </w:p>
    <w:p>
      <w:pPr>
        <w:pStyle w:val="ListParagraph"/>
        <w:numPr>
          <w:ilvl w:val="0"/>
          <w:numId w:val="2"/>
        </w:numPr>
        <w:spacing w:after="80"/>
      </w:pPr>
      <w:r>
        <w:t xml:space="preserve">Present a best-case / worst-case range alongside the expected score to stay honest about remaining uncertainty</w:t>
      </w:r>
    </w:p>
    <w:p>
      <w:pPr>
        <w:spacing w:after="160"/>
      </w:pPr>
    </w:p>
    <w:p>
      <w:pPr>
        <w:pStyle w:val="Heading1"/>
        <w:spacing w:after="120" w:before="280"/>
      </w:pPr>
      <w:r>
        <w:t xml:space="preserve">10. Definition of done (minimum viable submission)</w:t>
      </w:r>
    </w:p>
    <w:p>
      <w:pPr>
        <w:pStyle w:val="ListParagraph"/>
        <w:numPr>
          <w:ilvl w:val="0"/>
          <w:numId w:val="2"/>
        </w:numPr>
        <w:spacing w:after="80"/>
      </w:pPr>
      <w:r>
        <w:t xml:space="preserve">Five working scorers on real 2026 group-stage match data</w:t>
      </w:r>
    </w:p>
    <w:p>
      <w:pPr>
        <w:pStyle w:val="ListParagraph"/>
        <w:numPr>
          <w:ilvl w:val="0"/>
          <w:numId w:val="2"/>
        </w:numPr>
        <w:spacing w:after="80"/>
      </w:pPr>
      <w:r>
        <w:t xml:space="preserve">A working composite score with tradeoff explanation for at least the hero demo matches</w:t>
      </w:r>
    </w:p>
    <w:p>
      <w:pPr>
        <w:pStyle w:val="ListParagraph"/>
        <w:numPr>
          <w:ilvl w:val="0"/>
          <w:numId w:val="2"/>
        </w:numPr>
        <w:spacing w:after="80"/>
      </w:pPr>
      <w:r>
        <w:t xml:space="preserve">A dashboard showing individual match scores and one tournament-wide pattern view across the 72 group-stage matches</w:t>
      </w:r>
    </w:p>
    <w:p>
      <w:pPr>
        <w:pStyle w:val="ListParagraph"/>
        <w:numPr>
          <w:ilvl w:val="0"/>
          <w:numId w:val="2"/>
        </w:numPr>
        <w:spacing w:after="80"/>
      </w:pPr>
      <w:r>
        <w:t xml:space="preserve">A short written note on data sources, documented simplifications (audience proxy, etc.), and the group-stage scope decision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2026-07-04T06:42:00.021Z</dcterms:created>
  <dcterms:modified xsi:type="dcterms:W3CDTF">2026-07-04T06:42:00.021Z</dcterms:modified>
</cp:coreProperties>
</file>

<file path=docProps/custom.xml><?xml version="1.0" encoding="utf-8"?>
<Properties xmlns="http://schemas.openxmlformats.org/officeDocument/2006/custom-properties" xmlns:vt="http://schemas.openxmlformats.org/officeDocument/2006/docPropsVTypes"/>
</file>