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BenchPrime: Alder project-update evaluations</w:t>
      </w:r>
    </w:p>
    <w:p>
      <w:r>
        <w:t>Private design preview | partial | No target scores</w:t>
      </w:r>
    </w:p>
    <w:p>
      <w:pPr>
        <w:pStyle w:val="Heading1"/>
      </w:pPr>
      <w:r>
        <w:t>Purpose</w:t>
      </w:r>
    </w:p>
    <w:p>
      <w:r>
        <w:t>Prepare a decision-useful project update for an operations lead deciding whether a limited rollout can begin on the scheduled date.</w:t>
      </w:r>
    </w:p>
    <w:p>
      <w:pPr>
        <w:pStyle w:val="Heading1"/>
      </w:pPr>
      <w:r>
        <w:t>Scope</w:t>
      </w:r>
    </w:p>
    <w:p>
      <w:r>
        <w:t>Diagnostic definitions for one source-grounded text task.</w:t>
      </w:r>
    </w:p>
    <w:p>
      <w:pPr>
        <w:pStyle w:val="Heading1"/>
      </w:pPr>
      <w:r>
        <w:t>What the collection contains</w:t>
      </w:r>
    </w:p>
    <w:p>
      <w:r>
        <w:rPr>
          <w:b/>
        </w:rPr>
        <w:t xml:space="preserve">Collection purpose: </w:t>
      </w:r>
      <w:r>
        <w:t>Prepare a decision-useful project update for an operations lead deciding whether a limited rollout can begin on the scheduled date.</w:t>
      </w:r>
    </w:p>
    <w:p>
      <w:r>
        <w:rPr>
          <w:b/>
        </w:rPr>
        <w:t xml:space="preserve">Collection summary: </w:t>
      </w:r>
      <w:r>
        <w:t>12 test definitions across 5 populated categories and 5 scenario groups, with 133 checks.</w:t>
      </w:r>
    </w:p>
    <w:p>
      <w:r>
        <w:rPr>
          <w:b/>
        </w:rPr>
        <w:t xml:space="preserve">Declared coverage: </w:t>
      </w:r>
      <w:r>
        <w:t>5 declared categories; 9 themes (9 with tests); 10/10 requirements exposed; 0 gaps. No target runs or scores.</w:t>
      </w:r>
    </w:p>
    <w:p>
      <w:r>
        <w:rPr>
          <w:b/>
        </w:rPr>
        <w:t xml:space="preserve">Mapping provenance: </w:t>
      </w:r>
      <w:r>
        <w:t>Collection rationale comes from the frozen pre-case generation plan. Links are proposed design relationships, not independent proof of compliance.</w:t>
      </w:r>
    </w:p>
    <w:p>
      <w:r>
        <w:rPr>
          <w:b/>
        </w:rPr>
        <w:t xml:space="preserve">Principle framework: </w:t>
      </w:r>
      <w:r>
        <w:t>Outcome over imitation; Preserve meaning; Bounded comprehensiveness; Controlled contrasts; Balanced challenge; Selection earns its place; Priority is not score; Traceable authority; Honest insight; Usable ownership</w:t>
      </w:r>
    </w:p>
    <w:p>
      <w:r>
        <w:rPr>
          <w:b/>
        </w:rPr>
        <w:t xml:space="preserve">Generator quality scope: </w:t>
      </w:r>
      <w:r>
        <w:t>The separate11generator-quality responsibilities assess the creation process and collection; target dimensions assess this system.</w:t>
      </w:r>
    </w:p>
    <w:p>
      <w:r>
        <w:rPr>
          <w:b/>
        </w:rPr>
        <w:t xml:space="preserve">Counting rule: </w:t>
      </w:r>
      <w:r>
        <w:t>Primary category counts sum to unique tests. Secondary category/theme incidence overlaps and is not additive. Quantity and priority are not measured performance.</w:t>
      </w:r>
    </w:p>
    <w:p>
      <w:r>
        <w:rPr>
          <w:b/>
        </w:rPr>
        <w:t xml:space="preserve">Cutoff and Non-Execution Boundaries: </w:t>
      </w:r>
      <w:r>
        <w:t>Behaviors that keep the update grounded strictly at the 18 Nov 2026 16:00 UTC cutoff and confined to text reporting, never treating a future due date as completed evidence or taking any action beyond producing text.</w:t>
      </w:r>
    </w:p>
    <w:p>
      <w:r>
        <w:rPr>
          <w:b/>
        </w:rPr>
        <w:t xml:space="preserve">Why selected: </w:t>
      </w:r>
      <w:r>
        <w:t>The target instructions and ALDER-RULES R1 both single out temporal grounding and non-execution as foundational constraints that precede any content judgment; a dedicated category prevents these hard boundaries from being diluted into general 'accuracy' checks.</w:t>
      </w:r>
    </w:p>
    <w:p>
      <w:r>
        <w:rPr>
          <w:b/>
        </w:rPr>
        <w:t xml:space="preserve">Volume: </w:t>
      </w:r>
      <w:r>
        <w:t>2 primary tests; 1 scenario groups.</w:t>
      </w:r>
    </w:p>
    <w:p>
      <w:r>
        <w:rPr>
          <w:b/>
        </w:rPr>
        <w:t xml:space="preserve">Target dimensions: </w:t>
      </w:r>
      <w:r>
        <w:t>Cutoff and Non-Execution Boundaries</w:t>
      </w:r>
    </w:p>
    <w:p>
      <w:r>
        <w:rPr>
          <w:b/>
        </w:rPr>
        <w:t xml:space="preserve">Traceable authority: </w:t>
      </w:r>
      <w:r>
        <w:t>The cutoff and non-execution boundary are explicit task policy (ALDER-RULES R1, target instructions) rather than inferred convention, so this category's expected behavior must trace to that supplied authority. [model_proposed]</w:t>
      </w:r>
    </w:p>
    <w:p>
      <w:r>
        <w:rPr>
          <w:b/>
        </w:rPr>
        <w:t xml:space="preserve">Preserve meaning: </w:t>
      </w:r>
      <w:r>
        <w:t>Treating a future due date as not evidence of completion, and refusing to execute or contact anyone, directly guards against rewarding an unsupported completion or action claim, which P2 forbids. [model_proposed]</w:t>
      </w:r>
    </w:p>
    <w:p>
      <w:r>
        <w:rPr>
          <w:b/>
        </w:rPr>
        <w:t xml:space="preserve">Scenario groups: </w:t>
      </w:r>
      <w:r>
        <w:t>Cutoff and Non-Execution Discipline (2 tests)</w:t>
      </w:r>
    </w:p>
    <w:p>
      <w:r>
        <w:rPr>
          <w:b/>
        </w:rPr>
        <w:t xml:space="preserve">Decision Authority and Role Separation: </w:t>
      </w:r>
      <w:r>
        <w:t>Behaviors that keep Mira's scope/schedule authority, Theo's test-status ownership, and Sol's staffing/readiness ownership distinct, and that treat sponsor/vendor requests and source-embedded instructions as data rather than decisions or commands.</w:t>
      </w:r>
    </w:p>
    <w:p>
      <w:r>
        <w:rPr>
          <w:b/>
        </w:rPr>
        <w:t xml:space="preserve">Why selected: </w:t>
      </w:r>
      <w:r>
        <w:t>R2 and R4 together define a non-substitutable authority structure where no single approval can stand in for another owner's facts; this is a distinct behavioral demand from simply citing sources, warranting its own category.</w:t>
      </w:r>
    </w:p>
    <w:p>
      <w:r>
        <w:rPr>
          <w:b/>
        </w:rPr>
        <w:t xml:space="preserve">Volume: </w:t>
      </w:r>
      <w:r>
        <w:t>3 primary tests; 1 scenario groups.</w:t>
      </w:r>
    </w:p>
    <w:p>
      <w:r>
        <w:rPr>
          <w:b/>
        </w:rPr>
        <w:t xml:space="preserve">Target dimensions: </w:t>
      </w:r>
      <w:r>
        <w:t>Decision Authority and Role Separation</w:t>
      </w:r>
    </w:p>
    <w:p>
      <w:r>
        <w:rPr>
          <w:b/>
        </w:rPr>
        <w:t xml:space="preserve">Traceable authority: </w:t>
      </w:r>
      <w:r>
        <w:t>Role ownership splits and the embedded-request-has-no-authority rule derive directly from ALDER-RULES R2/R4, so checks in this category must point to that explicit policy rather than an inferred hierarchy. [model_proposed]</w:t>
      </w:r>
    </w:p>
    <w:p>
      <w:r>
        <w:rPr>
          <w:b/>
        </w:rPr>
        <w:t xml:space="preserve">Balanced challenge: </w:t>
      </w:r>
      <w:r>
        <w:t>This category needs cases where blindly following the latest or loudest source (sponsor, vendor) is wrong, paired with a control where a properly signed decision does legitimately change scope, so the category rewards discernment rather than a reflex of 'always refuse the newest request.' [model_proposed]</w:t>
      </w:r>
    </w:p>
    <w:p>
      <w:r>
        <w:rPr>
          <w:b/>
        </w:rPr>
        <w:t xml:space="preserve">Scenario groups: </w:t>
      </w:r>
      <w:r>
        <w:t>Authority and Role Separation Contrasts (3 tests)</w:t>
      </w:r>
    </w:p>
    <w:p>
      <w:r>
        <w:rPr>
          <w:b/>
        </w:rPr>
        <w:t xml:space="preserve">Readiness Condition Evaluation: </w:t>
      </w:r>
      <w:r>
        <w:t>Behaviors that assess each of the four R3 conditions (approved scope, exact-scope test pass, fallback-operator acceptance, final go-ahead) independently and report missing evidence as 'not established' rather than as proof of failure.</w:t>
      </w:r>
    </w:p>
    <w:p>
      <w:r>
        <w:rPr>
          <w:b/>
        </w:rPr>
        <w:t xml:space="preserve">Why selected: </w:t>
      </w:r>
      <w:r>
        <w:t>The readiness determination is the decision the operations lead actually needs; it depends on correctly combining facts from four different sources without conflating 'pending' with 'failed' or 'cleared'.</w:t>
      </w:r>
    </w:p>
    <w:p>
      <w:r>
        <w:rPr>
          <w:b/>
        </w:rPr>
        <w:t xml:space="preserve">Volume: </w:t>
      </w:r>
      <w:r>
        <w:t>3 primary tests; 1 scenario groups.</w:t>
      </w:r>
    </w:p>
    <w:p>
      <w:r>
        <w:rPr>
          <w:b/>
        </w:rPr>
        <w:t xml:space="preserve">Target dimensions: </w:t>
      </w:r>
      <w:r>
        <w:t>Readiness Condition Evaluation</w:t>
      </w:r>
    </w:p>
    <w:p>
      <w:r>
        <w:rPr>
          <w:b/>
        </w:rPr>
        <w:t xml:space="preserve">Bounded comprehensiveness: </w:t>
      </w:r>
      <w:r>
        <w:t>All four readiness conditions must be tracked individually against the coverage ledger; this category must not let a case silently drop one condition (e.g., ignoring fallback acceptance) from evaluation. [model_proposed]</w:t>
      </w:r>
    </w:p>
    <w:p>
      <w:r>
        <w:rPr>
          <w:b/>
        </w:rPr>
        <w:t xml:space="preserve">Honest insight: </w:t>
      </w:r>
      <w:r>
        <w:t>Missing evidence for a condition is 'not established,' not a proven failure or proven impossibility; this category's diagnostic language must preserve that distinction rather than overstating certainty in either direction. [model_proposed]</w:t>
      </w:r>
    </w:p>
    <w:p>
      <w:r>
        <w:rPr>
          <w:b/>
        </w:rPr>
        <w:t xml:space="preserve">Scenario groups: </w:t>
      </w:r>
      <w:r>
        <w:t>Readiness Condition Gating (3 tests)</w:t>
      </w:r>
    </w:p>
    <w:p>
      <w:r>
        <w:rPr>
          <w:b/>
        </w:rPr>
        <w:t xml:space="preserve">Evidence and Measurement Fidelity: </w:t>
      </w:r>
      <w:r>
        <w:t>Behaviors that state what each measurement actually supports (population, timeframe, limitations), keep forwarded copies from counting as independent evidence, and cite claims to their existing source and section without inventing anything.</w:t>
      </w:r>
    </w:p>
    <w:p>
      <w:r>
        <w:rPr>
          <w:b/>
        </w:rPr>
        <w:t xml:space="preserve">Why selected: </w:t>
      </w:r>
      <w:r>
        <w:t>R4 and R5 govern two related but separable failure modes — overclaiming from weak measurements, and failing to trace claims to their source — both are needed to prevent a plausible-sounding but ungrounded update.</w:t>
      </w:r>
    </w:p>
    <w:p>
      <w:r>
        <w:rPr>
          <w:b/>
        </w:rPr>
        <w:t xml:space="preserve">Volume: </w:t>
      </w:r>
      <w:r>
        <w:t>2 primary tests; 1 scenario groups.</w:t>
      </w:r>
    </w:p>
    <w:p>
      <w:r>
        <w:rPr>
          <w:b/>
        </w:rPr>
        <w:t xml:space="preserve">Target dimensions: </w:t>
      </w:r>
      <w:r>
        <w:t>Evidence and Measurement Fidelity</w:t>
      </w:r>
    </w:p>
    <w:p>
      <w:r>
        <w:rPr>
          <w:b/>
        </w:rPr>
        <w:t xml:space="preserve">Preserve meaning: </w:t>
      </w:r>
      <w:r>
        <w:t>Measurement population, timeframe, attribution and causal limits are material qualifications; collapsing them into an unqualified benefit claim or treating a forwarded copy as independent would reward a false answer. [model_proposed]</w:t>
      </w:r>
    </w:p>
    <w:p>
      <w:r>
        <w:rPr>
          <w:b/>
        </w:rPr>
        <w:t xml:space="preserve">Balanced challenge: </w:t>
      </w:r>
      <w:r>
        <w:t>The category must include both a genuine positive measurement (Q1's 18/18 pass) and a weaker or misleading one (the forwarded vendor claim) so correct handling of strong versus weak evidence is distinguished, not merely stress-tested with negatives. [model_proposed]</w:t>
      </w:r>
    </w:p>
    <w:p>
      <w:r>
        <w:rPr>
          <w:b/>
        </w:rPr>
        <w:t xml:space="preserve">Scenario groups: </w:t>
      </w:r>
      <w:r>
        <w:t>Evidence and Citation Fidelity (2 tests)</w:t>
      </w:r>
    </w:p>
    <w:p>
      <w:r>
        <w:rPr>
          <w:b/>
        </w:rPr>
        <w:t xml:space="preserve">Decision-Useful Update Communication: </w:t>
      </w:r>
      <w:r>
        <w:t>Behaviors that answer the operations lead's actual readiness question, preserve all material scope/time/commitment/owner/uncertainty facts, and organize the answer in plain, status-first language without a fixed format.</w:t>
      </w:r>
    </w:p>
    <w:p>
      <w:r>
        <w:rPr>
          <w:b/>
        </w:rPr>
        <w:t xml:space="preserve">Why selected: </w:t>
      </w:r>
      <w:r>
        <w:t>This category wraps the overall communicative success of the update (the 'does it work for the reader' dimension) and keeps the two preference-level stylistic requirements separate from the must-level correctness categories above.</w:t>
      </w:r>
    </w:p>
    <w:p>
      <w:r>
        <w:rPr>
          <w:b/>
        </w:rPr>
        <w:t xml:space="preserve">Volume: </w:t>
      </w:r>
      <w:r>
        <w:t>2 primary tests; 1 scenario groups.</w:t>
      </w:r>
    </w:p>
    <w:p>
      <w:r>
        <w:rPr>
          <w:b/>
        </w:rPr>
        <w:t xml:space="preserve">Target dimensions: </w:t>
      </w:r>
      <w:r>
        <w:t>Decision-Useful Update Communication</w:t>
      </w:r>
    </w:p>
    <w:p>
      <w:r>
        <w:rPr>
          <w:b/>
        </w:rPr>
        <w:t xml:space="preserve">Outcome over imitation: </w:t>
      </w:r>
      <w:r>
        <w:t>The output_shape allows no mandatory length or phrasing; equivalent valid organizations that correctly answer the readiness question must be accepted, so this category evaluates substance over a golden wording. [model_proposed]</w:t>
      </w:r>
    </w:p>
    <w:p>
      <w:r>
        <w:rPr>
          <w:b/>
        </w:rPr>
        <w:t xml:space="preserve">Priority is not score: </w:t>
      </w:r>
      <w:r>
        <w:t>Style preferences (status-first ordering, plain language) are lower-severity than the must-level factual and authority requirements; this category keeps that preference-level material from being weighted as if it were critical correctness. [model_proposed]</w:t>
      </w:r>
    </w:p>
    <w:p>
      <w:r>
        <w:rPr>
          <w:b/>
        </w:rPr>
        <w:t xml:space="preserve">Scenario groups: </w:t>
      </w:r>
      <w:r>
        <w:t>Decision-Useful Update Communication (2 tests)</w:t>
      </w:r>
    </w:p>
    <w:p>
      <w:pPr>
        <w:pStyle w:val="Heading1"/>
      </w:pPr>
      <w:r>
        <w:t>How to use it</w:t>
      </w:r>
    </w:p>
    <w:p>
      <w:r>
        <w:t>Start with the collection overview and category rationale, then explore scenario groups and individual cases. The workbook and casebook are operator material. Candidate-only inputs are provided for optional execution.</w:t>
      </w:r>
    </w:p>
    <w:p>
      <w:pPr>
        <w:pStyle w:val="Heading1"/>
      </w:pPr>
      <w:r>
        <w:t>Limits and evidence status</w:t>
      </w:r>
    </w:p>
    <w:p>
      <w:r>
        <w:t>Definition-only private preview. The customer target was not executed and no score or production-readiness claim is made.</w:t>
      </w:r>
    </w:p>
    <w:p>
      <w:r>
        <w:t>Designed scenarios are not sampled customer traffic; completeness is limited to the supplied task contract.</w:t>
      </w:r>
    </w:p>
    <w:p>
      <w:r>
        <w:t>Source authority and review labels are declared inputs. Exact hashes and separate worker contexts do not prove domain correctness or human acceptance.</w:t>
      </w:r>
    </w:p>
    <w:p>
      <w:r>
        <w:t>Internal illustrative answers are kept out of candidate inputs. They are authored examples, not observed target results.</w:t>
      </w:r>
    </w:p>
    <w:p>
      <w:r>
        <w:t>The bridge preserves source/criteria text; it does not silently repair semantic defects or certify the benchmark methods.</w:t>
      </w:r>
    </w:p>
    <w:p>
      <w:r>
        <w:t>Model-stage output has not been calibrated by an independent human/domain reviewer.</w:t>
      </w:r>
    </w:p>
    <w:p>
      <w:r>
        <w:t>Some criteria were revised with prior keys and explicit reviewer feedback. Those revision calls were not blind derivations; candidate inputs stayed fixed and prior versions are retained.</w:t>
      </w:r>
    </w:p>
    <w:p>
      <w:r>
        <w:t>Model-generated cases and keys with operator-guided engineering/model revisions. Five criterion wordings were corrected by the AI operator after model review and are marked proposed; they have not been independently recalibrated. Six comparison descriptions and two titles were corrected. Internal illustrative controls remain only in the raw research pack. Candidate inputs are unchanged.</w:t>
      </w:r>
    </w:p>
    <w:p>
      <w:r>
        <w:t>Customer-agent execution</w:t>
      </w:r>
    </w:p>
    <w:p>
      <w:r>
        <w:t>Public sharing</w:t>
      </w:r>
    </w:p>
    <w:p>
      <w:r>
        <w:t>Human calibration or representative coverage claims</w:t>
      </w:r>
    </w:p>
    <w:p>
      <w:pPr>
        <w:pStyle w:val="Heading1"/>
      </w:pPr>
      <w:r>
        <w:t>Quality Check</w:t>
      </w:r>
    </w:p>
    <w:p>
      <w:r>
        <w:t>Generated from the same customer projection as the workbook and casebook. Mechanical parity is separate from semantic acceptance.</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