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0C7BC" w14:textId="77777777" w:rsidR="00AB68AB" w:rsidRDefault="00B167CE">
      <w:pPr>
        <w:spacing w:before="0" w:after="0"/>
        <w:ind w:firstLine="0"/>
      </w:pPr>
      <w:r>
        <w:rPr>
          <w:b/>
        </w:rPr>
        <w:t xml:space="preserve">Title: </w:t>
      </w:r>
      <w:r>
        <w:t>The “</w:t>
      </w:r>
      <w:r>
        <w:rPr>
          <w:i/>
        </w:rPr>
        <w:t>F-</w:t>
      </w:r>
      <w:r>
        <w:t xml:space="preserve">word”: Next-generation data </w:t>
      </w:r>
      <w:r>
        <w:rPr>
          <w:i/>
        </w:rPr>
        <w:t>F</w:t>
      </w:r>
      <w:r>
        <w:t>iltering in the genomics era</w:t>
      </w:r>
    </w:p>
    <w:p w14:paraId="7FDB3B67" w14:textId="77777777" w:rsidR="00AB68AB" w:rsidRDefault="00B167CE">
      <w:pPr>
        <w:spacing w:before="0" w:after="0"/>
        <w:ind w:firstLine="0"/>
      </w:pPr>
      <w:r>
        <w:rPr>
          <w:b/>
        </w:rPr>
        <w:t>Alternative Title</w:t>
      </w:r>
      <w:r>
        <w:t>: Next-generation data filtering in the genomics era</w:t>
      </w:r>
    </w:p>
    <w:p w14:paraId="1882E2E5" w14:textId="77777777" w:rsidR="00AB68AB" w:rsidRDefault="00AB68AB" w:rsidP="003F76ED">
      <w:pPr>
        <w:suppressLineNumbers/>
        <w:spacing w:before="0" w:after="0"/>
        <w:ind w:firstLine="0"/>
      </w:pPr>
    </w:p>
    <w:p w14:paraId="7047240F" w14:textId="77777777" w:rsidR="00AB68AB" w:rsidRDefault="00B167CE">
      <w:pPr>
        <w:spacing w:before="0" w:after="0"/>
        <w:ind w:firstLine="0"/>
      </w:pPr>
      <w:r>
        <w:rPr>
          <w:b/>
        </w:rPr>
        <w:t>Running title</w:t>
      </w:r>
      <w:r>
        <w:t>: Next-generation data filtering</w:t>
      </w:r>
    </w:p>
    <w:p w14:paraId="743F4E7B" w14:textId="77777777" w:rsidR="00AB68AB" w:rsidRDefault="00AB68AB" w:rsidP="003F76ED">
      <w:pPr>
        <w:suppressLineNumbers/>
        <w:spacing w:before="0" w:after="0"/>
        <w:ind w:firstLine="0"/>
      </w:pPr>
    </w:p>
    <w:p w14:paraId="3BB2A86A" w14:textId="77777777" w:rsidR="00AB68AB" w:rsidRDefault="00B167CE">
      <w:pPr>
        <w:spacing w:before="0" w:after="0"/>
        <w:ind w:firstLine="0"/>
      </w:pPr>
      <w:r>
        <w:rPr>
          <w:b/>
        </w:rPr>
        <w:t>Keywords</w:t>
      </w:r>
      <w:r>
        <w:t>: DNA sequencing, genomic data, data filtering, minor allele frequency, bioinformatics workflow, quality control, variant discovery, genotyping errors</w:t>
      </w:r>
    </w:p>
    <w:p w14:paraId="4FF3BB5B" w14:textId="77777777" w:rsidR="00AB68AB" w:rsidRDefault="00AB68AB" w:rsidP="003F76ED">
      <w:pPr>
        <w:suppressLineNumbers/>
        <w:spacing w:before="0" w:after="0"/>
        <w:ind w:firstLine="0"/>
      </w:pPr>
    </w:p>
    <w:p w14:paraId="54676B86" w14:textId="77777777" w:rsidR="00AB68AB" w:rsidRDefault="00B167CE">
      <w:pPr>
        <w:spacing w:before="0" w:after="0"/>
        <w:ind w:firstLine="0"/>
        <w:rPr>
          <w:vertAlign w:val="superscript"/>
        </w:rPr>
      </w:pPr>
      <w:r>
        <w:rPr>
          <w:b/>
        </w:rPr>
        <w:t xml:space="preserve">Authors: </w:t>
      </w:r>
      <w:r>
        <w:t>William Hemstrom</w:t>
      </w:r>
      <w:proofErr w:type="gramStart"/>
      <w:r>
        <w:t>*</w:t>
      </w:r>
      <w:r>
        <w:rPr>
          <w:vertAlign w:val="superscript"/>
        </w:rPr>
        <w:t>,†</w:t>
      </w:r>
      <w:proofErr w:type="gramEnd"/>
      <w:r>
        <w:rPr>
          <w:vertAlign w:val="superscript"/>
        </w:rPr>
        <w:t>,1</w:t>
      </w:r>
      <w:r>
        <w:t>, Jared Grummer</w:t>
      </w:r>
      <w:r>
        <w:rPr>
          <w:vertAlign w:val="superscript"/>
        </w:rPr>
        <w:t>†,2</w:t>
      </w:r>
      <w:r>
        <w:t>, Gordon Luikart</w:t>
      </w:r>
      <w:r>
        <w:rPr>
          <w:vertAlign w:val="superscript"/>
        </w:rPr>
        <w:t>2</w:t>
      </w:r>
      <w:r>
        <w:t>, Mark Christie</w:t>
      </w:r>
      <w:r>
        <w:rPr>
          <w:vertAlign w:val="superscript"/>
        </w:rPr>
        <w:t>1,3</w:t>
      </w:r>
    </w:p>
    <w:p w14:paraId="1E94C8E0" w14:textId="77777777" w:rsidR="00AB68AB" w:rsidRDefault="00B167CE">
      <w:pPr>
        <w:spacing w:before="0" w:after="0"/>
        <w:ind w:firstLine="0"/>
      </w:pPr>
      <w:r>
        <w:rPr>
          <w:vertAlign w:val="superscript"/>
        </w:rPr>
        <w:t>†</w:t>
      </w:r>
      <w:r>
        <w:t>These authors contributed equally to this work.</w:t>
      </w:r>
    </w:p>
    <w:p w14:paraId="4CEB0102" w14:textId="77777777" w:rsidR="00AB68AB" w:rsidRDefault="00AB68AB" w:rsidP="003F76ED">
      <w:pPr>
        <w:suppressLineNumbers/>
        <w:spacing w:before="0" w:after="0"/>
        <w:ind w:firstLine="0"/>
      </w:pPr>
    </w:p>
    <w:p w14:paraId="6E927613" w14:textId="77777777" w:rsidR="00AB68AB" w:rsidRDefault="00B167CE">
      <w:pPr>
        <w:spacing w:before="0" w:after="0"/>
        <w:ind w:firstLine="0"/>
        <w:rPr>
          <w:b/>
        </w:rPr>
      </w:pPr>
      <w:r>
        <w:rPr>
          <w:b/>
        </w:rPr>
        <w:t>Author Affiliations:</w:t>
      </w:r>
    </w:p>
    <w:p w14:paraId="03C8BAA1" w14:textId="77777777" w:rsidR="00AB68AB" w:rsidRDefault="00B167CE">
      <w:pPr>
        <w:numPr>
          <w:ilvl w:val="0"/>
          <w:numId w:val="1"/>
        </w:numPr>
        <w:spacing w:before="0" w:after="0"/>
      </w:pPr>
      <w:r>
        <w:t>Department of Biological Sciences, Purdue University; 915 W. State St., West Lafayette, Indiana 47907-2054 USA</w:t>
      </w:r>
    </w:p>
    <w:p w14:paraId="46AC728D" w14:textId="77777777" w:rsidR="00AB68AB" w:rsidRDefault="00B167CE">
      <w:pPr>
        <w:numPr>
          <w:ilvl w:val="0"/>
          <w:numId w:val="1"/>
        </w:numPr>
        <w:spacing w:before="0" w:after="0"/>
      </w:pPr>
      <w:r>
        <w:t>Flathead Lake Biological Station, Wildlife Biology Program, University of Montana, Missoula, MT, 59860 USA</w:t>
      </w:r>
    </w:p>
    <w:p w14:paraId="60B370AD" w14:textId="77777777" w:rsidR="00AB68AB" w:rsidRDefault="00B167CE">
      <w:pPr>
        <w:numPr>
          <w:ilvl w:val="0"/>
          <w:numId w:val="1"/>
        </w:numPr>
        <w:spacing w:before="0" w:after="0"/>
      </w:pPr>
      <w:r>
        <w:t>Department of Forestry and Natural Resources, Purdue University; 715 W. State St., West Lafayette, Indiana 47907-2054 USA</w:t>
      </w:r>
    </w:p>
    <w:p w14:paraId="5EF67470" w14:textId="77777777" w:rsidR="00AB68AB" w:rsidRDefault="00AB68AB" w:rsidP="003F76ED">
      <w:pPr>
        <w:suppressLineNumbers/>
        <w:spacing w:before="0" w:after="0"/>
        <w:ind w:firstLine="0"/>
        <w:rPr>
          <w:vertAlign w:val="superscript"/>
        </w:rPr>
      </w:pPr>
    </w:p>
    <w:p w14:paraId="78E8B31E" w14:textId="2013FFEA" w:rsidR="00367E56" w:rsidRDefault="00B167CE" w:rsidP="00367E56">
      <w:pPr>
        <w:spacing w:before="0" w:after="0"/>
        <w:ind w:firstLine="0"/>
      </w:pPr>
      <w:r>
        <w:rPr>
          <w:b/>
        </w:rPr>
        <w:t xml:space="preserve">Corresponding Author: </w:t>
      </w:r>
      <w:r>
        <w:t xml:space="preserve">William Hemstrom, </w:t>
      </w:r>
      <w:hyperlink r:id="rId8" w:history="1">
        <w:r w:rsidR="00367E56" w:rsidRPr="009C5AC1">
          <w:rPr>
            <w:rStyle w:val="Hyperlink"/>
          </w:rPr>
          <w:t>whemstro@purdue.edu</w:t>
        </w:r>
      </w:hyperlink>
    </w:p>
    <w:p w14:paraId="5224198D" w14:textId="77777777" w:rsidR="00367E56" w:rsidRDefault="00367E56" w:rsidP="003F76ED">
      <w:pPr>
        <w:suppressLineNumbers/>
      </w:pPr>
      <w:r>
        <w:br w:type="page"/>
      </w:r>
    </w:p>
    <w:p w14:paraId="6DD5A6F4" w14:textId="4B087DDC" w:rsidR="00AB68AB" w:rsidRDefault="00B167CE">
      <w:pPr>
        <w:spacing w:before="0" w:after="0"/>
        <w:ind w:firstLine="0"/>
      </w:pPr>
      <w:r>
        <w:rPr>
          <w:b/>
        </w:rPr>
        <w:lastRenderedPageBreak/>
        <w:t>Abstract</w:t>
      </w:r>
      <w:r>
        <w:t>:</w:t>
      </w:r>
    </w:p>
    <w:p w14:paraId="3872C777" w14:textId="727A5779" w:rsidR="00AB68AB" w:rsidRDefault="00B167CE">
      <w:pPr>
        <w:spacing w:before="0" w:after="0"/>
        <w:ind w:firstLine="0"/>
      </w:pPr>
      <w:r>
        <w:t>Genomic data are now ubiquitous in studies across disciplines including human health, agriculture, biodiversity, molecular ecology, and evolutionary biology. While genome-wide data can improve parameter estimates and resolve previously</w:t>
      </w:r>
      <w:r w:rsidR="00367E56">
        <w:t xml:space="preserve"> </w:t>
      </w:r>
      <w:r>
        <w:t>intractable questions, data filtering choices can significantly influence downstream analyses. Here we review recent literature across disciplines to assess</w:t>
      </w:r>
      <w:r w:rsidR="00FE1D12">
        <w:t xml:space="preserve"> the</w:t>
      </w:r>
      <w:r>
        <w:t xml:space="preserve"> </w:t>
      </w:r>
      <w:r w:rsidR="00FE1D12">
        <w:t>commonly applied</w:t>
      </w:r>
      <w:r>
        <w:t xml:space="preserve"> filter</w:t>
      </w:r>
      <w:r w:rsidR="00FE1D12">
        <w:t xml:space="preserve"> </w:t>
      </w:r>
      <w:r w:rsidR="00FA7992">
        <w:t xml:space="preserve">types </w:t>
      </w:r>
      <w:r>
        <w:t>and thresholds</w:t>
      </w:r>
      <w:r w:rsidR="00FA7992">
        <w:t>,</w:t>
      </w:r>
      <w:r>
        <w:t xml:space="preserve"> including minor allele frequency/counts, missing data, linkage disequilibrium, and Hardy-Weinberg deviations. Surprisingly, we found that a large percentage of studies</w:t>
      </w:r>
      <w:r w:rsidR="00BC4C45">
        <w:t xml:space="preserve"> </w:t>
      </w:r>
      <w:r>
        <w:t>d</w:t>
      </w:r>
      <w:r w:rsidR="004B6BC7">
        <w:t>id</w:t>
      </w:r>
      <w:r>
        <w:t xml:space="preserve"> not report key filtering parameters. We also illustrate large effects of filtering</w:t>
      </w:r>
      <w:r w:rsidR="000E0E42">
        <w:t xml:space="preserve"> thresholds</w:t>
      </w:r>
      <w:r>
        <w:t xml:space="preserve"> on statistics such as Tajima’s D, </w:t>
      </w:r>
      <w:r>
        <w:rPr>
          <w:i/>
        </w:rPr>
        <w:t>F</w:t>
      </w:r>
      <w:r>
        <w:rPr>
          <w:vertAlign w:val="subscript"/>
        </w:rPr>
        <w:t>ST</w:t>
      </w:r>
      <w:r>
        <w:t>, and effective population size (</w:t>
      </w:r>
      <w:r>
        <w:rPr>
          <w:i/>
        </w:rPr>
        <w:t>N</w:t>
      </w:r>
      <w:r>
        <w:rPr>
          <w:vertAlign w:val="subscript"/>
        </w:rPr>
        <w:t>e</w:t>
      </w:r>
      <w:r>
        <w:t xml:space="preserve">). </w:t>
      </w:r>
      <w:r w:rsidR="00F14815">
        <w:t>Given the</w:t>
      </w:r>
      <w:r>
        <w:t xml:space="preserve"> current state of affairs, we propose two key principles</w:t>
      </w:r>
      <w:r w:rsidR="004B6BC7">
        <w:t xml:space="preserve"> for investigators to keep in mind when analyzing genomic data</w:t>
      </w:r>
      <w:r>
        <w:t>: 1.) different filtering choices can result in different results such that two researchers analyzing the same dataset</w:t>
      </w:r>
      <w:r w:rsidR="004B6BC7">
        <w:t>,</w:t>
      </w:r>
      <w:r>
        <w:t xml:space="preserve"> but using different filters, could reach entirely different conclusions, and 2.) distinctively</w:t>
      </w:r>
      <w:r w:rsidR="00367E56">
        <w:t xml:space="preserve"> </w:t>
      </w:r>
      <w:r>
        <w:t xml:space="preserve">filtered versions of the same dataset should be used to address specific questions and to quantify the effects of filtering. We conclude by providing recommendations for standardizing filtering approaches to usher in the next-generation of data filtering. </w:t>
      </w:r>
    </w:p>
    <w:p w14:paraId="265AFE91" w14:textId="77777777" w:rsidR="00AB68AB" w:rsidRDefault="00AB68AB" w:rsidP="003F76ED">
      <w:pPr>
        <w:suppressLineNumbers/>
        <w:spacing w:before="0" w:after="0"/>
      </w:pPr>
    </w:p>
    <w:p w14:paraId="0BE4CE74" w14:textId="77777777" w:rsidR="00AB68AB" w:rsidRDefault="00AB68AB" w:rsidP="003F76ED">
      <w:pPr>
        <w:suppressLineNumbers/>
      </w:pPr>
    </w:p>
    <w:p w14:paraId="63D10072" w14:textId="77777777" w:rsidR="00AB68AB" w:rsidRDefault="00B167CE" w:rsidP="003F76ED">
      <w:pPr>
        <w:suppressLineNumbers/>
        <w:rPr>
          <w:color w:val="2F5496"/>
          <w:sz w:val="32"/>
          <w:szCs w:val="32"/>
        </w:rPr>
      </w:pPr>
      <w:r>
        <w:br w:type="page"/>
      </w:r>
    </w:p>
    <w:p w14:paraId="640AFA1E" w14:textId="77777777" w:rsidR="00AB68AB" w:rsidRDefault="00B167CE">
      <w:pPr>
        <w:spacing w:before="0" w:after="0"/>
        <w:ind w:firstLine="0"/>
        <w:rPr>
          <w:b/>
        </w:rPr>
      </w:pPr>
      <w:r>
        <w:rPr>
          <w:b/>
        </w:rPr>
        <w:lastRenderedPageBreak/>
        <w:t>Introduction:</w:t>
      </w:r>
    </w:p>
    <w:p w14:paraId="142A2F89" w14:textId="74402478" w:rsidR="00AB68AB" w:rsidRDefault="00B167CE" w:rsidP="009967A2">
      <w:pPr>
        <w:spacing w:before="0"/>
        <w:ind w:firstLine="0"/>
      </w:pPr>
      <w:r>
        <w:t>Recent and rapid advances in both short and long-read sequencing technologies (</w:t>
      </w:r>
      <w:r>
        <w:rPr>
          <w:i/>
        </w:rPr>
        <w:t>e.g.</w:t>
      </w:r>
      <w:r>
        <w:t>, Illumina and PacBio) have resulted in the proliferation of large genomic datasets</w:t>
      </w:r>
      <w:r w:rsidR="00367E56">
        <w:fldChar w:fldCharType="begin"/>
      </w:r>
      <w:r w:rsidR="00724FF9">
        <w:instrText xml:space="preserve"> ADDIN ZOTERO_ITEM CSL_CITATION {"citationID":"oq6bxZvE","properties":{"formattedCitation":"\\super 1\\uc0\\u8211{}4\\nosupersub{}","plainCitation":"1–4","noteIndex":0},"citationItems":[{"id":"y5pQWal7/kyMmLf8Q","uris":["http://zotero.org/users/local/pQ9lTDHc/items/DWWL77CU"],"itemData":{"id":42,"type":"article-journal","container-title":"Nature Reviews Genetics","DOI":"10.1038/nrg2844","ISSN":"1471-0064","issue":"10","journalAbbreviation":"Nat Rev Genet","language":"en","license":"2010 Springer Nature Limited","note":"number: 10\npublisher: Nature Publishing Group","page":"697-709","source":"www.nature.com","title":"Genomics and the future of conservation genetics","volume":"11","author":[{"family":"Allendorf","given":"Fred W."},{"family":"Hohenlohe","given":"Paul A."},{"family":"Luikart","given":"Gordon"}],"issued":{"date-parts":[["2010",10]]}}},{"id":5411,"uris":["http://zotero.org/users/10196124/items/WJZTRBDX"],"itemData":{"id":5411,"type":"article-journal","abstract":"Although next-generation sequencing (NGS) technology revolutionized sequencing, offering a tremendous sequencing capacity with groundbreaking depth and accuracy, it continues to demonstrate serious limitations. In the early 2010s, the introduction of a novel set of sequencing methodologies, presented by two platforms, Pacific Biosciences (PacBio) and Oxford Nanopore Sequencing (ONT), gave birth to third-generation sequencing (TGS). The innovative long-read technologies turn genome sequencing into an ease-of-handle procedure by greatly reducing the average time of library construction workflows and simplifying the process of de novo genome assembly due to the generation of long reads. Long sequencing reads produced by both TGS methodologies have already facilitated the decipherment of transcriptional profiling since they enable the identification of full-length transcripts without the need for assembly or the use of sophisticated bioinformatics tools. Long-read technologies have also provided new insights into the field of epitranscriptomics, by allowing the direct detection of RNA modifications on native RNA molecules. This review highlights the advantageous features of the newly introduced TGS technologies, discusses their limitations and provides an in-depth comparison regarding their scientific background and available protocols as well as their potential utility in research and clinical applications.","container-title":"Life","DOI":"10.3390/life12010030","ISSN":"2075-1729","issue":"1","title":"Third-Generation Sequencing: The Spearhead towards the Radical Transformation of Modern Genomics","volume":"12","author":[{"family":"Athanasopoulou","given":"Konstantina"},{"family":"Boti","given":"Michaela A."},{"family":"Adamopoulos","given":"Panagiotis G."},{"family":"Skourou","given":"Paraskevi C."},{"family":"Scorilas","given":"Andreas"}],"issued":{"date-parts":[["2022"]]},"citation-key":"athanasopoulouThirdGenerationSequencingSpearhead2022"}},{"id":5410,"uris":["http://zotero.org/users/10196124/items/LN5PL3XD"],"itemData":{"id":5410,"type":"article-journal","abstract":"Conservation science and environmental regulation are sibling constructs of the latter half of the 20th century, part of a more general awakening to humanity’s effect on the natural world in the wake of 2 world wars. Efforts to understand the evolution of biodiversity using the models of population genetics and the data derived from DNA sequencing, paired with legal and political mandates to protect biodiversity through novel laws, regulations, and conventions arose concurrently. The extremely rapid rate of development of new molecular tools to document and compare genetic identities, and the global goal of prioritizing species and habitats for protection are separate enterprises that have benefited from each other, ultimately leading to improved outcomes for each. In this article, we explore how the California Conservation Genomics Project has, and should, contribute to ongoing and future conservation implementation, and how it serves as a model for other geopolitical regions and taxon-oriented conservation efforts. One of our primary conclusions is that conservation genomics can now be applied, at scale, to inform decision-makers and identify regions and their contained species that are most resilient, and most in need of conservation interventions.","container-title":"Journal of Heredity","DOI":"10.1093/jhered/esac046","ISSN":"1465-7333","issue":"6","journalAbbreviation":"Journal of Heredity","page":"589-596","title":"Seizing the moment: The opportunity and relevance of the California Conservation Genomics Project to state and federal conservation policy","volume":"113","author":[{"family":"Fiedler","given":"Peggy L"},{"family":"Erickson","given":"Bjorn"},{"family":"Esgro","given":"Michael"},{"family":"Gold","given":"Mark"},{"family":"Hull","given":"Joshua M"},{"family":"Norris","given":"Jennifer M"},{"family":"Shapiro","given":"Beth"},{"family":"Westphal","given":"Michael"},{"family":"Toffelmier","given":"Erin"},{"family":"Shaffer","given":"H Bradley"}],"issued":{"date-parts":[["2022",12,1]]},"citation-key":"fiedlerSeizingMomentOpportunity2022"}},{"id":5412,"uris":["http://zotero.org/users/10196124/items/U44CLKYC"],"itemData":{"id":5412,"type":"article-journal","abstract":"Since the days of Sanger sequencing, next-generation sequencing technologies have significantly evolved to provide increased data output, efficiencies, and applications. These next generations of technologies can be categorized based on read length. This review provides an overview of these technologies as two paradigms: short-read, or “second-generation,” technologies, and long-read, or “third-generation,” technologies. Herein, short-read sequencing approaches are represented by the most prevalent technologies, Illumina and Ion Torrent, and long-read sequencing approaches are represented by Pacific Biosciences and Oxford Nanopore technologies. All technologies are reviewed along with reported advantages and disadvantages. Until recently, short-read sequencing was thought to provide high accuracy limited by read-length, while long-read technologies afforded much longer read-lengths at the expense of accuracy. Emerging developments for third-generation technologies hold promise for the next wave of sequencing evolution, with the co-existence of longer read lengths and high accuracy.","container-title":"Next Generation Sequencing and its Application to Medical Laboratory Immunology","DOI":"10.1016/j.humimm.2021.02.012","ISSN":"0198-8859","issue":"11","journalAbbreviation":"Human Immunology","page":"801-811","title":"Next-generation sequencing technologies: An overview","volume":"82","author":[{"family":"Hu","given":"Taishan"},{"family":"Chitnis","given":"Nilesh"},{"family":"Monos","given":"Dimitri"},{"family":"Dinh","given":"Anh"}],"issued":{"date-parts":[["2021",11,1]]},"citation-key":"huNextgenerationSequencingTechnologies2021"}}],"schema":"https://github.com/citation-style-language/schema/raw/master/csl-citation.json"} </w:instrText>
      </w:r>
      <w:r w:rsidR="00367E56">
        <w:fldChar w:fldCharType="separate"/>
      </w:r>
      <w:r w:rsidR="00367E56" w:rsidRPr="00367E56">
        <w:rPr>
          <w:vertAlign w:val="superscript"/>
        </w:rPr>
        <w:t>1–4</w:t>
      </w:r>
      <w:r w:rsidR="00367E56">
        <w:fldChar w:fldCharType="end"/>
      </w:r>
      <w:r>
        <w:t>. All high-throughput (“next-generation”) sequencing methods result in large numbers of reads that, importantly, do not all have low error rates</w:t>
      </w:r>
      <w:r w:rsidR="00367E56">
        <w:fldChar w:fldCharType="begin"/>
      </w:r>
      <w:r w:rsidR="00724FF9">
        <w:instrText xml:space="preserve"> ADDIN ZOTERO_ITEM CSL_CITATION {"citationID":"BMvPwB5D","properties":{"formattedCitation":"\\super 5,6\\nosupersub{}","plainCitation":"5,6","noteIndex":0},"citationItems":[{"id":"y5pQWal7/Tjhbl50c","uris":["http://zotero.org/users/local/nWY58Val/items/8SJ35HLE"],"itemData":{"id":5,"type":"article-journal","container-title":"Nature Reviews Genetics","DOI":"10.1038/nrg1707","ISSN":"1471-0064","issue":"11","journalAbbreviation":"Nat Rev Genet","language":"en","license":"2005 Springer Nature Limited","note":"number: 11\npublisher: Nature Publishing Group","page":"847-859","source":"www.nature.com","title":"Genotyping errors: causes, consequences and solutions","title-short":"Genotyping errors","volume":"6","author":[{"family":"Pompanon","given":"François"},{"family":"Bonin","given":"Aurélie"},{"family":"Bellemain","given":"Eva"},{"family":"Taberlet","given":"Pierre"}],"issued":{"date-parts":[["2005",11]]}}},{"id":"y5pQWal7/yoZXnQXi","uris":["http://zotero.org/users/local/nWY58Val/items/45L8EC3S"],"itemData":{"id":7,"type":"article-journal","container-title":"NAR Genomics and Bioinformatics","DOI":"10.1093/nargab/lqab019","ISSN":"2631-9268","issue":"1","journalAbbreviation":"NAR Genomics and Bioinformatics","page":"lqab019","source":"Silverchair","title":"Sequencing error profiles of Illumina sequencing instruments","volume":"3","author":[{"family":"Stoler","given":"Nicholas"},{"family":"Nekrutenko","given":"Anton"}],"issued":{"date-parts":[["2021",3,1]]}}}],"schema":"https://github.com/citation-style-language/schema/raw/master/csl-citation.json"} </w:instrText>
      </w:r>
      <w:r w:rsidR="00367E56">
        <w:fldChar w:fldCharType="separate"/>
      </w:r>
      <w:r w:rsidR="00367E56" w:rsidRPr="00367E56">
        <w:rPr>
          <w:vertAlign w:val="superscript"/>
        </w:rPr>
        <w:t>5,6</w:t>
      </w:r>
      <w:r w:rsidR="00367E56">
        <w:fldChar w:fldCharType="end"/>
      </w:r>
      <w:r>
        <w:t xml:space="preserve">. Errors can be further inflated when these sequences are aligned to a reference genome or transcriptome, particularly if the reference is incomplete or assembled </w:t>
      </w:r>
      <w:r>
        <w:rPr>
          <w:b/>
          <w:i/>
        </w:rPr>
        <w:t>de novo</w:t>
      </w:r>
      <w:r>
        <w:t xml:space="preserve"> from the reads themselves</w:t>
      </w:r>
      <w:r w:rsidR="00367E56">
        <w:fldChar w:fldCharType="begin"/>
      </w:r>
      <w:r w:rsidR="00724FF9">
        <w:instrText xml:space="preserve"> ADDIN ZOTERO_ITEM CSL_CITATION {"citationID":"EQdfEpdL","properties":{"formattedCitation":"\\super 7\\uc0\\u8211{}9\\nosupersub{}","plainCitation":"7–9","noteIndex":0},"citationItems":[{"id":"y5pQWal7/0rsAmgWp","uris":["http://zotero.org/users/local/nWY58Val/items/I99CCR38"],"itemData":{"id":"ZOwYODyU/HiYwG6mi","type":"article-journal","container-title":"Molecular Ecology Resources","issue":"4","note":"publisher: Wiley Online Library","page":"966–978","source":"Google Scholar","title":"Finding the right coverage: the impact of coverage and sequence quality on single nucleotide polymorphism genotyping error rates","title-short":"Finding the right coverage","volume":"16","author":[{"family":"Fountain","given":"Emily D."},{"family":"Pauli","given":"Jonathan N."},{"family":"Reid","given":"Brendan N."},{"family":"Palsbøll","given":"Per J."},{"family":"Peery","given":"M. Zachariah"}],"issued":{"date-parts":[["2016"]]}}},{"id":5211,"uris":["http://zotero.org/users/10196124/items/5A4HF7W3"],"itemData":{"id":5211,"type":"article-journal","abstract":"Abstract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367E56">
        <w:fldChar w:fldCharType="separate"/>
      </w:r>
      <w:r w:rsidR="00367E56" w:rsidRPr="00367E56">
        <w:rPr>
          <w:vertAlign w:val="superscript"/>
        </w:rPr>
        <w:t>7–9</w:t>
      </w:r>
      <w:r w:rsidR="00367E56">
        <w:fldChar w:fldCharType="end"/>
      </w:r>
      <w:r>
        <w:t xml:space="preserve">. Therefore, most </w:t>
      </w:r>
      <w:r w:rsidR="000A265F">
        <w:t xml:space="preserve">investigators </w:t>
      </w:r>
      <w:r>
        <w:t xml:space="preserve">perform multiple types of data </w:t>
      </w:r>
      <w:r>
        <w:rPr>
          <w:b/>
          <w:i/>
        </w:rPr>
        <w:t>filtering</w:t>
      </w:r>
      <w:r>
        <w:t xml:space="preserve"> for quality control prior to data analysis, including filtering on read quality, mapping quality, read depth/coverage, minor allele frequency or minor allele counts, missing data (across loci and/or individuals), and deviations from Hardy-Weinberg or linkage equilibrium. Despite the ubiquity of filtering in genomics, no comprehensive review currently exists on trends, standardization, or </w:t>
      </w:r>
      <w:r w:rsidR="00633F5A">
        <w:t>best practices</w:t>
      </w:r>
      <w:r>
        <w:t xml:space="preserve"> for data filtering.</w:t>
      </w:r>
    </w:p>
    <w:p w14:paraId="316E5E0E" w14:textId="7C4F2ECC" w:rsidR="00AB68AB" w:rsidRDefault="00B167CE" w:rsidP="009967A2">
      <w:pPr>
        <w:spacing w:before="0"/>
      </w:pPr>
      <w:r>
        <w:t>Genomic filtering is not a trivial problem. Indeed, it has been aptly termed the “</w:t>
      </w:r>
      <w:r>
        <w:rPr>
          <w:i/>
        </w:rPr>
        <w:t>F</w:t>
      </w:r>
      <w:r>
        <w:t xml:space="preserve">-word” by geneticists due to how </w:t>
      </w:r>
      <w:r w:rsidRPr="004472CF">
        <w:rPr>
          <w:i/>
        </w:rPr>
        <w:t>F</w:t>
      </w:r>
      <w:r w:rsidR="004472CF">
        <w:rPr>
          <w:iCs/>
        </w:rPr>
        <w:t xml:space="preserve">lipping </w:t>
      </w:r>
      <w:r w:rsidR="004472CF">
        <w:t xml:space="preserve"> challenging</w:t>
      </w:r>
      <w:r>
        <w:t xml:space="preserve"> it can be to conduct and understand effects of </w:t>
      </w:r>
      <w:r>
        <w:rPr>
          <w:i/>
        </w:rPr>
        <w:t>F</w:t>
      </w:r>
      <w:r>
        <w:t>iltering on downstream conclusions</w:t>
      </w:r>
      <w:r w:rsidR="00367E56">
        <w:fldChar w:fldCharType="begin"/>
      </w:r>
      <w:r w:rsidR="00367E56">
        <w:instrText xml:space="preserve"> ADDIN ZOTERO_ITEM CSL_CITATION {"citationID":"K9TqpU8O","properties":{"formattedCitation":"\\super 10,11\\nosupersub{}","plainCitation":"10,11","noteIndex":0},"citationItems":[{"id":5218,"uris":["http://zotero.org/users/10196124/items/KNANTTUA"],"itemData":{"id":5218,"type":"article-journal","abstract":"Abstract Genotype-environment association (GEA) methods have become part of the standard landscape genomics toolkit, yet, we know little about how to best filter genotype-by-sequencing data to provide robust inferences for environmental adaptation. In many cases, default filtering thresholds for minor allele frequency and missing data are applied regardless of sample size, having unknown impacts on the results, negatively affecting management strategies. Here, we investigate the effects of filtering on GEA results and the potential implications for assessment of adaptation to environment. We use empirical and simulated data sets derived from two widespread tree species to assess the effects of filtering on GEA outputs. Critically, we find that the level of filtering of missing data and minor allele frequency affect the identification of true positives. Even slight adjustments to these thresholds can change the rate of true positive detection. Using conservative thresholds for missing data and minor allele frequency substantially reduces the size of the data set, lessening the power to detect adaptive variants (i.e., simulated true positives) with strong and weak strengths of selection. Regardless, strength of selection was a good predictor for GEA detection, but even some SNPs under strong selection went undetected. False positive rates varied depending on the species and GEA method, and filtering significantly impacted the predictions of adaptive capacity in downstream analyses. We make several recommendations regarding filtering for GEA methods. Ultimately, there is no filtering panacea, but some choices are better than others, depending on the study system, availability of genomic resources, and desired objectives.","container-title":"Molecular Ecology Resources","DOI":"10.1111/1755-0998.13351","ISSN":"1755-098X","issue":"5","journalAbbreviation":"Molecular Ecology Resources","note":"publisher: John Wiley &amp; Sons, Ltd","page":"1460-1474","title":"Regarding the F-word: The effects of data filtering on inferred genotype-environment associations","volume":"21","author":[{"family":"Ahrens","given":"Collin W."},{"family":"Jordan","given":"Rebecca"},{"family":"Bragg","given":"Jason"},{"family":"Harrison","given":"Peter A."},{"family":"Hopley","given":"Tara"},{"family":"Bothwell","given":"Helen"},{"family":"Murray","given":"Kevin"},{"family":"Steane","given":"Dorothy A."},{"family":"Whale","given":"John W."},{"family":"Byrne","given":"Margaret"},{"family":"Andrew","given":"Rose"},{"family":"Rymer","given":"Paul D."}],"issued":{"date-parts":[["2021",7,1]]},"citation-key":"ahrensRegardingFwordEffects2021"}},{"id":5413,"uris":["http://zotero.org/users/10196124/items/64QKVN26"],"itemData":{"id":5413,"type":"article-journal","abstract":"Next-generation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R."},{"family":"Luikart","given":"Gordon"}],"issued":{"date-parts":[["2014",4,1]]},"citation-key":"andrewsRecentNovelApproaches2014"}}],"schema":"https://github.com/citation-style-language/schema/raw/master/csl-citation.json"} </w:instrText>
      </w:r>
      <w:r w:rsidR="00367E56">
        <w:fldChar w:fldCharType="separate"/>
      </w:r>
      <w:r w:rsidR="00367E56" w:rsidRPr="00367E56">
        <w:rPr>
          <w:vertAlign w:val="superscript"/>
        </w:rPr>
        <w:t>10,11</w:t>
      </w:r>
      <w:r w:rsidR="00367E56">
        <w:fldChar w:fldCharType="end"/>
      </w:r>
      <w:r>
        <w:t xml:space="preserve">. </w:t>
      </w:r>
      <w:r w:rsidR="00350764">
        <w:t xml:space="preserve">Here, </w:t>
      </w:r>
      <w:r>
        <w:t xml:space="preserve">we define </w:t>
      </w:r>
      <w:r>
        <w:rPr>
          <w:b/>
          <w:i/>
        </w:rPr>
        <w:t>filtering</w:t>
      </w:r>
      <w:r>
        <w:t xml:space="preserve"> as the intentional removal of bases, reads, individuals, and/or </w:t>
      </w:r>
      <w:r>
        <w:rPr>
          <w:b/>
          <w:i/>
        </w:rPr>
        <w:t>genetic variants</w:t>
      </w:r>
      <w:r>
        <w:t xml:space="preserve"> from a genomic dataset with the explicit goal of improving data quality for downstream analyses. Filtering is distinct from other forms of data processing in that it centers on the removal of data (as in “filtering out”), whereas other approaches, such as </w:t>
      </w:r>
      <w:r>
        <w:rPr>
          <w:b/>
          <w:i/>
        </w:rPr>
        <w:t>imputation</w:t>
      </w:r>
      <w:r>
        <w:t>, modify the data directly without removal. Filtering is an issue of paramount importance because: 1) every genomic dataset must be filtered, often repeatedly, 2) the same dataset filtered in different ways often yields entirely different results</w:t>
      </w:r>
      <w:r w:rsidR="00367E56">
        <w:fldChar w:fldCharType="begin"/>
      </w:r>
      <w:r w:rsidR="00724FF9">
        <w:instrText xml:space="preserve"> ADDIN ZOTERO_ITEM CSL_CITATION {"citationID":"Qz7VUsQ3","properties":{"formattedCitation":"\\super 12\\nosupersub{}","plainCitation":"12","noteIndex":0},"citationItems":[{"id":"y5pQWal7/DN8h7RlR","uris":["http://zotero.org/users/local/nWY58Val/items/IHKYX3MI"],"itemData":{"id":17,"type":"article-journal","container-title":"Evolutionary applications","issue":"2","note":"publisher: Wiley Online Library","page":"278–289","source":"Google Scholar","title":"Incomplete bioinformatic filtering and inadequate age and growth analysis lead to an incorrect inference of harvested-induced changes","volume":"14","author":[{"family":"Larson","given":"Wesley A."},{"family":"Isermann","given":"Daniel A."},{"family":"Feiner","given":"Zachary S."}],"issued":{"date-parts":[["2021"]]}}}],"schema":"https://github.com/citation-style-language/schema/raw/master/csl-citation.json"} </w:instrText>
      </w:r>
      <w:r w:rsidR="00367E56">
        <w:fldChar w:fldCharType="separate"/>
      </w:r>
      <w:r w:rsidR="00367E56" w:rsidRPr="00367E56">
        <w:rPr>
          <w:vertAlign w:val="superscript"/>
        </w:rPr>
        <w:t>12</w:t>
      </w:r>
      <w:r w:rsidR="00367E56">
        <w:fldChar w:fldCharType="end"/>
      </w:r>
      <w:r>
        <w:t xml:space="preserve">, and 3) filtering </w:t>
      </w:r>
      <w:r>
        <w:lastRenderedPageBreak/>
        <w:t>choices can be confusing, are often subjective, and currently lack standard or agreed-upon guidelines</w:t>
      </w:r>
      <w:r w:rsidR="00367E56">
        <w:fldChar w:fldCharType="begin"/>
      </w:r>
      <w:r w:rsidR="00724FF9">
        <w:instrText xml:space="preserve"> ADDIN ZOTERO_ITEM CSL_CITATION {"citationID":"X6ONNGuV","properties":{"formattedCitation":"\\super 13\\nosupersub{}","plainCitation":"13","noteIndex":0},"citationItems":[{"id":"y5pQWal7/uJRSEI1E","uris":["http://zotero.org/users/local/nWY58Val/items/SP75WQRN"],"itemData":{"id":"OQg5m9kC/PmJPl04h","type":"article-journal","container-title":"Frontiers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Lacey"}],"accessed":{"date-parts":[["2023",6,30]]},"issued":{"date-parts":[["2021"]]}}}],"schema":"https://github.com/citation-style-language/schema/raw/master/csl-citation.json"} </w:instrText>
      </w:r>
      <w:r w:rsidR="00367E56">
        <w:fldChar w:fldCharType="separate"/>
      </w:r>
      <w:r w:rsidR="00367E56" w:rsidRPr="00367E56">
        <w:rPr>
          <w:vertAlign w:val="superscript"/>
        </w:rPr>
        <w:t>13</w:t>
      </w:r>
      <w:r w:rsidR="00367E56">
        <w:fldChar w:fldCharType="end"/>
      </w:r>
      <w:r>
        <w:t>.</w:t>
      </w:r>
    </w:p>
    <w:p w14:paraId="721B1D45" w14:textId="633E34E5" w:rsidR="00AB68AB" w:rsidRPr="00A32AF9" w:rsidRDefault="00F30B3E" w:rsidP="009967A2">
      <w:pPr>
        <w:spacing w:before="0"/>
        <w:rPr>
          <w:color w:val="000000" w:themeColor="text1"/>
        </w:rPr>
      </w:pPr>
      <w:r>
        <w:rPr>
          <w:color w:val="000000" w:themeColor="text1"/>
        </w:rPr>
        <w:t>F</w:t>
      </w:r>
      <w:r w:rsidRPr="00A32AF9">
        <w:rPr>
          <w:color w:val="000000" w:themeColor="text1"/>
        </w:rPr>
        <w:t xml:space="preserve">iltering approaches are often inadequately described and vary widely among studies. </w:t>
      </w:r>
      <w:r w:rsidR="005922CB">
        <w:rPr>
          <w:color w:val="000000" w:themeColor="text1"/>
        </w:rPr>
        <w:t xml:space="preserve"> We reviewed </w:t>
      </w:r>
      <w:r w:rsidRPr="00A32AF9">
        <w:rPr>
          <w:color w:val="000000" w:themeColor="text1"/>
        </w:rPr>
        <w:t xml:space="preserve">173 </w:t>
      </w:r>
      <w:r w:rsidR="00A32AF9">
        <w:rPr>
          <w:color w:val="000000" w:themeColor="text1"/>
        </w:rPr>
        <w:t xml:space="preserve">recent </w:t>
      </w:r>
      <w:r w:rsidRPr="00A32AF9">
        <w:rPr>
          <w:color w:val="000000" w:themeColor="text1"/>
        </w:rPr>
        <w:t xml:space="preserve">empirical genomic research articles </w:t>
      </w:r>
      <w:r w:rsidR="005922CB">
        <w:rPr>
          <w:color w:val="000000" w:themeColor="text1"/>
        </w:rPr>
        <w:t xml:space="preserve">from </w:t>
      </w:r>
      <w:r w:rsidRPr="00A32AF9">
        <w:rPr>
          <w:color w:val="000000" w:themeColor="text1"/>
        </w:rPr>
        <w:t xml:space="preserve">the fields of agriculture/domestication, biodiversity studies, and human health, </w:t>
      </w:r>
      <w:r w:rsidR="005922CB">
        <w:rPr>
          <w:color w:val="000000" w:themeColor="text1"/>
        </w:rPr>
        <w:t xml:space="preserve">and found that </w:t>
      </w:r>
      <w:r w:rsidRPr="00A32AF9">
        <w:rPr>
          <w:color w:val="000000" w:themeColor="text1"/>
        </w:rPr>
        <w:t>the use of crucial and common filters were not mentioned in 17-56% of studies</w:t>
      </w:r>
      <w:r w:rsidR="00FE1D12">
        <w:rPr>
          <w:color w:val="000000" w:themeColor="text1"/>
        </w:rPr>
        <w:t>,</w:t>
      </w:r>
      <w:r w:rsidRPr="00A32AF9">
        <w:rPr>
          <w:color w:val="000000" w:themeColor="text1"/>
        </w:rPr>
        <w:t xml:space="preserve"> depending on the filter (Box 1). Importantly, it </w:t>
      </w:r>
      <w:r w:rsidR="005922CB">
        <w:rPr>
          <w:color w:val="000000" w:themeColor="text1"/>
        </w:rPr>
        <w:t xml:space="preserve">was often </w:t>
      </w:r>
      <w:r w:rsidRPr="00A32AF9">
        <w:rPr>
          <w:color w:val="000000" w:themeColor="text1"/>
        </w:rPr>
        <w:t>not possible to tell if these papers conducted certain filtering steps and simply neglected to mention</w:t>
      </w:r>
      <w:r w:rsidR="005922CB">
        <w:rPr>
          <w:color w:val="000000" w:themeColor="text1"/>
        </w:rPr>
        <w:t xml:space="preserve"> them</w:t>
      </w:r>
      <w:r w:rsidRPr="00A32AF9">
        <w:rPr>
          <w:color w:val="000000" w:themeColor="text1"/>
        </w:rPr>
        <w:t>, or if they skipped the</w:t>
      </w:r>
      <w:r w:rsidR="005922CB">
        <w:rPr>
          <w:color w:val="000000" w:themeColor="text1"/>
        </w:rPr>
        <w:t xml:space="preserve"> filtering steps</w:t>
      </w:r>
      <w:r w:rsidRPr="00A32AF9">
        <w:rPr>
          <w:color w:val="000000" w:themeColor="text1"/>
        </w:rPr>
        <w:t xml:space="preserve"> entirely. Furthermore, even when filters were mentioned, the methodological details used were rarely reported (see Box 1). Among papers that recorded filtering thresholds, the values used ranged several-fold, suggesting limited standardization of filter</w:t>
      </w:r>
      <w:r>
        <w:rPr>
          <w:color w:val="000000" w:themeColor="text1"/>
        </w:rPr>
        <w:t>ing efforts</w:t>
      </w:r>
      <w:r w:rsidRPr="00A32AF9">
        <w:rPr>
          <w:color w:val="000000" w:themeColor="text1"/>
        </w:rPr>
        <w:t>. Qualitatively, we also observed that the vast majority of studies did not provide justifications for their filtering choices</w:t>
      </w:r>
      <w:r>
        <w:rPr>
          <w:color w:val="000000" w:themeColor="text1"/>
        </w:rPr>
        <w:t>,</w:t>
      </w:r>
      <w:r w:rsidRPr="00A32AF9">
        <w:rPr>
          <w:color w:val="000000" w:themeColor="text1"/>
        </w:rPr>
        <w:t xml:space="preserve"> </w:t>
      </w:r>
      <w:r>
        <w:rPr>
          <w:color w:val="000000" w:themeColor="text1"/>
        </w:rPr>
        <w:t xml:space="preserve">often </w:t>
      </w:r>
      <w:r w:rsidRPr="00A32AF9">
        <w:rPr>
          <w:color w:val="000000" w:themeColor="text1"/>
        </w:rPr>
        <w:t>using the default program settings with no further comment</w:t>
      </w:r>
      <w:r w:rsidR="00FE1D12">
        <w:rPr>
          <w:color w:val="000000" w:themeColor="text1"/>
        </w:rPr>
        <w:t>.</w:t>
      </w:r>
      <w:r w:rsidRPr="00A32AF9">
        <w:rPr>
          <w:color w:val="000000" w:themeColor="text1"/>
        </w:rPr>
        <w:t xml:space="preserve"> Our literature review indicates that: 1) no comprehensive sequence data filtering standards</w:t>
      </w:r>
      <w:r w:rsidR="00DE295E">
        <w:rPr>
          <w:color w:val="000000" w:themeColor="text1"/>
        </w:rPr>
        <w:t xml:space="preserve"> or </w:t>
      </w:r>
      <w:r w:rsidRPr="00A32AF9">
        <w:rPr>
          <w:color w:val="000000" w:themeColor="text1"/>
        </w:rPr>
        <w:t>best</w:t>
      </w:r>
      <w:r w:rsidR="00F14815">
        <w:rPr>
          <w:color w:val="000000" w:themeColor="text1"/>
        </w:rPr>
        <w:t xml:space="preserve"> </w:t>
      </w:r>
      <w:r w:rsidRPr="00A32AF9">
        <w:rPr>
          <w:color w:val="000000" w:themeColor="text1"/>
        </w:rPr>
        <w:t xml:space="preserve">practices exist, 2) the impacts of filtering are rarely quantified (and thus are poorly understood), and 3) many published studies are </w:t>
      </w:r>
      <w:r w:rsidR="005922CB">
        <w:rPr>
          <w:color w:val="000000" w:themeColor="text1"/>
        </w:rPr>
        <w:t xml:space="preserve">not </w:t>
      </w:r>
      <w:r w:rsidRPr="00A32AF9">
        <w:rPr>
          <w:color w:val="000000" w:themeColor="text1"/>
        </w:rPr>
        <w:t>reproducible due to insufficien</w:t>
      </w:r>
      <w:r w:rsidR="005922CB">
        <w:rPr>
          <w:color w:val="000000" w:themeColor="text1"/>
        </w:rPr>
        <w:t>t</w:t>
      </w:r>
      <w:r w:rsidRPr="00A32AF9">
        <w:rPr>
          <w:color w:val="000000" w:themeColor="text1"/>
        </w:rPr>
        <w:t xml:space="preserve"> methodological details.</w:t>
      </w:r>
    </w:p>
    <w:p w14:paraId="2449159E" w14:textId="53116CE8" w:rsidR="00AB68AB" w:rsidRDefault="00F30B3E" w:rsidP="009967A2">
      <w:pPr>
        <w:spacing w:before="0" w:after="360"/>
        <w:rPr>
          <w:color w:val="444746"/>
        </w:rPr>
      </w:pPr>
      <w:r>
        <w:t>To help investigators improve their filtering methodologies, we review different strategies for filtering genomic datasets, examine their downstream effects, and provide practical recommendations including a detailed flowchart illustrating a typical order of operations</w:t>
      </w:r>
      <w:r w:rsidR="00C603A0">
        <w:t>. We also provide</w:t>
      </w:r>
      <w:r>
        <w:t xml:space="preserve"> example tables </w:t>
      </w:r>
      <w:r w:rsidR="00F14815">
        <w:t>demonstrating</w:t>
      </w:r>
      <w:r>
        <w:t xml:space="preserve"> how to document filtering steps</w:t>
      </w:r>
      <w:r w:rsidR="00F14815">
        <w:t xml:space="preserve"> </w:t>
      </w:r>
      <w:r>
        <w:t>and a checklist to consult before publication</w:t>
      </w:r>
      <w:r w:rsidR="00EA0876">
        <w:t xml:space="preserve">, which </w:t>
      </w:r>
      <w:r w:rsidR="009A6460">
        <w:t>should</w:t>
      </w:r>
      <w:r w:rsidR="00EA0876">
        <w:t xml:space="preserve"> be useful for both investigators and biology journals</w:t>
      </w:r>
      <w:r w:rsidR="00B46925">
        <w:t>.</w:t>
      </w:r>
    </w:p>
    <w:p w14:paraId="22CF0BFE" w14:textId="77777777" w:rsidR="00AB68AB" w:rsidRDefault="00B167CE" w:rsidP="009967A2">
      <w:pPr>
        <w:spacing w:before="0" w:after="0"/>
        <w:ind w:firstLine="0"/>
        <w:rPr>
          <w:b/>
        </w:rPr>
      </w:pPr>
      <w:r>
        <w:rPr>
          <w:b/>
        </w:rPr>
        <w:lastRenderedPageBreak/>
        <w:t>Common filters: complexity and importance</w:t>
      </w:r>
    </w:p>
    <w:p w14:paraId="7C0BCE96" w14:textId="606BA238" w:rsidR="00AB68AB" w:rsidRDefault="00B167CE" w:rsidP="009967A2">
      <w:pPr>
        <w:spacing w:before="0"/>
        <w:ind w:firstLine="0"/>
      </w:pPr>
      <w:r>
        <w:t xml:space="preserve">Today, </w:t>
      </w:r>
      <w:r w:rsidR="00B46925">
        <w:t xml:space="preserve">investigators </w:t>
      </w:r>
      <w:r>
        <w:t>have many different instrumentation options for obtaining DNA, RNA, and epigenetic sequencing data</w:t>
      </w:r>
      <w:r w:rsidR="00367E56">
        <w:fldChar w:fldCharType="begin"/>
      </w:r>
      <w:r w:rsidR="00367E56">
        <w:instrText xml:space="preserve"> ADDIN ZOTERO_ITEM CSL_CITATION {"citationID":"JzLkl192","properties":{"formattedCitation":"\\super 14,15\\nosupersub{}","plainCitation":"14,15","noteIndex":0},"citationItems":[{"id":5418,"uris":["http://zotero.org/users/10196124/items/HHAFS29K"],"itemData":{"id":5418,"type":"article-journal","abstract":"Genomes represent the starting point of genetic studies. Since the discovery of DNA structure, scientists have devoted great efforts to determine their sequence in an exact way. In this review we provide a comprehensive historical background of the improvements in DNA sequencing technologies that have accompanied the major milestones in genome sequencing and assembly, ranging from early sequencing methods to Next-Generation Sequencing platforms. We then focus on the advantages and challenges of the current technologies and approaches, collectively known as Third Generation Sequencing. As these technical advancements have been accompanied by progress in analytical methods, we also review the bioinformatic tools currently employed in de novo genome assembly, as well as some applications of Third Generation Sequencing technologies and high-quality reference genomes.","container-title":"Computational and Structural Biotechnology Journal","DOI":"10.1016/j.csbj.2019.11.002","ISSN":"2001-0370","journalAbbreviation":"Computational and Structural Biotechnology Journal","page":"9-19","title":"Long walk to genomics: History and current approaches to genome sequencing and assembly","volume":"18","author":[{"family":"Giani","given":"Alice Maria"},{"family":"Gallo","given":"Guido Roberto"},{"family":"Gianfranceschi","given":"Luca"},{"family":"Formenti","given":"Giulio"}],"issued":{"date-parts":[["2020",1,1]]},"citation-key":"gianiLongWalkGenomics2020"}},{"id":5417,"uris":["http://zotero.org/users/10196124/items/KSNQVWFV"],"itemData":{"id":5417,"type":"article-journal","abstract":"Genetic sequencing technologies are evolving at a rapid pace with major implications for research and clinical practice. In this review, the authors provide an updated overview of next-generation sequencing (NGS) and emerging methodologies. NGS has tremendously improved sequencing output while being more time and cost-efficient in comparison to Sanger sequencing. The authors describe short-read sequencing approaches, such as sequencing by synthesis, ion semiconductor sequencing, and nanoball sequencing. Third-generation long-read sequencing now promises to overcome many of the limitations of short-read sequencing, such as the ability to reliably resolve repeat sequences and large genomic rearrangements. By combining complementary methods with massively parallel DNA sequencing, a greater insight into the biological context of disease mechanisms is now possible. Emerging methodologies, such as advances in nanopore technology, in situ nucleic acid sequencing, and microscopy-based sequencing, will continue the rapid evolution of this area. These new technologies hold many potential applications for hematological disorders, with the promise of precision and personalized medical care in the future.","container-title":"Seminars in Thrombosis and Hemostasis","DOI":"10.1055/s-0039-1688446","ISSN":"0094-6176","issue":"07","journalAbbreviation":"Semin Thromb Hemost","language":"EN","note":"edition: 2019/05/16\npublisher: Thieme Medical Publishers","page":"661-673","title":"Next-Generation Sequencing and Emerging Technologies","volume":"45","author":[{"family":"Kumar","given":"Kishore R.; Cowley","suffix":"Mark J.; Davis, Ryan L."}],"issued":{"date-parts":[["2019",10,1]]},"citation-key":"kumarNextGenerationSequencingEmerging2019"}}],"schema":"https://github.com/citation-style-language/schema/raw/master/csl-citation.json"} </w:instrText>
      </w:r>
      <w:r w:rsidR="00367E56">
        <w:fldChar w:fldCharType="separate"/>
      </w:r>
      <w:r w:rsidR="00367E56" w:rsidRPr="00367E56">
        <w:rPr>
          <w:vertAlign w:val="superscript"/>
        </w:rPr>
        <w:t>14,15</w:t>
      </w:r>
      <w:r w:rsidR="00367E56">
        <w:fldChar w:fldCharType="end"/>
      </w:r>
      <w:r>
        <w:t>, which subsequently yield reads of different lengths, configurations (</w:t>
      </w:r>
      <w:r>
        <w:rPr>
          <w:i/>
        </w:rPr>
        <w:t>e.g.,</w:t>
      </w:r>
      <w:r>
        <w:t xml:space="preserve"> single- or paired-end), and qualities</w:t>
      </w:r>
      <w:r w:rsidR="00367E56">
        <w:fldChar w:fldCharType="begin"/>
      </w:r>
      <w:r w:rsidR="00367E56">
        <w:instrText xml:space="preserve"> ADDIN ZOTERO_ITEM CSL_CITATION {"citationID":"P3QTYMew","properties":{"formattedCitation":"\\super 16\\nosupersub{}","plainCitation":"16","noteIndex":0},"citationItems":[{"id":5419,"uris":["http://zotero.org/users/10196124/items/IKC2JAY5"],"itemData":{"id":5419,"type":"article-journal","abstract":"This review commemorates the 40th anniversary of DNA sequencing, a period in which we have already witnessed multiple technological revolutions and a growth in scale from a few kilobases to the first human genome, and now to millions of human and a myriad of other genomes. DNA sequencing has been extensively and creatively repurposed, including as a ‘counter’ for a vast range of molecular phenomena. We predict that in the long view of history, the impact of DNA sequencing will be on a par with that of the microscope.","container-title":"Nature","DOI":"10.1038/nature24286","ISSN":"1476-4687","issue":"7676","journalAbbreviation":"Nature","page":"345-353","title":"DNA sequencing at 40: past, present and future","volume":"550","author":[{"family":"Shendure","given":"Jay"},{"family":"Balasubramanian","given":"Shankar"},{"family":"Church","given":"George M."},{"family":"Gilbert","given":"Walter"},{"family":"Rogers","given":"Jane"},{"family":"Schloss","given":"Jeffery A."},{"family":"Waterston","given":"Robert H."}],"issued":{"date-parts":[["2017",10,1]]},"citation-key":"shendureDNASequencing402017"}}],"schema":"https://github.com/citation-style-language/schema/raw/master/csl-citation.json"} </w:instrText>
      </w:r>
      <w:r w:rsidR="00367E56">
        <w:fldChar w:fldCharType="separate"/>
      </w:r>
      <w:r w:rsidR="00367E56" w:rsidRPr="00367E56">
        <w:rPr>
          <w:vertAlign w:val="superscript"/>
        </w:rPr>
        <w:t>16</w:t>
      </w:r>
      <w:r w:rsidR="00367E56">
        <w:fldChar w:fldCharType="end"/>
      </w:r>
      <w:r>
        <w:t xml:space="preserve">. These sequences are then either aligned back to a </w:t>
      </w:r>
      <w:r>
        <w:rPr>
          <w:b/>
          <w:i/>
        </w:rPr>
        <w:t>reference</w:t>
      </w:r>
      <w:r>
        <w:t xml:space="preserve"> (such as a reference genome or transcriptome), or </w:t>
      </w:r>
      <w:r>
        <w:rPr>
          <w:i/>
        </w:rPr>
        <w:t xml:space="preserve">de novo </w:t>
      </w:r>
      <w:r>
        <w:t>assembled and aligned to consensus sequences (</w:t>
      </w:r>
      <w:r>
        <w:rPr>
          <w:i/>
        </w:rPr>
        <w:t>i.e.</w:t>
      </w:r>
      <w:r>
        <w:t>, contigs or stacks) for subsequent variant calling or analyses</w:t>
      </w:r>
      <w:r w:rsidR="00367E56">
        <w:fldChar w:fldCharType="begin"/>
      </w:r>
      <w:r w:rsidR="00724FF9">
        <w:instrText xml:space="preserve"> ADDIN ZOTERO_ITEM CSL_CITATION {"citationID":"kQWqCHk9","properties":{"formattedCitation":"\\super 17,18\\nosupersub{}","plainCitation":"17,18","noteIndex":0},"citationItems":[{"id":"y5pQWal7/Y3DGZRim","uris":["http://zotero.org/users/local/nWY58Val/items/NWV58CNL"],"itemData":{"id":"ZOwYODyU/BxilrJNE","type":"article-journal","container-title":"Molecular Ecology","issue":"23","note":"publisher: Wiley Online Library","page":"5966–5993","source":"Google Scholar","title":"A beginner's guide to low-coverage whole genome sequencing for population genomics","volume":"30","author":[{"family":"Lou","given":"Runyang Nicolas"},{"family":"Jacobs","given":"Arne"},{"family":"Wilder","given":"Aryn P."},{"family":"Therkildsen","given":"Nina Overgaard"}],"issued":{"date-parts":[["2021"]]}}},{"id":5501,"uris":["http://zotero.org/users/10196124/items/GFH4LVWI"],"itemData":{"id":5501,"type":"article-journal","abstract":"Genetic variant calling from DNA sequencing has enabled understanding of germline variation in hundreds of thousands of humans. Sequencing technologies and variant-calling methods have advanced rapidly, routinely providing reliable variant calls in most of the human genome. We describe how advances in long reads, deep learning, de novo assembly and pangenomes have expanded access to variant calls in increasingly challenging, repetitive genomic regions, including medically relevant regions, and how new benchmark sets and benchmarking methods illuminate their strengths and limitations. Finally, we explore the possible future of more complete characterization of human genome variation in light of the recent completion of a telomere-to-telomere human genome reference assembly and human pangenomes, and we consider the innovations needed to benchmark their newly accessible repetitive regions and complex variants.","container-title":"Nature Reviews Genetics","DOI":"10.1038/s41576-023-00590-0","ISSN":"1471-0064","issue":"7","journalAbbreviation":"Nature Reviews Genetics","page":"464-483","title":"Variant calling and benchmarking in an era of complete human genome sequences","volume":"24","author":[{"family":"Olson","given":"Nathan D."},{"family":"Wagner","given":"Justin"},{"family":"Dwarshuis","given":"Nathan"},{"family":"Miga","given":"Karen H."},{"family":"Sedlazeck","given":"Fritz J."},{"family":"Salit","given":"Marc"},{"family":"Zook","given":"Justin M."}],"issued":{"date-parts":[["2023",7,1]]},"citation-key":"olsonVariantCallingBenchmarking2023"}}],"schema":"https://github.com/citation-style-language/schema/raw/master/csl-citation.json"} </w:instrText>
      </w:r>
      <w:r w:rsidR="00367E56">
        <w:fldChar w:fldCharType="separate"/>
      </w:r>
      <w:r w:rsidR="00367E56" w:rsidRPr="00367E56">
        <w:rPr>
          <w:vertAlign w:val="superscript"/>
        </w:rPr>
        <w:t>17,18</w:t>
      </w:r>
      <w:r w:rsidR="00367E56">
        <w:fldChar w:fldCharType="end"/>
      </w:r>
      <w:r>
        <w:t>. Without some form of reference-guided alignment, downstream analyses can be limited, since it can be difficult to estimate relevant parameters (</w:t>
      </w:r>
      <w:r w:rsidR="001D5E7E" w:rsidRPr="00A702E9">
        <w:rPr>
          <w:i/>
          <w:iCs/>
        </w:rPr>
        <w:t>e.g.</w:t>
      </w:r>
      <w:r w:rsidR="001D5E7E">
        <w:t xml:space="preserve">, </w:t>
      </w:r>
      <w:r>
        <w:t>runs of homozygosity</w:t>
      </w:r>
      <w:r w:rsidR="00367E56">
        <w:fldChar w:fldCharType="begin"/>
      </w:r>
      <w:r w:rsidR="00367E56">
        <w:instrText xml:space="preserve"> ADDIN ZOTERO_ITEM CSL_CITATION {"citationID":"DvlNFwOg","properties":{"formattedCitation":"\\super 19\\nosupersub{}","plainCitation":"19","noteIndex":0},"citationItems":[{"id":5529,"uris":["http://zotero.org/users/10196124/items/GJ9L9W4M"],"itemData":{"id":5529,"type":"article-journal","abstract":"The inheritance of identical haplotypes from a common ancestor creates long tracts of homozygous genotypes known as runs of homozygosity (ROH).ROH are ubiquitous across human populations, and they correlate with pedigree inbreeding. Larger populations have fewer, shorter ROH, whereas isolated or bottlenecked populations have more, somewhat longer ROH. Admixed groups have the fewest ROH, whereas consanguineous communities carry very long ROH. Native American populations have the highest burdens of ROH in the world.ROH can be detected in microarray or whole-genome sequencing (WGS) data, using either observational approaches, for example, that implemented in PLINK, or model-based approaches. Simulations show that PLINK outperforms many other methods.ROH are non-randomly distributed across the genome, being more prevalent in areas of low recombination, but are also concentrated in small regions called ROH islands.Quantitative traits related to stature and cognition have been robustly associated with ROH burden, implying recessive variants contribute to their genetic architecture. Case–control analyses of ROH, on the other hand, appear more easily confounded by socioeconomic or cultural factors.Both megacohorts and special populations are now being used to investigate diverse aspects of the scope and mechanism of inbreeding depression in humans.","container-title":"Nature Reviews Genetics","DOI":"10.1038/nrg.2017.109","ISSN":"1471-0064","issue":"4","journalAbbreviation":"Nature Reviews Genetics","page":"220-234","title":"Runs of homozygosity: windows into population history and trait architecture","volume":"19","author":[{"family":"Ceballos","given":"Francisco C."},{"family":"Joshi","given":"Peter K."},{"family":"Clark","given":"David W."},{"family":"Ramsay","given":"Michèle"},{"family":"Wilson","given":"James F."}],"issued":{"date-parts":[["2018",4,1]]},"citation-key":"ceballosRunsHomozygosityWindows2018"}}],"schema":"https://github.com/citation-style-language/schema/raw/master/csl-citation.json"} </w:instrText>
      </w:r>
      <w:r w:rsidR="00367E56">
        <w:fldChar w:fldCharType="separate"/>
      </w:r>
      <w:r w:rsidR="00367E56" w:rsidRPr="00367E56">
        <w:rPr>
          <w:vertAlign w:val="superscript"/>
        </w:rPr>
        <w:t>19</w:t>
      </w:r>
      <w:r w:rsidR="00367E56">
        <w:fldChar w:fldCharType="end"/>
      </w:r>
      <w:r>
        <w:t>) or determine the genomic context for loci of interest (</w:t>
      </w:r>
      <w:r w:rsidRPr="00A702E9">
        <w:rPr>
          <w:i/>
          <w:iCs/>
        </w:rPr>
        <w:t>e.g.</w:t>
      </w:r>
      <w:r>
        <w:t>, linkage)</w:t>
      </w:r>
      <w:r w:rsidR="00367E56">
        <w:fldChar w:fldCharType="begin"/>
      </w:r>
      <w:r w:rsidR="00367E56">
        <w:instrText xml:space="preserve"> ADDIN ZOTERO_ITEM CSL_CITATION {"citationID":"gYZAvl2n","properties":{"formattedCitation":"\\super 20\\nosupersub{}","plainCitation":"20","noteIndex":0},"citationItems":[{"id":5420,"uris":["http://zotero.org/users/10196124/items/EZW9X7L8"],"itemData":{"id":5420,"type":"article-journal","abstract":"Abstract Genotyping-by-sequencing methods such as RADseq are popular for generating genomic and population-scale data sets from a diverse range of organisms. These often lack a usable reference genome, restricting users to RADseq specific software for processing. However, these come with limitations compared to generic next generation sequencing (NGS) toolkits. Here, we describe and test a simple pipeline for reference-free RADseq data processing that blends de novo elements from STACKS with the full suite of state-of-the art NGS tools. Specifically, we use the de novo RADseq assembly employed by STACKS to create a catalogue of RAD loci that serves as a reference for read mapping, variant calling and site filters. Using RADseq data from 28 zebra sequenced to ~8x depth-of-coverage we evaluate our approach by comparing the site frequency spectra (SFS) to those from alternative pipelines. Most pipelines yielded similar SFS at 8x depth, but only a genotype likelihood based pipeline performed similarly at low sequencing depth (2?4x). We compared the RADseq SFS with medium-depth (~13x) shotgun sequencing of eight overlapping samples, revealing that the RADseq SFS was persistently slightly skewed towards rare and invariant alleles. Using simulations and human data we confirm that this is expected when there is allelic dropout (AD) in the RADseq data. AD in the RADseq data caused a heterozygosity deficit of ~16%, which dropped to ~5% after filtering AD. Hence, AD was the most important source of bias in our RADseq data.","container-title":"Molecular Ecology Resources","DOI":"10.1111/1755-0998.13324","ISSN":"1755-098X","issue":"4","journalAbbreviation":"Molecular Ecology Resources","note":"publisher: John Wiley &amp; Sons, Ltd","page":"1085-1097","title":"A reference-free approach to analyse RADseq data using standard next generation sequencing toolkits","volume":"21","author":[{"family":"Heller","given":"Rasmus"},{"family":"Nursyifa","given":"Casia"},{"family":"Garcia-Erill","given":"Genís"},{"family":"Salmona","given":"Jordi"},{"family":"Chikhi","given":"Lounes"},{"family":"Meisner","given":"Jonas"},{"family":"Korneliussen","given":"Thorfinn Sand"},{"family":"Albrechtsen","given":"Anders"}],"issued":{"date-parts":[["2021",5,1]]},"citation-key":"hellerReferencefreeApproachAnalyse2021"}}],"schema":"https://github.com/citation-style-language/schema/raw/master/csl-citation.json"} </w:instrText>
      </w:r>
      <w:r w:rsidR="00367E56">
        <w:fldChar w:fldCharType="separate"/>
      </w:r>
      <w:r w:rsidR="00367E56" w:rsidRPr="00367E56">
        <w:rPr>
          <w:vertAlign w:val="superscript"/>
        </w:rPr>
        <w:t>20</w:t>
      </w:r>
      <w:r w:rsidR="00367E56">
        <w:fldChar w:fldCharType="end"/>
      </w:r>
      <w:r>
        <w:t xml:space="preserve"> (but see</w:t>
      </w:r>
      <w:r w:rsidR="00367E56">
        <w:fldChar w:fldCharType="begin"/>
      </w:r>
      <w:r w:rsidR="00367E56">
        <w:instrText xml:space="preserve"> ADDIN ZOTERO_ITEM CSL_CITATION {"citationID":"qHtcXvay","properties":{"formattedCitation":"\\super 21\\nosupersub{}","plainCitation":"21","noteIndex":0},"citationItems":[{"id":5422,"uris":["http://zotero.org/users/10196124/items/B5E2KAVG"],"itemData":{"id":5422,"type":"chapter","abstract":"Experiments involving metagenomics data are become increasingly commonplace. Processing such data requires a unique set of considerations. Quality control of metagenomics data is critical to extracting pertinent insights. In this chapter, we outline some considerations in terms of study design and other confounding factors that can often only be realized at the point of data analysis.","container-title":"Metagenomic Data Analysis","event-place":"New York, NY","ISBN":"978-1-07-163072-3","note":"DOI: 10.1007/978-1-0716-3072-3_2","page":"21-54","publisher":"Springer US","publisher-place":"New York, NY","title":"Quality Control in Metagenomics Data","URL":"https://doi.org/10.1007/978-1-0716-3072-3_2","author":[{"family":"Gihawi","given":"Abraham"},{"family":"Cardenas","given":"Ryan"},{"family":"Hurst","given":"Rachel"},{"family":"Brewer","given":"Daniel S."}],"editor":[{"family":"Mitra","given":"Suparna"}],"issued":{"date-parts":[["2023"]]},"citation-key":"gihawiQualityControlMetagenomics2023"}}],"schema":"https://github.com/citation-style-language/schema/raw/master/csl-citation.json"} </w:instrText>
      </w:r>
      <w:r w:rsidR="00367E56">
        <w:fldChar w:fldCharType="separate"/>
      </w:r>
      <w:r w:rsidR="00367E56" w:rsidRPr="00367E56">
        <w:rPr>
          <w:vertAlign w:val="superscript"/>
        </w:rPr>
        <w:t>21</w:t>
      </w:r>
      <w:r w:rsidR="00367E56">
        <w:fldChar w:fldCharType="end"/>
      </w:r>
      <w:r>
        <w:t xml:space="preserve"> and </w:t>
      </w:r>
      <w:r w:rsidR="00367E56">
        <w:fldChar w:fldCharType="begin"/>
      </w:r>
      <w:r w:rsidR="00367E56">
        <w:instrText xml:space="preserve"> ADDIN ZOTERO_ITEM CSL_CITATION {"citationID":"z20x9rgw","properties":{"formattedCitation":"\\super 22\\nosupersub{}","plainCitation":"22","noteIndex":0},"citationItems":[{"id":5423,"uris":["http://zotero.org/users/10196124/items/9PXPDDWJ"],"itemData":{"id":5423,"type":"article-journal","abstract":"Environmental DNA (eDNA) metabarcoding is a novel method of assessing biodiversity wherein samples are taken from the environment via water, sediment or air from which DNA is extracted, and then amplified using general or universal primers in polymerase chain reaction and sequenced using next-generation sequencing to generate thousands to millions of reads. From this data, species presence can be determined, and overall biodiversity assessed. It is an interdisciplinary method that brings together traditional field-based ecology with in-depth molecular methods and advanced computational tools. As an emerging monitoring method, there are many pitfalls and roadblocks to be considered and avoided, but the method may still have the ability to revolutionize modern biodiversity surveys for the molecular era. In this paper, we review the basic methodology, benefits, and concerns of eDNA metabarcoding, and systematically cover the applications of the method in global ecology thus far, including biodiversity monitoring across all habitats and taxonomic groups, ancient ecosystem reconstruction, plant-pollinator interactions, diet analysis, invasive species detection, pollution responses, and air quality monitoring. We also discuss the future applications of the method as well as expected technological advances and how they may impact the way that eDNA metabarcoding may used in the future. eDNA metabarcoding is a unique method still in development and will likely remain in flux for some time as technology advances and procedures become standardized. However, as metabarcoding is optimized and its use becomes more widespread, it is likely to become an essential tool for ecological monitoring and global conservation study.","container-title":"Global Ecology and Conservation","DOI":"10.1016/j.gecco.2019.e00547","ISSN":"2351-9894","journalAbbreviation":"Global Ecology and Conservation","page":"e00547","title":"Past, present, and future perspectives of environmental DNA (eDNA) metabarcoding: A systematic review in methods, monitoring, and applications of global eDNA","volume":"17","author":[{"family":"Ruppert","given":"Krista M."},{"family":"Kline","given":"Richard J."},{"family":"Rahman","given":"Md Saydur"}],"issued":{"date-parts":[["2019",1,1]]},"citation-key":"ruppertPresentFuturePerspectives2019"}}],"schema":"https://github.com/citation-style-language/schema/raw/master/csl-citation.json"} </w:instrText>
      </w:r>
      <w:r w:rsidR="00367E56">
        <w:fldChar w:fldCharType="separate"/>
      </w:r>
      <w:r w:rsidR="00367E56" w:rsidRPr="00367E56">
        <w:rPr>
          <w:vertAlign w:val="superscript"/>
        </w:rPr>
        <w:t>22</w:t>
      </w:r>
      <w:r w:rsidR="00367E56">
        <w:fldChar w:fldCharType="end"/>
      </w:r>
      <w:r>
        <w:t xml:space="preserve"> for best practices in metagenomics and eDNA, respectively). Lacking a quality reference genome therefore represents a challenge for researchers working in non-model systems, where alignments are often made to low quality reference genome assemblies (</w:t>
      </w:r>
      <w:r>
        <w:rPr>
          <w:i/>
        </w:rPr>
        <w:t>e.g</w:t>
      </w:r>
      <w:r>
        <w:t>., high contig counts with low N/L50 scores</w:t>
      </w:r>
      <w:r w:rsidR="00367E56">
        <w:fldChar w:fldCharType="begin"/>
      </w:r>
      <w:r w:rsidR="00367E56">
        <w:instrText xml:space="preserve"> ADDIN ZOTERO_ITEM CSL_CITATION {"citationID":"Id23IxzA","properties":{"formattedCitation":"\\super 23\\nosupersub{}","plainCitation":"23","noteIndex":0},"citationItems":[{"id":5424,"uris":["http://zotero.org/users/10196124/items/JEEIUWG5"],"itemData":{"id":5424,"type":"article-journal","abstract":"As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J."}],"issued":{"date-parts":[["2016",12,1]]},"citation-key":"dafonsecaNextgenerationBiologySequencing2016"}}],"schema":"https://github.com/citation-style-language/schema/raw/master/csl-citation.json"} </w:instrText>
      </w:r>
      <w:r w:rsidR="00367E56">
        <w:fldChar w:fldCharType="separate"/>
      </w:r>
      <w:r w:rsidR="00367E56" w:rsidRPr="00367E56">
        <w:rPr>
          <w:vertAlign w:val="superscript"/>
        </w:rPr>
        <w:t>23</w:t>
      </w:r>
      <w:r w:rsidR="00367E56">
        <w:fldChar w:fldCharType="end"/>
      </w:r>
      <w:r>
        <w:t xml:space="preserve">) or </w:t>
      </w:r>
      <w:r w:rsidR="001D5E7E">
        <w:t xml:space="preserve">even to </w:t>
      </w:r>
      <w:r>
        <w:t>different, often distantly-related species</w:t>
      </w:r>
      <w:r w:rsidR="00367E56">
        <w:fldChar w:fldCharType="begin"/>
      </w:r>
      <w:r w:rsidR="00367E56">
        <w:instrText xml:space="preserve"> ADDIN ZOTERO_ITEM CSL_CITATION {"citationID":"HMQ2Kx4Z","properties":{"formattedCitation":"\\super 24,25\\nosupersub{}","plainCitation":"24,25","noteIndex":0},"citationItems":[{"id":5426,"uris":["http://zotero.org/users/10196124/items/VLHGBPR5"],"itemData":{"id":5426,"type":"article-journal","abstract":"Abstract The advent of high-throughput sequencing (HTS) has made genomic-level analyses feasible for nonmodel organisms. A critical step of many HTS pipelines involves aligning reads to a reference genome to identify variants. Despite recent initiatives, only a fraction of species has publically available reference genomes. Therefore, a common practice is to align reads to the genome of an organism related to the target species; however, this could affect read alignment and bias genotyping. In this study, I conducted an experiment using empirical RADseq datasets generated for two species of salmonids (Actinopterygii; Teleostei; Salmonidae) to address these questions. There are currently reference genomes for six salmonids of varying phylogenetic distance. I aligned the RADseq data to all six genomes and identified variants with several different genotypers, which were then fed into population genetic analyses. Increasing phylogenetic distance between target species and reference genome reduced the proportion of reads that successfully aligned and mapping quality. Reference genome also influenced the number of SNPs that were generated and depth at those SNPs, although the affect varied by genotyper. Inferences of population structure were mixed: increasing reference genome divergence reduced estimates of differentiation but similar patterns of population relationships were found across scenarios. These findings reveal how the choice of reference genome can influence the output of bioinformatic pipelines. It also emphasizes the need to identify best practices and guidelines for the burgeoning field of biodiversity genomics.","container-title":"Ecology and Evolution","DOI":"10.1002/ece3.6483","ISSN":"2045-7758","issue":"14","journalAbbreviation":"Ecology and Evolution","note":"publisher: John Wiley &amp; Sons, Ltd","page":"7585-7601","title":"Evaluating the effect of reference genome divergence on the analysis of empirical RADseq datasets","volume":"10","author":[{"family":"Bohling","given":"Justin"}],"issued":{"date-parts":[["2020",7,1]]},"citation-key":"bohlingEvaluatingEffectReference2020"}},{"id":5425,"uris":["http://zotero.org/users/10196124/items/GDKK4NJ2"],"itemData":{"id":5425,"type":"article-journal","abstract":"Author summary Mapping consists in the alignment of reads (i.e., DNA fragments) obtained through high-throughput genome sequencing to a previously assembled reference sequence. It is a common practice in genomic studies to use a single reference for mapping, usually the ‘reference genome’ of a species—a high-quality assembly. However, the selection of an optimal reference is hindered by intrinsic intra-species genetic variability, particularly in bacteria. It is known that genetic differences between the reference genome and the read sequences may produce incorrect alignments during mapping. Eventually, these errors could lead to misidentification of variants and biased reconstruction of phylogenetic trees (which reflect ancestry between different bacterial lineages). To our knowledge, this is the first work to systematically examine the effect of different references for mapping on the inference of tree topology as well as the impact on recombination and natural selection inferences. Furthermore, the novelty of this work relies on a procedure that guarantees that we are evaluating only the effect of the reference. This effect has proved to be pervasive in the five bacterial species that we have studied and, in some cases, alterations in phylogenetic trees could lead to incorrect epidemiological inferences. Hence, the use of different reference genomes may be prescriptive to assess the potential biases of mapping.","container-title":"PLOS Computational Biology","DOI":"10.1371/journal.pcbi.1008678","issue":"1","journalAbbreviation":"PLOS Computational Biology","note":"publisher: Public Library of Science","page":"e1008678","title":"One is not enough: On the effects of reference genome for the mapping and subsequent analyses of short-reads","volume":"17","author":[{"family":"Valiente-Mullor","given":"Carlos"},{"family":"Beamud","given":"Beatriz"},{"family":"Ansari","given":"Iván"},{"family":"Francés-Cuesta","given":"Carlos"},{"family":"García-González","given":"Neris"},{"family":"Mejía","given":"Lorena"},{"family":"Ruiz-Hueso","given":"Paula"},{"family":"González-Candelas","given":"Fernando"}],"issued":{"date-parts":[["2021",1,27]]},"citation-key":"valiente-mullorOneNotEnough2021"}}],"schema":"https://github.com/citation-style-language/schema/raw/master/csl-citation.json"} </w:instrText>
      </w:r>
      <w:r w:rsidR="00367E56">
        <w:fldChar w:fldCharType="separate"/>
      </w:r>
      <w:r w:rsidR="00367E56" w:rsidRPr="00367E56">
        <w:rPr>
          <w:vertAlign w:val="superscript"/>
        </w:rPr>
        <w:t>24,25</w:t>
      </w:r>
      <w:r w:rsidR="00367E56">
        <w:fldChar w:fldCharType="end"/>
      </w:r>
      <w:r>
        <w:t xml:space="preserve">. Given these many challenges and technical limitations, errors are always introduced to some degree during both sequencing and alignment, </w:t>
      </w:r>
      <w:r w:rsidR="00BF731D">
        <w:t xml:space="preserve">and these errors </w:t>
      </w:r>
      <w:r>
        <w:t xml:space="preserve">must be </w:t>
      </w:r>
      <w:r w:rsidR="00BF731D">
        <w:t xml:space="preserve">accommodated </w:t>
      </w:r>
      <w:r>
        <w:t>– usually via filtering – to avoid downstream bias.</w:t>
      </w:r>
    </w:p>
    <w:p w14:paraId="6C013CFC" w14:textId="2FE49DCD" w:rsidR="00AB68AB" w:rsidRDefault="00B167CE" w:rsidP="009967A2">
      <w:pPr>
        <w:spacing w:before="0"/>
        <w:ind w:firstLine="0"/>
      </w:pPr>
      <w:r>
        <w:t xml:space="preserve"> </w:t>
      </w:r>
      <w:r w:rsidR="001D5E7E">
        <w:tab/>
      </w:r>
      <w:r>
        <w:t>Many types of population genetic or statistical analyses should be conducted only after applying specific filters, and the results from certain analyses can suggest the need for additional or modified filtering strategies. For example, unexpected results from exploratory methods such as a principal component analysis (PCA) can be indicative of experimental or laboratory errors (</w:t>
      </w:r>
      <w:r w:rsidRPr="00A702E9">
        <w:rPr>
          <w:i/>
          <w:iCs/>
        </w:rPr>
        <w:t>e.g.</w:t>
      </w:r>
      <w:r>
        <w:t>, mislabeling), sequencing bias, sex-linked loci, selection, or other phenomena</w:t>
      </w:r>
      <w:r w:rsidR="00367E56">
        <w:fldChar w:fldCharType="begin"/>
      </w:r>
      <w:r w:rsidR="00367E56">
        <w:instrText xml:space="preserve"> ADDIN ZOTERO_ITEM CSL_CITATION {"citationID":"phNMZYLm","properties":{"formattedCitation":"\\super 26\\uc0\\u8211{}28\\nosupersub{}","plainCitation":"26–28","noteIndex":0},"citationItems":[{"id":5503,"uris":["http://zotero.org/users/10196124/items/VRCXQLTN"],"itemData":{"id":5503,"type":"article-journal","abstract":"Abstract Aim Genotyping-by-sequencing (GBS) and similar reduced-representation sequencing methods, such as restriction site-associated DNA sequencing (RADseq), have been revolutionary for genetic analyses in biogeography. However, navigating the many different methodological and analytical approaches and numerous sources of potential error can be overwhelming. We provide an overview of key considerations for biogeographical research using GBS, from sample design through data filtering to the sharing of data, which should particularly assist new users. Taxon All taxa. Location Worldwide. Methods We review recent advances for GBS and compare differences among GBS methods and analytical approaches. We highlight the concerns most relevant for biogeographical research, and emphasise practical limitations for studies on non-model organisms. Results GBS methods vary substantially and recent literature demonstrates the need for careful study design and data filtering relevant to the study organism and hypothesis under investigation. Biogeographical research using non-model organisms or long-term sampling are likely to face some practical limitations compared to ideal GBS study designs. The methodological information recorded in published manuscripts often varies. We outline a general framework for planning and undertaking biogeographical research using GBS. Main conclusions GBS and similar approaches have grown rapidly in popularity for biogeographical research. Evaluating, recording and justifying decisions throughout a GBS workflow?across sampling, library preparation and sequencing, identifying and filtering samples and loci, biogeographical analyses, and sharing data?is crucial for improving scientific reproducibility and compatibility among GBS datasets. This review outlines ways to improve and simplify GBS research, thereby enhancing our capacity to use genomic data to address broad-scale biogeographical questions.","container-title":"Journal of Biogeography","DOI":"10.1111/jbi.14516","ISSN":"0305-0270","issue":"2","journalAbbreviation":"Journal of Biogeography","note":"publisher: John Wiley &amp; Sons, Ltd","page":"262-281","title":"Genotyping-by-sequencing for biogeography","volume":"50","author":[{"family":"Vaux","given":"Felix"},{"family":"Dutoit","given":"Ludovic"},{"family":"Fraser","given":"Ceridwen I."},{"family":"Waters","given":"Jonathan M."}],"issued":{"date-parts":[["2023",2,1]]},"citation-key":"vauxGenotypingbysequencingBiogeography2023"}},{"id":5502,"uris":["http://zotero.org/users/10196124/items/S3AD4Q2E"],"itemData":{"id":5502,"type":"article-journal","abstract":"Using the data provided by the Drosophila Population Genomics Project, we investigate factors that affect the genetic differentiation between Rwandan and French populations of D. melanogaster. By examining within-population polymorphisms, we show that sites in long introns (especially those &gt;2000 bp) have significantly lower π (nucleotide diversity) and more low-frequency variants (as measured by Tajima's D, minor allele frequencies, and prevalence of variants that are private to one of the two populations) than short introns, suggesting a positive relationship between intron length and selective constraint. A similar analysis of protein-coding polymorphisms shows that 0-fold (degenerate) sites in more conserved genes are under stronger purifying selection than those in less conserved genes. There is limited evidence that selection on codon bias has an effect on differentiation (as measured by FST) at 4-fold (degenerate) sites, and 4-fold sites and sites in 8–30 bp of short introns </w:instrText>
      </w:r>
      <w:r w:rsidR="00367E56">
        <w:rPr>
          <w:rFonts w:ascii="Cambria Math" w:hAnsi="Cambria Math" w:cs="Cambria Math"/>
        </w:rPr>
        <w:instrText>⩽</w:instrText>
      </w:r>
      <w:r w:rsidR="00367E56">
        <w:instrText xml:space="preserve">65 bp have comparable FST values. Consistent with the expected effect of purifying selection, sites in long introns and 0-fold sites in conserved genes are less differentiated than those in short introns and less conserved genes, respectively. Genes in non-crossover regions (for example, the fourth chromosome) have very high FST values at both 0-fold and 4-fold degenerate sites, which is probably because of the large reduction in within-population diversity caused by tight linkage between many selected sites. Our analyses also reveal subtle statistical properties of FST, which arise when information from multiple single nucleotide polymorphisms is combined and can lead to the masking of important signals of selection.","container-title":"Heredity","DOI":"10.1038/hdy.2014.80","ISSN":"1365-2540","issue":"2","journalAbbreviation":"Heredity","page":"163-174","title":"The effects of purifying selection on patterns of genetic differentiation between Drosophila melanogaster populations","volume":"114","author":[{"family":"Jackson","given":"B C"},{"family":"Campos","given":"J L"},{"family":"Zeng","given":"K."}],"issued":{"date-parts":[["2015",2,1]]},"citation-key":"jacksonEffectsPurifyingSelection2015"}},{"id":5505,"uris":["http://zotero.org/users/10196124/items/EYCLMH7S"],"itemData":{"id":5505,"type":"article-journal","abstract":"Genome typing is the simultaneous genotyping of tens to hundreds of marker loci from across the genome in a single or few experiments (for example, by PCR amplification).The population-genomics approach of genome typing followed by testing for outlier loci can identify candidate-selected loci and improve inferences about population demographic and evolutionary history.Outlier loci (for example, loci with excessively high Fst, Fis or homozygosity excess) can severely bias estimates of population parameters (for example, Fst, migration rates (Nm), population size and phylogeny) if they are not identified and removed before parameter estimation.Genome typing is becoming increasingly feasible, even in non-model taxa, thanks to new molecular techniques such as DArT (microarrays), gene-targeted AFLP and expressed sequence tag (EST) databases.Improved statistical methodologies such as 'summary statistics' will facilitate analyses of large population-genomic data sets.Statistical tests and software programs for detecting outlier loci and analysing population-genomic data are becoming increasingly available; nonetheless, the development and validation of tests and software is the greatest impediment to the advancement of population-genomic approaches.The population-genomics paradigm can facilitate biodiversity conservation through rapid biodiversity screening, identifying appropriate populations for translocations (to rescue declining populations) and focusing conservation efforts on preserving processes of evolution (adaptive change).This review focuses largely on non-model organisms, natural populations and biodiversity conservation, and therefore complements recent reviews of population-genomic approaches in medical genomics and pharmacogenomics in humans and model organisms.","container-title":"Nature Reviews Genetics","DOI":"10.1038/nrg1226","ISSN":"1471-0064","issue":"12","journalAbbreviation":"Nature Reviews Genetics","page":"981-994","title":"The power and promise of population genomics: from genotyping to genome typing","volume":"4","author":[{"family":"Luikart","given":"Gordon"},{"family":"England","given":"Phillip R."},{"family":"Tallmon","given":"David"},{"family":"Jordan","given":"Steve"},{"family":"Taberlet","given":"Pierre"}],"issued":{"date-parts":[["2003",12,1]]},"citation-key":"luikartPowerPromisePopulation2003"}}],"schema":"https://github.com/citation-style-language/schema/raw/master/csl-citation.json"} </w:instrText>
      </w:r>
      <w:r w:rsidR="00367E56">
        <w:fldChar w:fldCharType="separate"/>
      </w:r>
      <w:r w:rsidR="00367E56" w:rsidRPr="00367E56">
        <w:rPr>
          <w:vertAlign w:val="superscript"/>
        </w:rPr>
        <w:t>26–28</w:t>
      </w:r>
      <w:r w:rsidR="00367E56">
        <w:fldChar w:fldCharType="end"/>
      </w:r>
      <w:r>
        <w:t xml:space="preserve"> and thereby suggest the need for further filtering steps. Thus, the process of filtering begins </w:t>
      </w:r>
      <w:r>
        <w:lastRenderedPageBreak/>
        <w:t>immediately after sequence data collection and typically may not end until all analyses are completed. An exhaustive list of filters, their descriptions, and the typical stage in the workflow where they are applied can be found in Table 1.</w:t>
      </w:r>
    </w:p>
    <w:p w14:paraId="068D905A" w14:textId="178BB7CD" w:rsidR="00AB68AB" w:rsidRDefault="00B167CE" w:rsidP="009967A2">
      <w:pPr>
        <w:spacing w:before="0" w:after="360"/>
      </w:pPr>
      <w:r>
        <w:t xml:space="preserve">In this section, we introduce and review several of the filters that often have the largest downstream effects. Specifically, we discuss filters for: read and mapping quality, </w:t>
      </w:r>
      <w:r>
        <w:rPr>
          <w:b/>
          <w:i/>
        </w:rPr>
        <w:t>read depth</w:t>
      </w:r>
      <w:r>
        <w:t xml:space="preserve">, </w:t>
      </w:r>
      <w:r>
        <w:rPr>
          <w:b/>
          <w:i/>
        </w:rPr>
        <w:t>missing data</w:t>
      </w:r>
      <w:r>
        <w:t xml:space="preserve">, </w:t>
      </w:r>
      <w:r w:rsidRPr="00A702E9">
        <w:rPr>
          <w:b/>
          <w:bCs/>
          <w:i/>
          <w:iCs/>
        </w:rPr>
        <w:t>M</w:t>
      </w:r>
      <w:r w:rsidR="007E6284">
        <w:rPr>
          <w:b/>
          <w:bCs/>
          <w:i/>
          <w:iCs/>
        </w:rPr>
        <w:t>inor Allele Frequency (M</w:t>
      </w:r>
      <w:r w:rsidRPr="00A702E9">
        <w:rPr>
          <w:b/>
          <w:bCs/>
          <w:i/>
          <w:iCs/>
        </w:rPr>
        <w:t>AF</w:t>
      </w:r>
      <w:r w:rsidR="007E6284">
        <w:rPr>
          <w:b/>
          <w:bCs/>
          <w:i/>
          <w:iCs/>
        </w:rPr>
        <w:t>)</w:t>
      </w:r>
      <w:r w:rsidRPr="00A702E9">
        <w:rPr>
          <w:b/>
          <w:bCs/>
          <w:i/>
          <w:iCs/>
        </w:rPr>
        <w:t>/</w:t>
      </w:r>
      <w:r>
        <w:rPr>
          <w:b/>
          <w:i/>
        </w:rPr>
        <w:t>Minor allele Count (MAC)</w:t>
      </w:r>
      <w:r>
        <w:t xml:space="preserve">, </w:t>
      </w:r>
      <w:r>
        <w:rPr>
          <w:b/>
          <w:i/>
        </w:rPr>
        <w:t>Hardy-Weinberg proportions</w:t>
      </w:r>
      <w:r>
        <w:t xml:space="preserve">, and </w:t>
      </w:r>
      <w:r>
        <w:rPr>
          <w:b/>
          <w:i/>
        </w:rPr>
        <w:t>linkage disequilibrium</w:t>
      </w:r>
      <w:r>
        <w:t>. These filters can be generally divided into two sequential categories: pre-variant filtering (</w:t>
      </w:r>
      <w:r>
        <w:rPr>
          <w:i/>
        </w:rPr>
        <w:t>e.g.</w:t>
      </w:r>
      <w:r>
        <w:t>, read/mapping quality and read depth) and post-variant filtering (</w:t>
      </w:r>
      <w:r>
        <w:rPr>
          <w:i/>
        </w:rPr>
        <w:t>e.g.</w:t>
      </w:r>
      <w:r>
        <w:t>, minor allele counts, MAF/MAC, missing data; see Table 1). Pre- and post-variant stages generally coincide with pre- and post-VCF-file stages (or genotyping).</w:t>
      </w:r>
    </w:p>
    <w:p w14:paraId="7FE78975" w14:textId="77777777" w:rsidR="00AB68AB" w:rsidRDefault="00B167CE" w:rsidP="009967A2">
      <w:pPr>
        <w:spacing w:before="0" w:after="0"/>
        <w:ind w:firstLine="0"/>
        <w:rPr>
          <w:i/>
        </w:rPr>
      </w:pPr>
      <w:r>
        <w:rPr>
          <w:i/>
        </w:rPr>
        <w:t>Pre-variant filtering:</w:t>
      </w:r>
    </w:p>
    <w:p w14:paraId="7091599E" w14:textId="79B84145" w:rsidR="00AB68AB" w:rsidRDefault="00B167CE" w:rsidP="009967A2">
      <w:pPr>
        <w:spacing w:before="0"/>
        <w:ind w:firstLine="0"/>
      </w:pPr>
      <w:r>
        <w:t xml:space="preserve">Prior to </w:t>
      </w:r>
      <w:r>
        <w:rPr>
          <w:b/>
          <w:i/>
        </w:rPr>
        <w:t>de novo assembly</w:t>
      </w:r>
      <w:r>
        <w:rPr>
          <w:b/>
        </w:rPr>
        <w:t xml:space="preserve"> </w:t>
      </w:r>
      <w:r>
        <w:t xml:space="preserve">or alignment to a </w:t>
      </w:r>
      <w:r>
        <w:rPr>
          <w:b/>
          <w:i/>
        </w:rPr>
        <w:t>reference</w:t>
      </w:r>
      <w:r>
        <w:t xml:space="preserve">, </w:t>
      </w:r>
      <w:r w:rsidR="002C2EEA">
        <w:t xml:space="preserve">data </w:t>
      </w:r>
      <w:r>
        <w:t>are usually filtered via the removal of low-quality reads (see Table 1). This initial filtering may have downstream effects, and researchers across disciplines often use different and potentially arbitrary definitions of what constitutes a low-quality read (see Box 1). Low-quality reads can also be removed during the process of alignment itself, since different alignment algorithms can prevent sequences from mapping back to a reference if their quality scores are below user-defined thresholds</w:t>
      </w:r>
      <w:r w:rsidR="00367E56">
        <w:fldChar w:fldCharType="begin"/>
      </w:r>
      <w:r w:rsidR="00367E56">
        <w:instrText xml:space="preserve"> ADDIN ZOTERO_ITEM CSL_CITATION {"citationID":"g5L0rtHY","properties":{"formattedCitation":"\\super 29\\uc0\\u8211{}31\\nosupersub{}","plainCitation":"29–31","noteIndex":0},"citationItems":[{"id":5429,"uris":["http://zotero.org/users/10196124/items/GC4BGQB4"],"itemData":{"id":5429,"type":"article-journal","abstract":"The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L"}],"issued":{"date-parts":[["2012",4,1]]},"citation-key":"langmeadFastGappedreadAlignment2012"}},{"id":2246,"uris":["http://zotero.org/users/10196124/items/5BXSPTMW"],"itemData":{"id":2246,"type":"article-journal","abstract":"MOTIVATION: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http://maq.sourceforge.net.","container-title":"Bioinformatics (Oxford, England)","DOI":"10.1093/bioinformatics/btp324","ISSN":"1367-4811","issue":"14","language":"eng","note":"publisher: Oxford University Press\nCitation Key: Li2009a","page":"1754-1760","title":"Fast and accurate short read alignment with Burrows-Wheeler transform","volume":"25","author":[{"family":"Li","given":"Heng"},{"family":"Durbin","given":"Richard"}],"issued":{"date-parts":[["2009",7,15]]},"citation-key":"Li2009a"}},{"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367E56">
        <w:fldChar w:fldCharType="separate"/>
      </w:r>
      <w:r w:rsidR="00367E56" w:rsidRPr="00367E56">
        <w:rPr>
          <w:vertAlign w:val="superscript"/>
        </w:rPr>
        <w:t>29–31</w:t>
      </w:r>
      <w:r w:rsidR="00367E56">
        <w:fldChar w:fldCharType="end"/>
      </w:r>
      <w:r>
        <w:t>.</w:t>
      </w:r>
    </w:p>
    <w:p w14:paraId="1327F604" w14:textId="3B4F4067" w:rsidR="00AB68AB" w:rsidRDefault="00B167CE" w:rsidP="009967A2">
      <w:pPr>
        <w:spacing w:before="0"/>
      </w:pPr>
      <w:r>
        <w:t>Conversely, high-quality reads may also be excluded if the reference does not contain the sequence or if their sequence is highly repetitive (</w:t>
      </w:r>
      <w:r w:rsidRPr="00A702E9">
        <w:rPr>
          <w:i/>
          <w:iCs/>
        </w:rPr>
        <w:t>e.g.</w:t>
      </w:r>
      <w:r>
        <w:t>, transposable elements) or found in multiple genomic locations (</w:t>
      </w:r>
      <w:r>
        <w:rPr>
          <w:i/>
        </w:rPr>
        <w:t>e.g.</w:t>
      </w:r>
      <w:r>
        <w:t xml:space="preserve">, paralogs; see Figure 1A). To aid reviewers and other researchers in understanding the impacts of these filtering decisions, investigators should always </w:t>
      </w:r>
      <w:r>
        <w:lastRenderedPageBreak/>
        <w:t>report: 1) the percentage of reads that were removed prior to alignment and 2) the percentage of reads that mapped successfully and uniquely (to one location) on the reference.</w:t>
      </w:r>
    </w:p>
    <w:p w14:paraId="7F15B56A" w14:textId="11B5A56E" w:rsidR="00AB68AB" w:rsidRDefault="00B167CE" w:rsidP="009967A2">
      <w:pPr>
        <w:spacing w:before="0" w:after="360"/>
      </w:pPr>
      <w:r>
        <w:t>Reporting these statistics can help reviewers assess the quality of the data underlying the study and allow future investigators to determine whether alternative filtering could address additional questions (</w:t>
      </w:r>
      <w:r>
        <w:rPr>
          <w:i/>
        </w:rPr>
        <w:t>e.g</w:t>
      </w:r>
      <w:r>
        <w:t xml:space="preserve">., re-filtering to </w:t>
      </w:r>
      <w:r w:rsidR="00F14815" w:rsidRPr="00F14815">
        <w:t>not remove reads that map to multiple locations</w:t>
      </w:r>
      <w:r w:rsidR="00F14815">
        <w:t xml:space="preserve"> </w:t>
      </w:r>
      <w:r>
        <w:t xml:space="preserve">could identify paralogous loci or transposable elements). Note, however, that even a </w:t>
      </w:r>
      <w:r>
        <w:rPr>
          <w:b/>
          <w:i/>
        </w:rPr>
        <w:t xml:space="preserve">strong alignment </w:t>
      </w:r>
      <w:r>
        <w:t xml:space="preserve">of putatively high-quality reads does not always mean a </w:t>
      </w:r>
      <w:r>
        <w:rPr>
          <w:i/>
        </w:rPr>
        <w:t>correct alignment,</w:t>
      </w:r>
      <w:r>
        <w:t xml:space="preserve"> since reference bias</w:t>
      </w:r>
      <w:r w:rsidR="00367E56">
        <w:fldChar w:fldCharType="begin"/>
      </w:r>
      <w:r w:rsidR="00367E56">
        <w:instrText xml:space="preserve"> ADDIN ZOTERO_ITEM CSL_CITATION {"citationID":"Obog40ix","properties":{"formattedCitation":"\\super 32\\nosupersub{}","plainCitation":"32","noteIndex":0},"citationItems":[{"id":5430,"uris":["http://zotero.org/users/10196124/items/W8PZPY6R"],"itemData":{"id":5430,"type":"article-journal","abstract":"Most sequencing data analyses start by aligning sequencing reads to a linear reference genome, but failure to account for genetic variation leads to reference bias and confounding of results downstream. Other approaches replace the linear reference with structures like graphs that can include genetic variation, incurring major computational overhead. We propose the reference flow alignment method that uses multiple population reference genomes to improve alignment accuracy and reduce reference bias. Compared to the graph aligner vg, reference flow achieves a similar level of accuracy and bias avoidance but with 14% of the memory footprint and 5.5 times the speed.","container-title":"Genome Biology","DOI":"10.1186/s13059-020-02229-3","ISSN":"1474-760X","issue":"1","journalAbbreviation":"Genome Biology","page":"8","title":"Reference flow: reducing reference bias using multiple population genomes","volume":"22","author":[{"family":"Chen","given":"Nae-Chyun"},{"family":"Solomon","given":"Brad"},{"family":"Mun","given":"Taher"},{"family":"Iyer","given":"Sheila"},{"family":"Langmead","given":"Ben"}],"issued":{"date-parts":[["2021",1,4]]},"citation-key":"chenReferenceFlowReducing2021"}}],"schema":"https://github.com/citation-style-language/schema/raw/master/csl-citation.json"} </w:instrText>
      </w:r>
      <w:r w:rsidR="00367E56">
        <w:fldChar w:fldCharType="separate"/>
      </w:r>
      <w:r w:rsidR="00367E56" w:rsidRPr="00367E56">
        <w:rPr>
          <w:vertAlign w:val="superscript"/>
        </w:rPr>
        <w:t>32</w:t>
      </w:r>
      <w:r w:rsidR="00367E56">
        <w:fldChar w:fldCharType="end"/>
      </w:r>
      <w:r>
        <w:t>, genome assembly errors</w:t>
      </w:r>
      <w:r w:rsidR="00367E56">
        <w:fldChar w:fldCharType="begin"/>
      </w:r>
      <w:r w:rsidR="00367E56">
        <w:instrText xml:space="preserve"> ADDIN ZOTERO_ITEM CSL_CITATION {"citationID":"auOolJ9W","properties":{"formattedCitation":"\\super 33\\nosupersub{}","plainCitation":"33","noteIndex":0},"citationItems":[{"id":5431,"uris":["http://zotero.org/users/10196124/items/8WSE5RY9"],"itemData":{"id":5431,"type":"article-journal","abstract":"High-quality and complete reference genome assemblies are fundamental for the application of genomics to biology, disease, and biodiversity conservation. However, such assemblies are available for only a few non-microbial species1–4. To address this issue, the international Genome 10K (G10K) consortium5,6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sciences.","container-title":"Nature","DOI":"10.1038/s41586-021-03451-0","ISSN":"1476-4687","issue":"7856","journalAbbreviation":"Nature","page":"737-746","title":"Towards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D."}],"issued":{"date-parts":[["2021",4,1]]},"citation-key":"rhieCompleteErrorfreeGenome2021"}}],"schema":"https://github.com/citation-style-language/schema/raw/master/csl-citation.json"} </w:instrText>
      </w:r>
      <w:r w:rsidR="00367E56">
        <w:fldChar w:fldCharType="separate"/>
      </w:r>
      <w:r w:rsidR="00367E56" w:rsidRPr="00367E56">
        <w:rPr>
          <w:vertAlign w:val="superscript"/>
        </w:rPr>
        <w:t>33</w:t>
      </w:r>
      <w:r w:rsidR="00367E56">
        <w:fldChar w:fldCharType="end"/>
      </w:r>
      <w:r>
        <w:t xml:space="preserve">, </w:t>
      </w:r>
      <w:r>
        <w:rPr>
          <w:b/>
          <w:i/>
        </w:rPr>
        <w:t>structural variants</w:t>
      </w:r>
      <w:r w:rsidR="00367E56">
        <w:fldChar w:fldCharType="begin"/>
      </w:r>
      <w:r w:rsidR="00367E56">
        <w:instrText xml:space="preserve"> ADDIN ZOTERO_ITEM CSL_CITATION {"citationID":"Ojexplls","properties":{"formattedCitation":"\\super 34\\nosupersub{}","plainCitation":"34","noteIndex":0},"citationItems":[{"id":5432,"uris":["http://zotero.org/users/10196124/items/558QXEYD"],"itemData":{"id":5432,"type":"article-journal","abstract":"Identifying structural variation (SV) is essential for genome interpretation but has been historically difficult due to limitations inherent to available genome technologies. Detection methods that use ensemble algorithms and emerging sequencing technologies have enabled the discovery of thousands of SVs, uncovering information about their ubiquity, relationship to disease and possible effects on biological mechanisms. Given the variability in SV type and size, along with unique detection biases of emerging genomic platforms, multiplatform discovery is necessary to resolve the full spectrum of variation. Here, we review modern approaches for investigating SVs and proffer that, moving forwards, studies integrating biological information with detection will be necessary to comprehensively understand the impact of SV in the human genome.","container-title":"Nature Reviews Genetics","DOI":"10.1038/s41576-019-0180-9","ISSN":"1471-0064","issue":"3","journalAbbreviation":"Nature Reviews Genetics","page":"171-189","title":"Structural variation in the sequencing era","volume":"21","author":[{"family":"Ho","given":"Steve S."},{"family":"Urban","given":"Alexander E."},{"family":"Mills","given":"Ryan E."}],"issued":{"date-parts":[["2020",3,1]]},"citation-key":"hoStructuralVariationSequencing2020"}}],"schema":"https://github.com/citation-style-language/schema/raw/master/csl-citation.json"} </w:instrText>
      </w:r>
      <w:r w:rsidR="00367E56">
        <w:fldChar w:fldCharType="separate"/>
      </w:r>
      <w:r w:rsidR="00367E56" w:rsidRPr="00367E56">
        <w:rPr>
          <w:vertAlign w:val="superscript"/>
        </w:rPr>
        <w:t>34</w:t>
      </w:r>
      <w:r w:rsidR="00367E56">
        <w:fldChar w:fldCharType="end"/>
      </w:r>
      <w:r>
        <w:t>, and challenging alignments (</w:t>
      </w:r>
      <w:r>
        <w:rPr>
          <w:i/>
        </w:rPr>
        <w:t>e.g.</w:t>
      </w:r>
      <w:r>
        <w:t>, transposable elements</w:t>
      </w:r>
      <w:r w:rsidR="00367E56">
        <w:fldChar w:fldCharType="begin"/>
      </w:r>
      <w:r w:rsidR="00367E56">
        <w:instrText xml:space="preserve"> ADDIN ZOTERO_ITEM CSL_CITATION {"citationID":"PVfxhkFi","properties":{"formattedCitation":"\\super 35\\nosupersub{}","plainCitation":"35","noteIndex":0},"citationItems":[{"id":5433,"uris":["http://zotero.org/users/10196124/items/8XCCVVCD"],"itemData":{"id":5433,"type":"article-journal","abstract":"Sequencing technology and assembly algorithms have matured to the point that high-quality de novo assembly is possible for large, repetitive genomes. Current assemblies traverse transposable elements (TEs) and provide an opportunity for comprehensive annotation of TEs. Numerous methods exist for annotation of each class of TEs, but their relative performances have not been systematically compared. Moreover, a comprehensive pipeline is needed to produce a non-redundant library of TEs for species lacking this resource to generate whole-genome TE annotations.","container-title":"Genome Biology","DOI":"10.1186/s13059-019-1905-y","ISSN":"1474-760X","issue":"1","journalAbbreviation":"Genome Biology","page":"275","title":"Benchmarking transposable element annotation methods for creation of a streamlined, comprehensive pipeline","volume":"20","author":[{"family":"Ou","given":"Shujun"},{"family":"Su","given":"Weija"},{"family":"Liao","given":"Yi"},{"family":"Chougule","given":"Kapeel"},{"family":"Agda","given":"Jireh R. A."},{"family":"Hellinga","given":"Adam J."},{"family":"Lugo","given":"Carlos Santiago Blanco"},{"family":"Elliott","given":"Tyler A."},{"family":"Ware","given":"Doreen"},{"family":"Peterson","given":"Thomas"},{"family":"Jiang","given":"Ning"},{"family":"Hirsch","given":"Candice N."},{"family":"Hufford","given":"Matthew B."}],"issued":{"date-parts":[["2019",12,16]]},"citation-key":"ouBenchmarkingTransposableElement2019"}}],"schema":"https://github.com/citation-style-language/schema/raw/master/csl-citation.json"} </w:instrText>
      </w:r>
      <w:r w:rsidR="00367E56">
        <w:fldChar w:fldCharType="separate"/>
      </w:r>
      <w:r w:rsidR="00367E56" w:rsidRPr="00367E56">
        <w:rPr>
          <w:vertAlign w:val="superscript"/>
        </w:rPr>
        <w:t>35</w:t>
      </w:r>
      <w:r w:rsidR="00367E56">
        <w:fldChar w:fldCharType="end"/>
      </w:r>
      <w:r>
        <w:t>, PCR duplicates</w:t>
      </w:r>
      <w:r w:rsidR="00367E56">
        <w:fldChar w:fldCharType="begin"/>
      </w:r>
      <w:r w:rsidR="00367E56">
        <w:instrText xml:space="preserve"> ADDIN ZOTERO_ITEM CSL_CITATION {"citationID":"MlfxpnJW","properties":{"formattedCitation":"\\super 36\\nosupersub{}","plainCitation":"36","noteIndex":0},"citationItems":[{"id":5434,"uris":["http://zotero.org/users/10196124/items/2QZGJA3R"],"itemData":{"id":5434,"type":"article-journal","abstract":"Abstract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M."}],"accessed":{"date-parts":[["2023",6,29]]},"issued":{"date-parts":[["2023",4,16]]},"citation-key":"rochetteCausesConsequencesAvoidance2023"}}],"schema":"https://github.com/citation-style-language/schema/raw/master/csl-citation.json"} </w:instrText>
      </w:r>
      <w:r w:rsidR="00367E56">
        <w:fldChar w:fldCharType="separate"/>
      </w:r>
      <w:r w:rsidR="00367E56" w:rsidRPr="00367E56">
        <w:rPr>
          <w:vertAlign w:val="superscript"/>
        </w:rPr>
        <w:t>36</w:t>
      </w:r>
      <w:r w:rsidR="00367E56">
        <w:fldChar w:fldCharType="end"/>
      </w:r>
      <w:r>
        <w:t>, and copy-number variants</w:t>
      </w:r>
      <w:r w:rsidR="00367E56">
        <w:fldChar w:fldCharType="begin"/>
      </w:r>
      <w:r w:rsidR="00367E56">
        <w:instrText xml:space="preserve"> ADDIN ZOTERO_ITEM CSL_CITATION {"citationID":"if6VRWrW","properties":{"formattedCitation":"\\super 37\\nosupersub{}","plainCitation":"37","noteIndex":0},"citationItems":[{"id":5436,"uris":["http://zotero.org/users/10196124/items/QCV5E3J3"],"itemData":{"id":5436,"type":"article-journal","abstract":"Detection of copy number variation (CNV) in genes associated with disease is important in genetic diagnostics, and next generation sequencing (NGS) technology provides data that can be used for CNV detection. However, CNV detection based on NGS data is in general not often used in diagnostic labs as the data analysis is challenging, especially with data from targeted gene panels. Wet lab methods like MLPA (MRC Holland) are widely used, but are expensive, time consuming and have gene-specific limitations. Our aim has been to develop a bioinformatic tool for CNV detection from NGS data in medical genetic diagnostic samples.","container-title":"BMC Medical Genomics","DOI":"10.1186/s12920-021-01059-x","ISSN":"1755-8794","issue":"1","journalAbbreviation":"BMC Medical Genomics","page":"214","title":"Detecting copy number variation in next generation sequencing data from diagnostic gene panels","volume":"14","author":[{"family":"Singh","given":"Ashish Kumar"},{"family":"Olsen","given":"Maren Fridtjofsen"},{"family":"Lavik","given":"Liss Anne Solberg"},{"family":"Vold","given":"Trine"},{"family":"Drabløs","given":"Finn"},{"family":"Sjursen","given":"Wenche"}],"issued":{"date-parts":[["2021",8,31]]},"citation-key":"singhDetectingCopyNumber2021"}}],"schema":"https://github.com/citation-style-language/schema/raw/master/csl-citation.json"} </w:instrText>
      </w:r>
      <w:r w:rsidR="00367E56">
        <w:fldChar w:fldCharType="separate"/>
      </w:r>
      <w:r w:rsidR="00367E56" w:rsidRPr="00367E56">
        <w:rPr>
          <w:vertAlign w:val="superscript"/>
        </w:rPr>
        <w:t>37</w:t>
      </w:r>
      <w:r w:rsidR="00367E56">
        <w:fldChar w:fldCharType="end"/>
      </w:r>
      <w:r>
        <w:t>) are present in most genomic datasets (Figure 1).</w:t>
      </w:r>
    </w:p>
    <w:p w14:paraId="7EDDAC06" w14:textId="77777777" w:rsidR="00AB68AB" w:rsidRDefault="00B167CE" w:rsidP="009967A2">
      <w:pPr>
        <w:spacing w:before="0" w:after="0"/>
        <w:ind w:firstLine="0"/>
      </w:pPr>
      <w:r>
        <w:rPr>
          <w:i/>
        </w:rPr>
        <w:t>Post-variant filtering:</w:t>
      </w:r>
    </w:p>
    <w:p w14:paraId="191D6096" w14:textId="6C7A3C0B" w:rsidR="00AB68AB" w:rsidRDefault="00B167CE" w:rsidP="00BE6C45">
      <w:pPr>
        <w:spacing w:before="0"/>
        <w:ind w:firstLine="0"/>
      </w:pPr>
      <w:r>
        <w:t xml:space="preserve">After pre-variant filtering, genomic work-flows typically proceed with </w:t>
      </w:r>
      <w:r>
        <w:rPr>
          <w:b/>
        </w:rPr>
        <w:t>genotyping</w:t>
      </w:r>
      <w:r>
        <w:t xml:space="preserve">, whereby genetic variants such as </w:t>
      </w:r>
      <w:r>
        <w:rPr>
          <w:b/>
        </w:rPr>
        <w:t>single nucleotide polymorphisms</w:t>
      </w:r>
      <w:r>
        <w:t xml:space="preserve"> (SNPs), insertions or deletions (indels), and</w:t>
      </w:r>
      <w:r>
        <w:rPr>
          <w:b/>
        </w:rPr>
        <w:t xml:space="preserve"> </w:t>
      </w:r>
      <w:r>
        <w:t>structural</w:t>
      </w:r>
      <w:r>
        <w:rPr>
          <w:b/>
        </w:rPr>
        <w:t xml:space="preserve"> </w:t>
      </w:r>
      <w:r>
        <w:t>variants</w:t>
      </w:r>
      <w:r>
        <w:rPr>
          <w:b/>
          <w:i/>
        </w:rPr>
        <w:t xml:space="preserve"> </w:t>
      </w:r>
      <w:r>
        <w:t>are algorithmically identified with software such as GATK</w:t>
      </w:r>
      <w:r w:rsidR="00367E56">
        <w:fldChar w:fldCharType="begin"/>
      </w:r>
      <w:r w:rsidR="00367E56">
        <w:instrText xml:space="preserve"> ADDIN ZOTERO_ITEM CSL_CITATION {"citationID":"3R8Neu2J","properties":{"formattedCitation":"\\super 38\\nosupersub{}","plainCitation":"38","noteIndex":0},"citationItems":[{"id":5438,"uris":["http://zotero.org/users/10196124/items/VNR7Y55J"],"itemData":{"id":5438,"type":"book","ISBN":"1-4919-7516-4","publisher":"O'Reilly Media","title":"Genomics in the cloud: using Docker, GATK, and WDL in Terra","author":[{"family":"Van der Auwera","given":"Geraldine A"},{"family":"O'Connor","given":"Brian D"}],"issued":{"date-parts":[["2020"]]},"citation-key":"vanderauweraGenomicsCloudUsing2020"}}],"schema":"https://github.com/citation-style-language/schema/raw/master/csl-citation.json"} </w:instrText>
      </w:r>
      <w:r w:rsidR="00367E56">
        <w:fldChar w:fldCharType="separate"/>
      </w:r>
      <w:r w:rsidR="00367E56" w:rsidRPr="00367E56">
        <w:rPr>
          <w:vertAlign w:val="superscript"/>
        </w:rPr>
        <w:t>38</w:t>
      </w:r>
      <w:r w:rsidR="00367E56">
        <w:fldChar w:fldCharType="end"/>
      </w:r>
      <w:r>
        <w:t>, ANGSD</w:t>
      </w:r>
      <w:r w:rsidR="00367E56">
        <w:fldChar w:fldCharType="begin"/>
      </w:r>
      <w:r w:rsidR="00367E56">
        <w:instrText xml:space="preserve"> ADDIN ZOTERO_ITEM CSL_CITATION {"citationID":"enyGn11J","properties":{"formattedCitation":"\\super 39\\nosupersub{}","plainCitation":"39","noteIndex":0},"citationItems":[{"id":2096,"uris":["http://zotero.org/users/10196124/items/97VWFJBC"],"itemData":{"id":2096,"type":"article-journal","abstract":"High-throughput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367E56">
        <w:fldChar w:fldCharType="separate"/>
      </w:r>
      <w:r w:rsidR="00367E56" w:rsidRPr="00367E56">
        <w:rPr>
          <w:vertAlign w:val="superscript"/>
        </w:rPr>
        <w:t>39</w:t>
      </w:r>
      <w:r w:rsidR="00367E56">
        <w:fldChar w:fldCharType="end"/>
      </w:r>
      <w:r>
        <w:t>, STACKS</w:t>
      </w:r>
      <w:r w:rsidR="00367E56">
        <w:fldChar w:fldCharType="begin"/>
      </w:r>
      <w:r w:rsidR="00367E56">
        <w:instrText xml:space="preserve"> ADDIN ZOTERO_ITEM CSL_CITATION {"citationID":"Vvq4nkks","properties":{"formattedCitation":"\\super 9\\nosupersub{}","plainCitation":"9","noteIndex":0},"citationItems":[{"id":5439,"uris":["http://zotero.org/users/10196124/items/ZDXVRQJB"],"itemData":{"id":5439,"type":"article-journal","abstract":"Abstract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367E56">
        <w:fldChar w:fldCharType="separate"/>
      </w:r>
      <w:r w:rsidR="00367E56" w:rsidRPr="00367E56">
        <w:rPr>
          <w:vertAlign w:val="superscript"/>
        </w:rPr>
        <w:t>9</w:t>
      </w:r>
      <w:r w:rsidR="00367E56">
        <w:fldChar w:fldCharType="end"/>
      </w:r>
      <w:r>
        <w:t>, ipyRAD</w:t>
      </w:r>
      <w:r w:rsidR="00367E56">
        <w:fldChar w:fldCharType="begin"/>
      </w:r>
      <w:r w:rsidR="00367E56">
        <w:instrText xml:space="preserve"> ADDIN ZOTERO_ITEM CSL_CITATION {"citationID":"a0kW6moV","properties":{"formattedCitation":"\\super 40\\nosupersub{}","plainCitation":"40","noteIndex":0},"citationItems":[{"id":5441,"uris":["http://zotero.org/users/10196124/items/NWLX9THC"],"itemData":{"id":5441,"type":"article-journal","abstract":"ipyrad is a free and open source tool for assembling and analyzing restriction site-associated DNA sequence datasets using de novo and/or reference-based approaches. It is designed to be massively scalable to hundreds of taxa and thousands of samples, and can be efficiently parallelized on high performance computing clusters. It is available both as a command line interface and as a Python package with an application programming interface, the latter of which can be used interactively to write complex, reproducible scripts and implement a suite of downstream analysis tools.ipyrad is a free and open source program written in Python. Source code is available from the GitHub repository (https://github.com/dereneaton/ipyrad/), and Linux and MacOS installs are distributed through the conda package manager. Complete documentation, including numerous tutorials, and Jupyter notebooks demonstrating example assemblies and applications of downstream analysis tools are available online: https://ipyrad.readthedocs.io/.","container-title":"Bioinformatics","DOI":"10.1093/bioinformatics/btz966","ISSN":"1367-4803","issue":"8","journalAbbreviation":"Bioinformatics","page":"2592-2594","title":"ipyrad: Interactive assembly and analysis of RADseq datasets","volume":"36","author":[{"family":"Eaton","given":"Deren A R"},{"family":"Overcast","given":"Isaac"}],"issued":{"date-parts":[["2020",4,15]]},"citation-key":"eatonIpyradInteractiveAssembly2020"}}],"schema":"https://github.com/citation-style-language/schema/raw/master/csl-citation.json"} </w:instrText>
      </w:r>
      <w:r w:rsidR="00367E56">
        <w:fldChar w:fldCharType="separate"/>
      </w:r>
      <w:r w:rsidR="00367E56" w:rsidRPr="00367E56">
        <w:rPr>
          <w:vertAlign w:val="superscript"/>
        </w:rPr>
        <w:t>40</w:t>
      </w:r>
      <w:r w:rsidR="00367E56">
        <w:fldChar w:fldCharType="end"/>
      </w:r>
      <w:r>
        <w:t>, or LUMPY</w:t>
      </w:r>
      <w:r w:rsidR="00367E56">
        <w:fldChar w:fldCharType="begin"/>
      </w:r>
      <w:r w:rsidR="00367E56">
        <w:instrText xml:space="preserve"> ADDIN ZOTERO_ITEM CSL_CITATION {"citationID":"LEqPPtW6","properties":{"formattedCitation":"\\super 41\\nosupersub{}","plainCitation":"41","noteIndex":0},"citationItems":[{"id":5442,"uris":["http://zotero.org/users/10196124/items/RNBDT7ZG"],"itemData":{"id":5442,"type":"article-journal","abstract":"Comprehensive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https://github.com/arq5x/lumpy-sv.","container-title":"Genome Biology","DOI":"10.1186/gb-2014-15-6-r84","ISSN":"1474-760X","issue":"6","journalAbbreviation":"Genome Biology","page":"R84","title":"LUMPY: a probabilistic framework for structural variant discovery","volume":"15","author":[{"family":"Layer","given":"Ryan M."},{"family":"Chiang","given":"Colby"},{"family":"Quinlan","given":"Aaron R."},{"family":"Hall","given":"Ira M."}],"issued":{"date-parts":[["2014",6,26]]},"citation-key":"layerLUMPYProbabilisticFramework2014"}}],"schema":"https://github.com/citation-style-language/schema/raw/master/csl-citation.json"} </w:instrText>
      </w:r>
      <w:r w:rsidR="00367E56">
        <w:fldChar w:fldCharType="separate"/>
      </w:r>
      <w:r w:rsidR="00367E56" w:rsidRPr="00367E56">
        <w:rPr>
          <w:vertAlign w:val="superscript"/>
        </w:rPr>
        <w:t>41</w:t>
      </w:r>
      <w:r w:rsidR="00367E56">
        <w:fldChar w:fldCharType="end"/>
      </w:r>
      <w:r>
        <w:t xml:space="preserve">. During this process, the read depth (or coverage) of each locus must be considered, since </w:t>
      </w:r>
      <w:r w:rsidR="008D4E2D">
        <w:t xml:space="preserve">high </w:t>
      </w:r>
      <w:r>
        <w:t>depth of coverage allows for more confidence in genotyping (and subsequently downstream inferences)</w:t>
      </w:r>
      <w:r w:rsidR="002C2EEA">
        <w:t>. These algorithms</w:t>
      </w:r>
      <w:r>
        <w:t xml:space="preserve"> </w:t>
      </w:r>
      <w:r w:rsidR="00A702E9">
        <w:t xml:space="preserve">typically </w:t>
      </w:r>
      <w:r>
        <w:t>either mark</w:t>
      </w:r>
      <w:r w:rsidR="002C2EEA">
        <w:t xml:space="preserve"> </w:t>
      </w:r>
      <w:r>
        <w:t xml:space="preserve">genotypes as missing if below a certain read depth or </w:t>
      </w:r>
      <w:r w:rsidR="00A702E9">
        <w:t>if they have</w:t>
      </w:r>
      <w:r>
        <w:t xml:space="preserve"> poor quality scores caused by low read depths</w:t>
      </w:r>
      <w:r w:rsidR="00367E56">
        <w:fldChar w:fldCharType="begin"/>
      </w:r>
      <w:r w:rsidR="00367E56">
        <w:instrText xml:space="preserve"> ADDIN ZOTERO_ITEM CSL_CITATION {"citationID":"WJ0HzLrp","properties":{"formattedCitation":"\\super 42\\nosupersub{}","plainCitation":"42","noteIndex":0},"citationItems":[{"id":5506,"uris":["http://zotero.org/users/10196124/items/3ENS6SXW"],"itemData":{"id":5506,"type":"article-journal","abstract":"Restriction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367E56">
        <w:fldChar w:fldCharType="separate"/>
      </w:r>
      <w:r w:rsidR="00367E56" w:rsidRPr="00367E56">
        <w:rPr>
          <w:vertAlign w:val="superscript"/>
        </w:rPr>
        <w:t>42</w:t>
      </w:r>
      <w:r w:rsidR="00367E56">
        <w:fldChar w:fldCharType="end"/>
      </w:r>
      <w:r>
        <w:t>. The depth and/or quality filters used at this step vary substantially across studies (see Box 1). Note, however, that well-developed approaches to make use of low coverage sites do exist</w:t>
      </w:r>
      <w:r w:rsidR="00367E56">
        <w:fldChar w:fldCharType="begin"/>
      </w:r>
      <w:r w:rsidR="00367E56">
        <w:instrText xml:space="preserve"> ADDIN ZOTERO_ITEM CSL_CITATION {"citationID":"svLotnL6","properties":{"formattedCitation":"\\super 39\\nosupersub{}","plainCitation":"39","noteIndex":0},"citationItems":[{"id":2096,"uris":["http://zotero.org/users/10196124/items/97VWFJBC"],"itemData":{"id":2096,"type":"article-journal","abstract":"High-throughput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367E56">
        <w:fldChar w:fldCharType="separate"/>
      </w:r>
      <w:r w:rsidR="00367E56" w:rsidRPr="00367E56">
        <w:rPr>
          <w:vertAlign w:val="superscript"/>
        </w:rPr>
        <w:t>39</w:t>
      </w:r>
      <w:r w:rsidR="00367E56">
        <w:fldChar w:fldCharType="end"/>
      </w:r>
      <w:r>
        <w:t xml:space="preserve">, and so filtering out such loci is not </w:t>
      </w:r>
      <w:r>
        <w:rPr>
          <w:i/>
        </w:rPr>
        <w:t>always</w:t>
      </w:r>
      <w:r>
        <w:t xml:space="preserve"> necessary.</w:t>
      </w:r>
    </w:p>
    <w:p w14:paraId="170F1E74" w14:textId="506D210B" w:rsidR="00AB68AB" w:rsidRDefault="00B167CE" w:rsidP="00A702E9">
      <w:pPr>
        <w:spacing w:before="0"/>
      </w:pPr>
      <w:r>
        <w:lastRenderedPageBreak/>
        <w:t>While many different ways to filter genotypic data exist (see Table 1), we will focus here on four widely</w:t>
      </w:r>
      <w:r w:rsidR="00A702E9">
        <w:t xml:space="preserve"> </w:t>
      </w:r>
      <w:r>
        <w:t>used filters (Box 1; Figure 2). Below, in the “Solutions and Best Practices” section, we suggest how to best implement these filters.</w:t>
      </w:r>
    </w:p>
    <w:p w14:paraId="3A101851" w14:textId="00F1B0D5" w:rsidR="00AB68AB" w:rsidRDefault="00B167CE" w:rsidP="00BE6C45">
      <w:pPr>
        <w:spacing w:before="0"/>
        <w:ind w:firstLine="0"/>
        <w:rPr>
          <w:i/>
        </w:rPr>
      </w:pPr>
      <w:r>
        <w:rPr>
          <w:b/>
          <w:i/>
        </w:rPr>
        <w:t>Missing Data</w:t>
      </w:r>
      <w:r>
        <w:t>: filtering out loci or individuals with a user-defined amount (or proportion) of missing data</w:t>
      </w:r>
      <w:r w:rsidR="00253184">
        <w:t>. A</w:t>
      </w:r>
      <w:r>
        <w:t xml:space="preserve">n excess of missing data can indicate something awry with sample collection </w:t>
      </w:r>
      <w:r w:rsidR="00253184">
        <w:t>or</w:t>
      </w:r>
      <w:r>
        <w:t xml:space="preserve"> preservation, genomic library preparation, or alignment, all of which can obscure patterns of variation</w:t>
      </w:r>
      <w:r w:rsidR="00367E56">
        <w:fldChar w:fldCharType="begin"/>
      </w:r>
      <w:r w:rsidR="00367E56">
        <w:instrText xml:space="preserve"> ADDIN ZOTERO_ITEM CSL_CITATION {"citationID":"eXmMxe5j","properties":{"formattedCitation":"\\super 43\\nosupersub{}","plainCitation":"43","noteIndex":0},"citationItems":[{"id":5507,"uris":["http://zotero.org/users/10196124/items/4HRGDTGJ"],"itemData":{"id":5507,"type":"article-journal","abstract":"Recent advances in genomics have greatly increased research opportunities for non-model species. For wildlife, a growing availability of reference genomes means that population genetics is no longer restricted to a small set of anonymous loci. When used in conjunction with a reference genome, reduced-representation sequencing (RRS) provides a cost-effective method for obtaining reliable diversity information for population genetics. Many software tools have been developed to process RRS data, though few studies of non-model species incorporate genome alignment in calling loci. A commonly-used RRS analysis pipeline, Stacks, has this capacity and so it is timely to compare its utility with existing software originally designed for alignment and analysis of whole genome sequencing data. Here we examine population genetic inferences from two species for which reference-aligned reduced-representation data have been collected. Our two study species are a threatened Australian marsupial (Tasmanian devil Sarcophilus harrisii; declining population) and an Arctic-circle migrant bird (pink-footed goose Anser brachyrhynchus; expanding population). Analyses of these data are compared using Stacks versus two widely-used genomics packages, SAMtools and GATK. We also introduce a custom R script to improve the reliability of single nucleotide polymorphism (SNP) calls in all pipelines and conduct population genetic inferences for non-model species with reference genomes.","container-title":"BMC Genomics","DOI":"10.1186/s12864-019-5806-y","ISSN":"1471-2164","issue":"1","journalAbbreviation":"BMC Genomics","page":"453","title":"From reference genomes to population genomics: comparing three reference-aligned reduced-representation sequencing pipelines in two wildlife species","volume":"20","author":[{"family":"Wright","given":"Belinda"},{"family":"Farquharson","given":"Katherine A."},{"family":"McLennan","given":"Elspeth A."},{"family":"Belov","given":"Katherine"},{"family":"Hogg","given":"Carolyn J."},{"family":"Grueber","given":"Catherine E."}],"issued":{"date-parts":[["2019",6,3]]},"citation-key":"wrightReferenceGenomesPopulation2019"}}],"schema":"https://github.com/citation-style-language/schema/raw/master/csl-citation.json"} </w:instrText>
      </w:r>
      <w:r w:rsidR="00367E56">
        <w:fldChar w:fldCharType="separate"/>
      </w:r>
      <w:r w:rsidR="00367E56" w:rsidRPr="00367E56">
        <w:rPr>
          <w:vertAlign w:val="superscript"/>
        </w:rPr>
        <w:t>43</w:t>
      </w:r>
      <w:r w:rsidR="00367E56">
        <w:fldChar w:fldCharType="end"/>
      </w:r>
      <w:r>
        <w:t xml:space="preserve">. The filtering choices used for missing data vary </w:t>
      </w:r>
      <w:r>
        <w:rPr>
          <w:i/>
        </w:rPr>
        <w:t>widely</w:t>
      </w:r>
      <w:r>
        <w:t xml:space="preserve"> among studies and the downstream consequences are rarely evaluated (Boxes 1</w:t>
      </w:r>
      <w:r w:rsidR="003675BD">
        <w:t>,</w:t>
      </w:r>
      <w:r w:rsidR="00A702E9">
        <w:t xml:space="preserve"> </w:t>
      </w:r>
      <w:r w:rsidR="003675BD">
        <w:t>2</w:t>
      </w:r>
      <w:r>
        <w:t>).</w:t>
      </w:r>
    </w:p>
    <w:p w14:paraId="16819C8B" w14:textId="0F57AAB6" w:rsidR="00AB68AB" w:rsidRDefault="00B167CE" w:rsidP="00BE6C45">
      <w:pPr>
        <w:spacing w:before="0"/>
        <w:ind w:firstLine="0"/>
      </w:pPr>
      <w:r>
        <w:rPr>
          <w:b/>
          <w:i/>
        </w:rPr>
        <w:t>Minor Allele Frequency (MAF)</w:t>
      </w:r>
      <w:r>
        <w:t>: filtering out loci (typically SNPs) where the less frequent allele (</w:t>
      </w:r>
      <w:r>
        <w:rPr>
          <w:i/>
        </w:rPr>
        <w:t>i.e.</w:t>
      </w:r>
      <w:r>
        <w:t>, the minor allele) occurs below a certain frequency. MAF filtering is</w:t>
      </w:r>
      <w:r w:rsidR="00C60465">
        <w:rPr>
          <w:iCs/>
        </w:rPr>
        <w:t xml:space="preserve"> often </w:t>
      </w:r>
      <w:r>
        <w:t xml:space="preserve">based on the assumption that </w:t>
      </w:r>
      <w:r>
        <w:rPr>
          <w:b/>
        </w:rPr>
        <w:t xml:space="preserve">singletons </w:t>
      </w:r>
      <w:r>
        <w:t>or</w:t>
      </w:r>
      <w:r>
        <w:rPr>
          <w:b/>
        </w:rPr>
        <w:t xml:space="preserve"> other rare variants</w:t>
      </w:r>
      <w:r>
        <w:t xml:space="preserve"> that occur at a frequency of less than </w:t>
      </w:r>
      <w:r w:rsidR="00253184">
        <w:t>~</w:t>
      </w:r>
      <w:r>
        <w:t>5% are the product of genotyping errors</w:t>
      </w:r>
      <w:r w:rsidR="00A702E9">
        <w:t>. MAF filtering is</w:t>
      </w:r>
      <w:r>
        <w:t xml:space="preserve"> </w:t>
      </w:r>
      <w:r w:rsidR="00A702E9">
        <w:t>therefore</w:t>
      </w:r>
      <w:r w:rsidR="00C60465">
        <w:t xml:space="preserve"> </w:t>
      </w:r>
      <w:r>
        <w:t xml:space="preserve">typically </w:t>
      </w:r>
      <w:r w:rsidR="00A702E9">
        <w:t>done</w:t>
      </w:r>
      <w:r>
        <w:t xml:space="preserve"> to this specific </w:t>
      </w:r>
      <w:r w:rsidR="00A702E9">
        <w:t>threshold</w:t>
      </w:r>
      <w:r>
        <w:t xml:space="preserve"> (Box 1). Depending on the analysis and objectives, this filter can be applied </w:t>
      </w:r>
      <w:r w:rsidR="00C60465">
        <w:t>study-</w:t>
      </w:r>
      <w:proofErr w:type="gramStart"/>
      <w:r w:rsidR="00C60465">
        <w:t xml:space="preserve">wide </w:t>
      </w:r>
      <w:r>
        <w:t xml:space="preserve"> (</w:t>
      </w:r>
      <w:proofErr w:type="gramEnd"/>
      <w:r w:rsidR="00C60465">
        <w:rPr>
          <w:i/>
          <w:iCs/>
        </w:rPr>
        <w:t>e.g.,</w:t>
      </w:r>
      <w:r>
        <w:t xml:space="preserve"> </w:t>
      </w:r>
      <w:r w:rsidR="00C60465">
        <w:t xml:space="preserve">globally </w:t>
      </w:r>
      <w:r>
        <w:t>across populations) or within each population.</w:t>
      </w:r>
    </w:p>
    <w:p w14:paraId="055F2E0E" w14:textId="40EE49E9" w:rsidR="00AB68AB" w:rsidRDefault="00B167CE" w:rsidP="00BE6C45">
      <w:pPr>
        <w:spacing w:before="0"/>
        <w:ind w:firstLine="0"/>
      </w:pPr>
      <w:r>
        <w:rPr>
          <w:b/>
          <w:i/>
        </w:rPr>
        <w:t>Minor Allele Count (MAC)</w:t>
      </w:r>
      <w:r>
        <w:t xml:space="preserve">: an alternative to MAF filtering wherein loci are removed based on the absolute count of the minor allele rather than its frequency, allowing for more consistent filtering across samples of different sizes (although arguably producing an uneven MAF filter across those same samples). A MAC may be preferable over a MAF to remove only singletons (or doubletons, </w:t>
      </w:r>
      <w:r w:rsidR="00C60465" w:rsidRPr="00C37469">
        <w:rPr>
          <w:i/>
          <w:iCs/>
        </w:rPr>
        <w:t>etc.</w:t>
      </w:r>
      <w:r>
        <w:t xml:space="preserve">) or when small samples of individuals exist while filtering within populations or </w:t>
      </w:r>
      <w:r w:rsidR="008B62B5">
        <w:t>sample groups</w:t>
      </w:r>
      <w:r>
        <w:t>.</w:t>
      </w:r>
    </w:p>
    <w:p w14:paraId="2F769359" w14:textId="5DFC58DD" w:rsidR="00AB68AB" w:rsidRDefault="00B167CE" w:rsidP="00BE6C45">
      <w:pPr>
        <w:spacing w:before="0"/>
        <w:ind w:firstLine="0"/>
      </w:pPr>
      <w:r>
        <w:rPr>
          <w:b/>
          <w:i/>
        </w:rPr>
        <w:lastRenderedPageBreak/>
        <w:t>Hardy-Weinberg Proportions (HWP)</w:t>
      </w:r>
      <w:r>
        <w:t>: filtering out loci based on statistically significant (for a given alpha/</w:t>
      </w:r>
      <w:r>
        <w:rPr>
          <w:i/>
        </w:rPr>
        <w:t>p</w:t>
      </w:r>
      <w:r>
        <w:t>-value; see Box 1) deviations from Hardy-Weinberg proportions. HWP is a common assumption of many downstream analytical tools (</w:t>
      </w:r>
      <w:r>
        <w:rPr>
          <w:i/>
        </w:rPr>
        <w:t>e.g.,</w:t>
      </w:r>
      <w:r>
        <w:t xml:space="preserve"> STRUCTURE</w:t>
      </w:r>
      <w:r w:rsidR="00367E56">
        <w:fldChar w:fldCharType="begin"/>
      </w:r>
      <w:r w:rsidR="00724FF9">
        <w:instrText xml:space="preserve"> ADDIN ZOTERO_ITEM CSL_CITATION {"citationID":"Pp3wV9mn","properties":{"formattedCitation":"\\super 44\\nosupersub{}","plainCitation":"44","noteIndex":0},"citationItems":[{"id":"y5pQWal7/6I7jfvyA","uris":["http://zotero.org/users/local/nWY58Val/items/53WR2XYW"],"itemData":{"id":24,"type":"article-journal","container-title":"Genetics","DOI":"10.1093/genetics/155.2.945","ISSN":"1943-2631","issue":"2","journalAbbreviation":"Genetics","page":"945-959","source":"Silverchair","title":"Inference of Population Structure Using Multilocus Genotype Data","volume":"155","author":[{"family":"Pritchard","given":"Jonathan K"},{"family":"Stephens","given":"Matthew"},{"family":"Donnelly","given":"Peter"}],"issued":{"date-parts":[["2000",6,1]]}}}],"schema":"https://github.com/citation-style-language/schema/raw/master/csl-citation.json"} </w:instrText>
      </w:r>
      <w:r w:rsidR="00367E56">
        <w:fldChar w:fldCharType="separate"/>
      </w:r>
      <w:r w:rsidR="00367E56" w:rsidRPr="00367E56">
        <w:rPr>
          <w:vertAlign w:val="superscript"/>
        </w:rPr>
        <w:t>44</w:t>
      </w:r>
      <w:r w:rsidR="00367E56">
        <w:fldChar w:fldCharType="end"/>
      </w:r>
      <w:r>
        <w:t>), and removing loci that violate HWP can help ensure unbiased results for downstream analyses</w:t>
      </w:r>
      <w:r w:rsidR="00367E56">
        <w:fldChar w:fldCharType="begin"/>
      </w:r>
      <w:r w:rsidR="00367E56">
        <w:instrText xml:space="preserve"> ADDIN ZOTERO_ITEM CSL_CITATION {"citationID":"ziGenzcU","properties":{"formattedCitation":"\\super 45\\nosupersub{}","plainCitation":"45","noteIndex":0},"citationItems":[{"id":5230,"uris":["http://zotero.org/users/10196124/items/GCG564EL"],"itemData":{"id":5230,"type":"article-journal","abstract":"Testing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367E56">
        <w:fldChar w:fldCharType="separate"/>
      </w:r>
      <w:r w:rsidR="00367E56" w:rsidRPr="00367E56">
        <w:rPr>
          <w:vertAlign w:val="superscript"/>
        </w:rPr>
        <w:t>45</w:t>
      </w:r>
      <w:r w:rsidR="00367E56">
        <w:fldChar w:fldCharType="end"/>
      </w:r>
      <w:r>
        <w:t xml:space="preserve">. </w:t>
      </w:r>
      <w:r w:rsidR="00576E2F">
        <w:t>C</w:t>
      </w:r>
      <w:r>
        <w:t>orrect</w:t>
      </w:r>
      <w:r w:rsidR="00576E2F">
        <w:t>ing</w:t>
      </w:r>
      <w:r>
        <w:t xml:space="preserve"> </w:t>
      </w:r>
      <w:r>
        <w:rPr>
          <w:i/>
        </w:rPr>
        <w:t>p</w:t>
      </w:r>
      <w:r>
        <w:t>-values for multiple tests in datasets with many loci is rarely</w:t>
      </w:r>
      <w:r w:rsidR="00576E2F">
        <w:t xml:space="preserve"> performed</w:t>
      </w:r>
      <w:r w:rsidR="00367E56">
        <w:fldChar w:fldCharType="begin"/>
      </w:r>
      <w:r w:rsidR="00367E56">
        <w:instrText xml:space="preserve"> ADDIN ZOTERO_ITEM CSL_CITATION {"citationID":"5r4npaso","properties":{"formattedCitation":"\\super 46\\nosupersub{}","plainCitation":"46","noteIndex":0},"citationItems":[{"id":5508,"uris":["http://zotero.org/users/10196124/items/5JYFX8S6"],"itemData":{"id":5508,"type":"article-journal","abstract":"Abstract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367E56">
        <w:fldChar w:fldCharType="separate"/>
      </w:r>
      <w:r w:rsidR="00367E56" w:rsidRPr="00367E56">
        <w:rPr>
          <w:vertAlign w:val="superscript"/>
        </w:rPr>
        <w:t>46</w:t>
      </w:r>
      <w:r w:rsidR="00367E56">
        <w:fldChar w:fldCharType="end"/>
      </w:r>
      <w:r>
        <w:t xml:space="preserve">. Researchers who do correct for multiple tests should explicitly report the reasoning behind the correction method they use, which can vary in stringency (from </w:t>
      </w:r>
      <w:proofErr w:type="spellStart"/>
      <w:r>
        <w:t>Benjamini</w:t>
      </w:r>
      <w:proofErr w:type="spellEnd"/>
      <w:r>
        <w:t>–Hochberg</w:t>
      </w:r>
      <w:r w:rsidR="00367E56">
        <w:fldChar w:fldCharType="begin"/>
      </w:r>
      <w:r w:rsidR="00367E56">
        <w:instrText xml:space="preserve"> ADDIN ZOTERO_ITEM CSL_CITATION {"citationID":"jd6U2CoI","properties":{"formattedCitation":"\\super 47\\nosupersub{}","plainCitation":"47","noteIndex":0},"citationItems":[{"id":5510,"uris":["http://zotero.org/users/10196124/items/583ZMUE7"],"itemData":{"id":5510,"type":"article-journal","abstract":"SUMMARY 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(Methodological)","DOI":"10.1111/j.2517-6161.1995.tb02031.x","ISSN":"0035-9246","issue":"1","journalAbbreviation":"Journal of the Royal Statistical Society: Series B (Methodological)","note":"publisher: John Wiley &amp; Sons, Ltd","page":"289-300","title":"Controlling the False Discovery Rate: A Practical and Powerful Approach to Multiple Testing","volume":"57","author":[{"family":"Benjamini","given":"Yoav"},{"family":"Hochberg","given":"Yosef"}],"issued":{"date-parts":[["1995",1,1]]},"citation-key":"benjaminiControllingFalseDiscovery1995"}}],"schema":"https://github.com/citation-style-language/schema/raw/master/csl-citation.json"} </w:instrText>
      </w:r>
      <w:r w:rsidR="00367E56">
        <w:fldChar w:fldCharType="separate"/>
      </w:r>
      <w:r w:rsidR="00367E56" w:rsidRPr="00367E56">
        <w:rPr>
          <w:vertAlign w:val="superscript"/>
        </w:rPr>
        <w:t>47</w:t>
      </w:r>
      <w:r w:rsidR="00367E56">
        <w:fldChar w:fldCharType="end"/>
      </w:r>
      <w:r>
        <w:t xml:space="preserve"> to sequential or simple/stringent Bonferroni</w:t>
      </w:r>
      <w:r w:rsidR="00367E56">
        <w:fldChar w:fldCharType="begin"/>
      </w:r>
      <w:r w:rsidR="00367E56">
        <w:instrText xml:space="preserve"> ADDIN ZOTERO_ITEM CSL_CITATION {"citationID":"hmGGzS7u","properties":{"formattedCitation":"\\super 48\\nosupersub{}","plainCitation":"48","noteIndex":0},"citationItems":[{"id":2377,"uris":["http://zotero.org/users/10196124/items/P2UUJ7HT"],"itemData":{"id":2377,"type":"article-journal","abstract":"This paper presents a simple and widely applicable multiple test procedure of the sequentially rejective type, i.e. hypotheses are rejected one at a time until no further rejections can be done. It is shown that the test has a prescribed level of significance protection against error of the first kind for any combination of true hypotheses. The power properties of the test and a number of possible applications are also discussed.","container-title":"Scandinavian Journal of Statistics","ISSN":"03036898, 14679469","issue":"2","note":"publisher: [Board of the Foundation of the Scandinavian Journal of Statistics, Wiley]\nCitation Key: 10.2307/4615733","page":"65-70","title":"A Simple Sequentially Rejective Multiple Test Procedure","volume":"6","author":[{"family":"Holm","given":"Sture"}],"issued":{"date-parts":[["1979"]]},"citation-key":"10.2307/4615733"}}],"schema":"https://github.com/citation-style-language/schema/raw/master/csl-citation.json"} </w:instrText>
      </w:r>
      <w:r w:rsidR="00367E56">
        <w:fldChar w:fldCharType="separate"/>
      </w:r>
      <w:r w:rsidR="00367E56" w:rsidRPr="00367E56">
        <w:rPr>
          <w:vertAlign w:val="superscript"/>
        </w:rPr>
        <w:t>48</w:t>
      </w:r>
      <w:r w:rsidR="00367E56">
        <w:fldChar w:fldCharType="end"/>
      </w:r>
      <w:r>
        <w:t xml:space="preserve">). Note, however, that more stringent multiple testing correction for HWE </w:t>
      </w:r>
      <w:r w:rsidR="00576E2F">
        <w:t xml:space="preserve">paradoxically </w:t>
      </w:r>
      <w:r>
        <w:rPr>
          <w:i/>
        </w:rPr>
        <w:t xml:space="preserve">decreases </w:t>
      </w:r>
      <w:r>
        <w:t xml:space="preserve">filtering stringency overall, since more loci will be found to be </w:t>
      </w:r>
      <w:r w:rsidR="00576E2F">
        <w:t>non-</w:t>
      </w:r>
      <w:r>
        <w:t xml:space="preserve">significant and thus retained. Ultimately, different approaches and alpha thresholds </w:t>
      </w:r>
      <w:r w:rsidR="00CB4BBD">
        <w:t xml:space="preserve">should </w:t>
      </w:r>
      <w:r>
        <w:t>vary depending on the questions</w:t>
      </w:r>
      <w:r w:rsidR="00CB4BBD">
        <w:t xml:space="preserve"> being asked</w:t>
      </w:r>
      <w:r>
        <w:t xml:space="preserve"> and the tolerance for including problematic loci</w:t>
      </w:r>
      <w:r w:rsidR="00367E56">
        <w:fldChar w:fldCharType="begin"/>
      </w:r>
      <w:r w:rsidR="00367E56">
        <w:instrText xml:space="preserve"> ADDIN ZOTERO_ITEM CSL_CITATION {"citationID":"3DttKKoZ","properties":{"formattedCitation":"\\super 49\\nosupersub{}","plainCitation":"49","noteIndex":0},"citationItems":[{"id":5513,"uris":["http://zotero.org/users/10196124/items/PCJG4PT2"],"itemData":{"id":5513,"type":"book","abstract":"Loss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367E56">
        <w:fldChar w:fldCharType="separate"/>
      </w:r>
      <w:r w:rsidR="00367E56" w:rsidRPr="00367E56">
        <w:rPr>
          <w:vertAlign w:val="superscript"/>
        </w:rPr>
        <w:t>49</w:t>
      </w:r>
      <w:r w:rsidR="00367E56">
        <w:fldChar w:fldCharType="end"/>
      </w:r>
      <w:r w:rsidR="008A45DA">
        <w:t xml:space="preserve"> (Box 3)</w:t>
      </w:r>
      <w:r>
        <w:t>. HWP deviations can often reflect sequencing</w:t>
      </w:r>
      <w:r w:rsidR="008A45DA">
        <w:t>,</w:t>
      </w:r>
      <w:r>
        <w:t xml:space="preserve"> assembly</w:t>
      </w:r>
      <w:r w:rsidR="008A45DA">
        <w:t>, or alignment</w:t>
      </w:r>
      <w:r>
        <w:t xml:space="preserve"> errors (such as a heterozygote deficit caused by allelic dropout or a heterozygote excess caused by paralogous regions; see</w:t>
      </w:r>
      <w:r w:rsidR="00367E56">
        <w:fldChar w:fldCharType="begin"/>
      </w:r>
      <w:r w:rsidR="00367E56">
        <w:instrText xml:space="preserve"> ADDIN ZOTERO_ITEM CSL_CITATION {"citationID":"UjcLfkEt","properties":{"formattedCitation":"\\super 50\\uc0\\u8211{}52\\nosupersub{}","plainCitation":"50–52","noteIndex":0},"citationItems":[{"id":5214,"uris":["http://zotero.org/users/10196124/items/U4RAAQMS"],"itemData":{"id":5214,"type":"article-journal","abstract":"Abstract Inexpensive short-read sequencing technologies applied to reduced representation genomes is revolutionizing genetic research, especially population genetics analysis, by allowing the genotyping of massive numbers of single-nucleotide polymorphisms (SNP) for large numbers of individuals and populations. Restriction site?associated DNA (RAD) sequencing is a recent technique based on the characterization of genomic regions flanking restriction sites. One of its potential drawbacks is the presence of polymorphism within the restriction site, which makes it impossible to observe the associated SNP allele (i.e. allele dropout, ADO). To investigate the effect of ADO on genetic variation estimated from RAD markers, we first mathematically derived measures of the effect of ADO on allele frequencies as a function of different parameters within a single population. We then used RAD data sets simulated using a coalescence model to investigate the magnitude of biases induced by ADO on the estimation of expected heterozygosity and FST under a simple demographic model of divergence between two populations. We found that ADO tends to overestimate genetic variation both within and between populations. Assuming a mutation rate per nucleotide between 10?9 and 10?8, this bias remained low for most studied combinations of divergence time and effective population size, except for large effective population sizes. Averaging FST values over multiple SNPs, for example, by sliding window analysis, did not correct ADO biases. We briefly discuss possible solutions to filter the most problematic cases of ADO using read coverage to detect markers with a large excess of null alleles.","container-title":"Molecular Ecology","DOI":"10.1111/mec.12089","ISSN":"0962-1083","issue":"11","journalAbbreviation":"Molecular Ecology","note":"publisher: John Wiley &amp; Sons, Ltd","page":"3165-3178","title":"The effect of RAD allele dropout on the estimation of genetic variation within and between populations","volume":"22","author":[{"family":"Gautier","given":"Mathieu"},{"family":"Gharbi","given":"Karim"},{"family":"Cezard","given":"Timothee"},{"family":"Foucaud","given":"Julien"},{"family":"Kerdelhué","given":"Carole"},{"family":"Pudlo","given":"Pierre"},{"family":"Cornuet","given":"Jean-Marie"},{"family":"Estoup","given":"Arnaud"}],"issued":{"date-parts":[["2013",6,1]]},"citation-key":"gautierEffectRADAllele2013"}},{"id":5338,"uris":["http://zotero.org/users/10196124/items/T32AGEDZ"],"itemData":{"id":5338,"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367E56">
        <w:fldChar w:fldCharType="separate"/>
      </w:r>
      <w:r w:rsidR="00367E56" w:rsidRPr="00367E56">
        <w:rPr>
          <w:vertAlign w:val="superscript"/>
        </w:rPr>
        <w:t>50–52</w:t>
      </w:r>
      <w:r w:rsidR="00367E56">
        <w:fldChar w:fldCharType="end"/>
      </w:r>
      <w:r>
        <w:t xml:space="preserve">). However, loci out of HWP can </w:t>
      </w:r>
      <w:r w:rsidR="005D2FC3">
        <w:t>be indicative o</w:t>
      </w:r>
      <w:r w:rsidR="00C37469">
        <w:t>f</w:t>
      </w:r>
      <w:r w:rsidR="005D2FC3">
        <w:t xml:space="preserve"> real, biological phenomena</w:t>
      </w:r>
      <w:r>
        <w:t xml:space="preserve">, </w:t>
      </w:r>
      <w:r w:rsidR="005D2FC3">
        <w:t xml:space="preserve">such as </w:t>
      </w:r>
      <w:r>
        <w:t>cryptic population sub-structuring</w:t>
      </w:r>
      <w:r w:rsidR="00A6046E">
        <w:t xml:space="preserve"> (Figure 2)</w:t>
      </w:r>
      <w:r w:rsidR="005D2FC3">
        <w:t>,</w:t>
      </w:r>
      <w:r>
        <w:t xml:space="preserve"> or </w:t>
      </w:r>
      <w:r w:rsidR="005D2FC3">
        <w:t xml:space="preserve">balancing </w:t>
      </w:r>
      <w:r>
        <w:t xml:space="preserve">selection. As a result, it is crucial to filter for HWP within </w:t>
      </w:r>
      <w:r w:rsidR="005D2FC3">
        <w:t>sample groups (</w:t>
      </w:r>
      <w:r w:rsidR="005D2FC3" w:rsidRPr="00C37469">
        <w:rPr>
          <w:i/>
          <w:iCs/>
        </w:rPr>
        <w:t>e.g.</w:t>
      </w:r>
      <w:r w:rsidR="005D2FC3">
        <w:t xml:space="preserve">, </w:t>
      </w:r>
      <w:r>
        <w:t>populations</w:t>
      </w:r>
      <w:r w:rsidR="005D2FC3">
        <w:t>)</w:t>
      </w:r>
      <w:r>
        <w:t xml:space="preserve"> rather than </w:t>
      </w:r>
      <w:r w:rsidR="005D2FC3">
        <w:t xml:space="preserve">study-wide </w:t>
      </w:r>
      <w:r>
        <w:t>(</w:t>
      </w:r>
      <w:r w:rsidR="005D2FC3" w:rsidRPr="00C37469">
        <w:rPr>
          <w:i/>
          <w:iCs/>
        </w:rPr>
        <w:t>e.g.</w:t>
      </w:r>
      <w:r w:rsidR="005D2FC3">
        <w:t xml:space="preserve">, globally on all samples; see </w:t>
      </w:r>
      <w:r w:rsidR="00E308E8" w:rsidRPr="00724FF9">
        <w:rPr>
          <w:bCs/>
          <w:i/>
          <w:iCs/>
        </w:rPr>
        <w:t>Study-</w:t>
      </w:r>
      <w:r w:rsidR="00724FF9" w:rsidRPr="00724FF9">
        <w:rPr>
          <w:bCs/>
          <w:i/>
          <w:iCs/>
        </w:rPr>
        <w:t>w</w:t>
      </w:r>
      <w:r w:rsidR="00E308E8" w:rsidRPr="00724FF9">
        <w:rPr>
          <w:bCs/>
          <w:i/>
          <w:iCs/>
        </w:rPr>
        <w:t xml:space="preserve">ide </w:t>
      </w:r>
      <w:r w:rsidR="00724FF9" w:rsidRPr="00724FF9">
        <w:rPr>
          <w:bCs/>
          <w:i/>
          <w:iCs/>
        </w:rPr>
        <w:t>v</w:t>
      </w:r>
      <w:r w:rsidR="00E308E8" w:rsidRPr="00724FF9">
        <w:rPr>
          <w:bCs/>
          <w:i/>
          <w:iCs/>
        </w:rPr>
        <w:t xml:space="preserve">ersus </w:t>
      </w:r>
      <w:r w:rsidR="00724FF9" w:rsidRPr="00724FF9">
        <w:rPr>
          <w:bCs/>
          <w:i/>
          <w:iCs/>
        </w:rPr>
        <w:t>w</w:t>
      </w:r>
      <w:r w:rsidR="00E308E8" w:rsidRPr="00724FF9">
        <w:rPr>
          <w:bCs/>
          <w:i/>
          <w:iCs/>
        </w:rPr>
        <w:t xml:space="preserve">ithin </w:t>
      </w:r>
      <w:r w:rsidR="00724FF9" w:rsidRPr="00724FF9">
        <w:rPr>
          <w:bCs/>
          <w:i/>
          <w:iCs/>
        </w:rPr>
        <w:t>s</w:t>
      </w:r>
      <w:r w:rsidR="00E308E8" w:rsidRPr="00724FF9">
        <w:rPr>
          <w:bCs/>
          <w:i/>
          <w:iCs/>
        </w:rPr>
        <w:t>ample-</w:t>
      </w:r>
      <w:r w:rsidR="00724FF9" w:rsidRPr="00724FF9">
        <w:rPr>
          <w:bCs/>
          <w:i/>
          <w:iCs/>
        </w:rPr>
        <w:t>g</w:t>
      </w:r>
      <w:r w:rsidR="00E308E8" w:rsidRPr="00724FF9">
        <w:rPr>
          <w:bCs/>
          <w:i/>
          <w:iCs/>
        </w:rPr>
        <w:t xml:space="preserve">roup </w:t>
      </w:r>
      <w:r w:rsidR="00724FF9" w:rsidRPr="00724FF9">
        <w:rPr>
          <w:bCs/>
          <w:i/>
          <w:iCs/>
        </w:rPr>
        <w:t>f</w:t>
      </w:r>
      <w:r w:rsidR="00E308E8" w:rsidRPr="00724FF9">
        <w:rPr>
          <w:bCs/>
          <w:i/>
          <w:iCs/>
        </w:rPr>
        <w:t>iltering</w:t>
      </w:r>
      <w:r w:rsidR="00724FF9">
        <w:rPr>
          <w:bCs/>
        </w:rPr>
        <w:t>,</w:t>
      </w:r>
      <w:r w:rsidR="00C37469">
        <w:rPr>
          <w:bCs/>
        </w:rPr>
        <w:t xml:space="preserve"> below</w:t>
      </w:r>
      <w:r>
        <w:t>)</w:t>
      </w:r>
      <w:r w:rsidR="00367E56">
        <w:fldChar w:fldCharType="begin"/>
      </w:r>
      <w:r w:rsidR="00724FF9">
        <w:instrText xml:space="preserve"> ADDIN ZOTERO_ITEM CSL_CITATION {"citationID":"mOEppphu","properties":{"formattedCitation":"\\super 53\\nosupersub{}","plainCitation":"53","noteIndex":0},"citationItems":[{"id":"y5pQWal7/bfyP10dW","uris":["http://zotero.org/users/local/nWY58Val/items/P24LDBB6"],"itemData":{"id":35,"type":"article-journal","container-title":"Molecular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367E56">
        <w:fldChar w:fldCharType="separate"/>
      </w:r>
      <w:r w:rsidR="00367E56" w:rsidRPr="00367E56">
        <w:rPr>
          <w:vertAlign w:val="superscript"/>
        </w:rPr>
        <w:t>53</w:t>
      </w:r>
      <w:r w:rsidR="00367E56">
        <w:fldChar w:fldCharType="end"/>
      </w:r>
      <w:r>
        <w:t xml:space="preserve"> and to do so with a low stringency if loci under selection or those that differ between populations are of interest.</w:t>
      </w:r>
    </w:p>
    <w:p w14:paraId="4F520772" w14:textId="26C563B6" w:rsidR="00AB68AB" w:rsidRDefault="00B167CE" w:rsidP="00BE6C45">
      <w:pPr>
        <w:spacing w:before="0" w:after="360"/>
        <w:ind w:firstLine="0"/>
      </w:pPr>
      <w:r>
        <w:rPr>
          <w:b/>
          <w:i/>
        </w:rPr>
        <w:t>Linkage disequilibrium (LD)</w:t>
      </w:r>
      <w:r>
        <w:t xml:space="preserve">: pruning clusters of loci that are in substantial LD with each other down to a single locus to ensure statistical independence among loci - a common assumption made by many downstream methods. For example, methods based on the site frequency </w:t>
      </w:r>
      <w:r>
        <w:lastRenderedPageBreak/>
        <w:t>spectrum (SFS) of a population may be biased if allele frequencies in a variant-rich region differ from the genome-wide average</w:t>
      </w:r>
      <w:r w:rsidR="00717BCE">
        <w:t xml:space="preserve">. </w:t>
      </w:r>
      <w:r>
        <w:t>Similarly, failure to remove non-independent (linked) loci can bias estimates of parameters like effective population size (</w:t>
      </w:r>
      <w:r>
        <w:rPr>
          <w:i/>
        </w:rPr>
        <w:t>N</w:t>
      </w:r>
      <w:r>
        <w:rPr>
          <w:vertAlign w:val="subscript"/>
        </w:rPr>
        <w:t>e</w:t>
      </w:r>
      <w:r>
        <w:t>)</w:t>
      </w:r>
      <w:r w:rsidR="00367E56">
        <w:fldChar w:fldCharType="begin"/>
      </w:r>
      <w:r w:rsidR="00367E56">
        <w:instrText xml:space="preserve"> ADDIN ZOTERO_ITEM CSL_CITATION {"citationID":"JxMqxF4R","properties":{"formattedCitation":"\\super 54\\nosupersub{}","plainCitation":"54","noteIndex":0},"citationItems":[{"id":5514,"uris":["http://zotero.org/users/10196124/items/WUI32P5G"],"itemData":{"id":5514,"type":"article-journal","abstract":"Abstract Recent advances in population genomics have made it possible to detect previously unidentified structure, obtain more accurate estimates of demographic parameters, and explore adaptive divergence, potentially revolutionizing the way genetic data are used to manage wild populations. Here, we identified 10 944 single-nucleotide polymorphisms using restriction-site-associated DNA (RAD) sequencing to explore population structure, demography, and adaptive divergence in five populations of Chinook salmon (Oncorhynchus tshawytscha) from western Alaska. Patterns of population structure were similar to those of past studies, but our ability to assign individuals back to their region of origin was greatly improved (&gt;90% accuracy for all populations). We also calculated effective size with and without removing physically linked loci identified from a linkage map, a novel method for nonmodel organisms. Estimates of effective size were generally above 1000 and were biased downward when physically linked loci were not removed. Outlier tests based on genetic differentiation identified 733 loci and three genomic regions under putative selection. These markers and genomic regions are excellent candidates for future research and can be used to create high-resolution panels for genetic monitoring and population assignment. This work demonstrates the utility of genomic data to inform conservation in highly exploited species with shallow population structure.","container-title":"Evolutionary Applications","DOI":"10.1111/eva.12128","ISSN":"1752-4571","issue":"3","journalAbbreviation":"Evolutionary Applications","note":"publisher: John Wiley &amp; Sons, Ltd","page":"355-369","title":"Genotyping by sequencing resolves shallow population structure to inform conservation of Chinook salmon (Oncorhynchus tshawytscha)","volume":"7","author":[{"family":"Larson","given":"Wesley A."},{"family":"Seeb","given":"Lisa W."},{"family":"Everett","given":"Meredith V."},{"family":"Waples","given":"Ryan K."},{"family":"Templin","given":"William D."},{"family":"Seeb","given":"James E."}],"issued":{"date-parts":[["2014",3,1]]},"citation-key":"larsonGenotypingSequencingResolves2014"}}],"schema":"https://github.com/citation-style-language/schema/raw/master/csl-citation.json"} </w:instrText>
      </w:r>
      <w:r w:rsidR="00367E56">
        <w:fldChar w:fldCharType="separate"/>
      </w:r>
      <w:r w:rsidR="00367E56" w:rsidRPr="00367E56">
        <w:rPr>
          <w:vertAlign w:val="superscript"/>
        </w:rPr>
        <w:t>54</w:t>
      </w:r>
      <w:r w:rsidR="00367E56">
        <w:fldChar w:fldCharType="end"/>
      </w:r>
      <w:r>
        <w:t>.  However, filtering out SNPs based on LD could also strongly influence diversity estimates (such as the number of segregating sites across genomic regions)</w:t>
      </w:r>
      <w:r w:rsidR="00731B8F">
        <w:t xml:space="preserve"> or inadvertently cause investigators to overlook important structural variants (Figure 2)</w:t>
      </w:r>
      <w:r>
        <w:t>. Studies that lack a high-quality reference may also require LD filters to ensure independence of loci or contigs</w:t>
      </w:r>
      <w:r w:rsidR="00367E56">
        <w:fldChar w:fldCharType="begin"/>
      </w:r>
      <w:r w:rsidR="00367E56">
        <w:instrText xml:space="preserve"> ADDIN ZOTERO_ITEM CSL_CITATION {"citationID":"XU3EcPnC","properties":{"formattedCitation":"\\super 55\\nosupersub{}","plainCitation":"55","noteIndex":0},"citationItems":[{"id":1662,"uris":["http://zotero.org/users/10196124/items/PJN6U6X5"],"itemData":{"id":1662,"type":"article-journal","container-title":"Heredity","note":"publisher: The Genetics Society Macmillan Publishers Limited, part of Springer Nature.\nCitation Key: Waples2016a","page":"233","title":"Estimating contemporary effective population size in non-model species using linkage disequilibrium across thousands of loci","volume":"117","author":[{"family":"Waples","given":"R K"},{"family":"Larson","given":"W A"},{"family":"Waples","given":"R S"}],"issued":{"date-parts":[["2016",8,24]]},"citation-key":"Waples2016a"}}],"schema":"https://github.com/citation-style-language/schema/raw/master/csl-citation.json"} </w:instrText>
      </w:r>
      <w:r w:rsidR="00367E56">
        <w:fldChar w:fldCharType="separate"/>
      </w:r>
      <w:r w:rsidR="00367E56" w:rsidRPr="00367E56">
        <w:rPr>
          <w:vertAlign w:val="superscript"/>
        </w:rPr>
        <w:t>55</w:t>
      </w:r>
      <w:r w:rsidR="00367E56">
        <w:fldChar w:fldCharType="end"/>
      </w:r>
      <w:r>
        <w:t xml:space="preserve">, which can be accomplished through pairwise correlation measures such as Pearson’s </w:t>
      </w:r>
      <w:r>
        <w:rPr>
          <w:i/>
        </w:rPr>
        <w:t>r</w:t>
      </w:r>
      <w:r>
        <w:rPr>
          <w:vertAlign w:val="superscript"/>
        </w:rPr>
        <w:t>2</w:t>
      </w:r>
      <w:r>
        <w:t xml:space="preserve">. </w:t>
      </w:r>
      <w:r w:rsidR="00C37469">
        <w:t>Alternatively</w:t>
      </w:r>
      <w:r>
        <w:t xml:space="preserve">, many </w:t>
      </w:r>
      <w:r w:rsidR="001A4CFB">
        <w:t xml:space="preserve">investigators </w:t>
      </w:r>
      <w:r>
        <w:t xml:space="preserve">working with </w:t>
      </w:r>
      <w:r>
        <w:rPr>
          <w:i/>
        </w:rPr>
        <w:t>de novo</w:t>
      </w:r>
      <w:r>
        <w:t>-assembled datasets simply extract a single SNP from each contig to mitigate the effects of linkage (though this assumes distinct stacks/contigs are themselves unlinked). Corrections for multiple testing are also important for LD filtering, but seldom reported</w:t>
      </w:r>
      <w:r w:rsidR="00367E56">
        <w:fldChar w:fldCharType="begin"/>
      </w:r>
      <w:r w:rsidR="00367E56">
        <w:instrText xml:space="preserve"> ADDIN ZOTERO_ITEM CSL_CITATION {"citationID":"2GYctmRH","properties":{"formattedCitation":"\\super 46\\nosupersub{}","plainCitation":"46","noteIndex":0},"citationItems":[{"id":5508,"uris":["http://zotero.org/users/10196124/items/5JYFX8S6"],"itemData":{"id":5508,"type":"article-journal","abstract":"Abstract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367E56">
        <w:fldChar w:fldCharType="separate"/>
      </w:r>
      <w:r w:rsidR="00367E56" w:rsidRPr="00367E56">
        <w:rPr>
          <w:vertAlign w:val="superscript"/>
        </w:rPr>
        <w:t>46</w:t>
      </w:r>
      <w:r w:rsidR="00367E56">
        <w:fldChar w:fldCharType="end"/>
      </w:r>
      <w:r>
        <w:t>.</w:t>
      </w:r>
    </w:p>
    <w:p w14:paraId="18F475E9" w14:textId="77777777" w:rsidR="00AB68AB" w:rsidRDefault="00B167CE" w:rsidP="00C37469">
      <w:pPr>
        <w:keepNext/>
        <w:spacing w:before="0" w:after="0"/>
        <w:ind w:firstLine="0"/>
        <w:rPr>
          <w:b/>
        </w:rPr>
      </w:pPr>
      <w:r>
        <w:rPr>
          <w:b/>
        </w:rPr>
        <w:t>Effects of filtering:</w:t>
      </w:r>
    </w:p>
    <w:p w14:paraId="755C28C8" w14:textId="1DB68C7A" w:rsidR="00AB68AB" w:rsidRDefault="00B167CE" w:rsidP="00C37469">
      <w:pPr>
        <w:keepNext/>
        <w:spacing w:before="0"/>
        <w:ind w:firstLine="0"/>
      </w:pPr>
      <w:r>
        <w:t xml:space="preserve">The effects of filtering are often unappreciated and unknown in genomic studies. While </w:t>
      </w:r>
      <w:r>
        <w:rPr>
          <w:i/>
        </w:rPr>
        <w:t>concerning</w:t>
      </w:r>
      <w:r>
        <w:t xml:space="preserve">, this is not particularly </w:t>
      </w:r>
      <w:r>
        <w:rPr>
          <w:i/>
        </w:rPr>
        <w:t>surprising</w:t>
      </w:r>
      <w:r>
        <w:t>, since</w:t>
      </w:r>
      <w:r>
        <w:rPr>
          <w:i/>
        </w:rPr>
        <w:t xml:space="preserve"> </w:t>
      </w:r>
      <w:r>
        <w:t xml:space="preserve">1) many different filtering approaches exist, 2) filtering requires non-trivial time and computational resources to perform, and 3) </w:t>
      </w:r>
      <w:r w:rsidR="001C2D5C">
        <w:t xml:space="preserve">many </w:t>
      </w:r>
      <w:r>
        <w:t>individual filters can be applied with different thresholds and at different data processing stages (Table 1). Indeed, circumstances exist where the same type of filter can, and possibly should, be applied at multiple stages of the bioinformatic process (Table 1). Furthermore, many types of filtering occur during the “black box” of alignment and genotyping, leading many investigators (</w:t>
      </w:r>
      <w:proofErr w:type="gramStart"/>
      <w:r>
        <w:t>ourselves</w:t>
      </w:r>
      <w:proofErr w:type="gramEnd"/>
      <w:r>
        <w:t xml:space="preserve"> shamefully included) to use default settings and not think about the downstream consequences. This </w:t>
      </w:r>
      <w:r w:rsidR="00A13FEB">
        <w:t xml:space="preserve">“ignorance is bliss” strategy occurs </w:t>
      </w:r>
      <w:r>
        <w:t>because the added complexity</w:t>
      </w:r>
      <w:r w:rsidR="00A13FEB">
        <w:t xml:space="preserve"> of filtering</w:t>
      </w:r>
      <w:r>
        <w:t xml:space="preserve"> can be overwhelming, time-consuming to properly address</w:t>
      </w:r>
      <w:r w:rsidR="00A13FEB">
        <w:t>,</w:t>
      </w:r>
      <w:r>
        <w:t xml:space="preserve"> and </w:t>
      </w:r>
      <w:r w:rsidR="00326560">
        <w:t xml:space="preserve">seemingly </w:t>
      </w:r>
      <w:r>
        <w:t xml:space="preserve">distract from the main </w:t>
      </w:r>
      <w:r>
        <w:lastRenderedPageBreak/>
        <w:t xml:space="preserve">goals of the study. Nevertheless, we propose two </w:t>
      </w:r>
      <w:r w:rsidR="00A13FEB">
        <w:t>guiding</w:t>
      </w:r>
      <w:r>
        <w:t xml:space="preserve"> principles that </w:t>
      </w:r>
      <w:r w:rsidR="00A13FEB">
        <w:t xml:space="preserve">investigators </w:t>
      </w:r>
      <w:r>
        <w:t xml:space="preserve">should </w:t>
      </w:r>
      <w:r w:rsidR="00A13FEB">
        <w:t xml:space="preserve">adopt </w:t>
      </w:r>
      <w:r>
        <w:t>wh</w:t>
      </w:r>
      <w:r w:rsidR="00A13FEB">
        <w:t xml:space="preserve">ile </w:t>
      </w:r>
      <w:r>
        <w:t>filtering genomic dataset</w:t>
      </w:r>
      <w:r w:rsidR="00A13FEB">
        <w:t>s</w:t>
      </w:r>
      <w:r>
        <w:t>:</w:t>
      </w:r>
    </w:p>
    <w:p w14:paraId="6B958940" w14:textId="2D80C99E" w:rsidR="00AB68AB" w:rsidRDefault="00B167CE" w:rsidP="00BE6C45">
      <w:pPr>
        <w:spacing w:before="0" w:after="120"/>
        <w:ind w:left="720" w:firstLine="0"/>
      </w:pPr>
      <w:r>
        <w:t xml:space="preserve">1) </w:t>
      </w:r>
      <w:r>
        <w:rPr>
          <w:i/>
        </w:rPr>
        <w:t>Different filtering choices can result in different results</w:t>
      </w:r>
      <w:r>
        <w:t xml:space="preserve"> such that two researchers, analyzing the same dataset but using different filters, could reach entirely different conclusions.</w:t>
      </w:r>
    </w:p>
    <w:p w14:paraId="62BF3B2F" w14:textId="3460BA7E" w:rsidR="00AB68AB" w:rsidRDefault="00B167CE" w:rsidP="00BE6C45">
      <w:pPr>
        <w:spacing w:before="0"/>
        <w:ind w:left="720" w:firstLine="0"/>
      </w:pPr>
      <w:r>
        <w:t xml:space="preserve">2) </w:t>
      </w:r>
      <w:r>
        <w:rPr>
          <w:i/>
        </w:rPr>
        <w:t>Distinctively-filtered versions of the same dataset should be used to address specific questions and to quantify the effects of filtering.</w:t>
      </w:r>
      <w:r>
        <w:t xml:space="preserve"> Investigators</w:t>
      </w:r>
      <w:r>
        <w:rPr>
          <w:i/>
        </w:rPr>
        <w:t xml:space="preserve"> </w:t>
      </w:r>
      <w:r>
        <w:t>should filter their data in multiple ways, report the results of such filtering on downstream analyses, and think critically to ensure that the filtered datasets used to answer specific questions are appropriate and do not themselves create a significant source of bias.</w:t>
      </w:r>
    </w:p>
    <w:p w14:paraId="5D4E594E" w14:textId="65479D09" w:rsidR="00AB68AB" w:rsidRDefault="00B167CE" w:rsidP="00BE6C45">
      <w:pPr>
        <w:spacing w:before="0"/>
        <w:ind w:firstLine="0"/>
      </w:pPr>
      <w:r>
        <w:t xml:space="preserve">The thoughtful application of these principles should help investigators avoid biased conclusions and produce more consistent and biologically meaningful results. </w:t>
      </w:r>
    </w:p>
    <w:p w14:paraId="21C5005F" w14:textId="7532BB67" w:rsidR="00AB68AB" w:rsidRDefault="006B3E8A" w:rsidP="00BE6C45">
      <w:pPr>
        <w:spacing w:before="0"/>
      </w:pPr>
      <w:r>
        <w:t xml:space="preserve">To illustrate how simply changing filtering thresholds for two key filters (MAF and missing data) leads to different results, we re-filtered three pre-existing empirical datasets (Box 2). While MAF filters are often applied to remove </w:t>
      </w:r>
      <w:r>
        <w:rPr>
          <w:b/>
        </w:rPr>
        <w:t>singletons or other rare variants</w:t>
      </w:r>
      <w:r>
        <w:t xml:space="preserve">, which can reflect sequencing or genotyping errors, these rare variants (e.g., MAF &lt; 0.05) are critical in several analyses including demographic estimation and tests for selection. Most notably, </w:t>
      </w:r>
      <w:r>
        <w:rPr>
          <w:b/>
          <w:i/>
        </w:rPr>
        <w:t>Tajima’s D</w:t>
      </w:r>
      <w:r>
        <w:t>, a commonly used indicator of both demographic history and response to selection</w:t>
      </w:r>
      <w:r w:rsidR="00367E56">
        <w:fldChar w:fldCharType="begin"/>
      </w:r>
      <w:r w:rsidR="00367E56">
        <w:instrText xml:space="preserve"> ADDIN ZOTERO_ITEM CSL_CITATION {"citationID":"o2a4C3gO","properties":{"formattedCitation":"\\super 56\\nosupersub{}","plainCitation":"56","noteIndex":0},"citationItems":[{"id":5480,"uris":["http://zotero.org/users/10196124/items/FWN4DTTY"],"itemData":{"id":5480,"type":"article-journal","abstract":"Reconstructing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367E56">
        <w:fldChar w:fldCharType="separate"/>
      </w:r>
      <w:r w:rsidR="00367E56" w:rsidRPr="00367E56">
        <w:rPr>
          <w:vertAlign w:val="superscript"/>
        </w:rPr>
        <w:t>56</w:t>
      </w:r>
      <w:r w:rsidR="00367E56">
        <w:fldChar w:fldCharType="end"/>
      </w:r>
      <w:r>
        <w:t xml:space="preserve">, is </w:t>
      </w:r>
      <w:r>
        <w:rPr>
          <w:i/>
        </w:rPr>
        <w:t>substantially</w:t>
      </w:r>
      <w:r>
        <w:t xml:space="preserve"> biased by a MAF filter choice, leading to widely differing biological inferences depending on filtering stringency (Box 2). In this case, our recommendations are straightforward: because low-frequency alleles heavily influence Tajima’s D</w:t>
      </w:r>
      <w:r w:rsidR="00367E56">
        <w:fldChar w:fldCharType="begin"/>
      </w:r>
      <w:r w:rsidR="00367E56">
        <w:instrText xml:space="preserve"> ADDIN ZOTERO_ITEM CSL_CITATION {"citationID":"oRuD7RMd","properties":{"formattedCitation":"\\super 57\\nosupersub{}","plainCitation":"57","noteIndex":0},"citationItems":[{"id":2695,"uris":["http://zotero.org/users/10196124/items/8QHAVWFM"],"itemData":{"id":2695,"type":"article-journal","abstract":"The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fldChar w:fldCharType="separate"/>
      </w:r>
      <w:r w:rsidR="00367E56" w:rsidRPr="00367E56">
        <w:rPr>
          <w:vertAlign w:val="superscript"/>
        </w:rPr>
        <w:t>57</w:t>
      </w:r>
      <w:r w:rsidR="00367E56">
        <w:fldChar w:fldCharType="end"/>
      </w:r>
      <w:r>
        <w:t xml:space="preserve">, researchers should </w:t>
      </w:r>
      <w:r w:rsidR="00C37469">
        <w:t>apply</w:t>
      </w:r>
      <w:r>
        <w:t xml:space="preserve"> both </w:t>
      </w:r>
      <w:r>
        <w:rPr>
          <w:i/>
        </w:rPr>
        <w:t>no</w:t>
      </w:r>
      <w:r>
        <w:t xml:space="preserve"> </w:t>
      </w:r>
      <w:r>
        <w:lastRenderedPageBreak/>
        <w:t xml:space="preserve">MAF filter and a </w:t>
      </w:r>
      <w:r>
        <w:rPr>
          <w:i/>
        </w:rPr>
        <w:t>very minor</w:t>
      </w:r>
      <w:r>
        <w:t xml:space="preserve"> one (such as a singleton filter to catch the most blatant sequencing errors) and compare the results when using the statistic</w:t>
      </w:r>
      <w:r w:rsidR="00367E56">
        <w:fldChar w:fldCharType="begin"/>
      </w:r>
      <w:r w:rsidR="00367E56">
        <w:instrText xml:space="preserve"> ADDIN ZOTERO_ITEM CSL_CITATION {"citationID":"xTl1OKyc","properties":{"formattedCitation":"\\super 57\\nosupersub{}","plainCitation":"57","noteIndex":0},"citationItems":[{"id":2695,"uris":["http://zotero.org/users/10196124/items/8QHAVWFM"],"itemData":{"id":2695,"type":"article-journal","abstract":"The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fldChar w:fldCharType="separate"/>
      </w:r>
      <w:r w:rsidR="00367E56" w:rsidRPr="00367E56">
        <w:rPr>
          <w:vertAlign w:val="superscript"/>
        </w:rPr>
        <w:t>57</w:t>
      </w:r>
      <w:r w:rsidR="00367E56">
        <w:fldChar w:fldCharType="end"/>
      </w:r>
      <w:r>
        <w:t xml:space="preserve">. The effects of </w:t>
      </w:r>
      <w:r w:rsidR="00A05F97">
        <w:t xml:space="preserve">additional </w:t>
      </w:r>
      <w:r>
        <w:t>filter</w:t>
      </w:r>
      <w:r w:rsidR="00AB33C4">
        <w:t xml:space="preserve">s (including MAF) </w:t>
      </w:r>
      <w:r>
        <w:t xml:space="preserve">can be </w:t>
      </w:r>
      <w:r w:rsidR="00A05F97">
        <w:t xml:space="preserve">substantial </w:t>
      </w:r>
      <w:r>
        <w:t>for diversity estimators</w:t>
      </w:r>
      <w:r w:rsidR="00A05F97">
        <w:t>,</w:t>
      </w:r>
      <w:r>
        <w:t xml:space="preserve"> demographic inference</w:t>
      </w:r>
      <w:r w:rsidR="00367E56">
        <w:fldChar w:fldCharType="begin"/>
      </w:r>
      <w:r w:rsidR="00367E56">
        <w:instrText xml:space="preserve"> ADDIN ZOTERO_ITEM CSL_CITATION {"citationID":"R1j5Ng28","properties":{"formattedCitation":"\\super 58,59\\nosupersub{}","plainCitation":"58,59","noteIndex":0},"citationItems":[{"id":5213,"uris":["http://zotero.org/users/10196124/items/5XADNU3X"],"itemData":{"id":5213,"type":"article-journal","abstract":"Rare variants are important for drawing inference about past demographic events in a species history. A singleton is a rare variant for which genetic variation is carried by a unique chromosome in a sample. How singletons are distributed across geographic space provides a local measure of genetic diversity that can be measured at the individual level. Here, we define the empirical distribution of singletons in a sample of chromosomes as the proportion of the total number of singletons that each chromosome carries, and we present a theoretical background for studying this distribution. Next, we use computer simulations to evaluate the potential for the empirical distribution of singletons to provide a description of genetic diversity across geographic space. In a Bayesian framework, we show that the empirical distribution of singletons leads to accurate estimates of the geographic origin of range expansions. We apply the Bayesian approach to estimating the origin of the cultivated plant species Pennisetum glaucum [L.] R. Br. (pearl millet) in Africa, and find support for range expansion having started from Northern Mali. Overall, we report that the empirical distribution of singletons is a useful measure to analyze results of sequencing projects based on large scale sampling of individuals across geographic space.","container-title":"Frontiers in Genetics","ISSN":"1664-8021","journalAbbreviation":"Frontiers in Genetics","title":"The Empirical Distribution of Singletons for Geographic Samples of DNA Sequences","URL":"https://www.frontiersin.org/articles/10.3389/fgene.2017.00139","volume":"8","author":[{"family":"Cubry","given":"Philippe"},{"family":"Vigouroux","given":"Yves"},{"family":"François","given":"Olivier"}],"issued":{"date-parts":[["2017"]]},"citation-key":"cubryEmpiricalDistributionSingletons2017"}},{"id":5226,"uris":["http://zotero.org/users/10196124/items/YGR2FBA2"],"itemData":{"id":5226,"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W."}],"issued":{"date-parts":[["2017",8,1]]},"citation-key":"shaferBioinformaticProcessingRADseq2017"}}],"schema":"https://github.com/citation-style-language/schema/raw/master/csl-citation.json"} </w:instrText>
      </w:r>
      <w:r w:rsidR="00367E56">
        <w:fldChar w:fldCharType="separate"/>
      </w:r>
      <w:r w:rsidR="00367E56" w:rsidRPr="00367E56">
        <w:rPr>
          <w:vertAlign w:val="superscript"/>
        </w:rPr>
        <w:t>58,59</w:t>
      </w:r>
      <w:r w:rsidR="00367E56">
        <w:fldChar w:fldCharType="end"/>
      </w:r>
      <w:r>
        <w:t xml:space="preserve">, </w:t>
      </w:r>
      <w:r>
        <w:rPr>
          <w:i/>
        </w:rPr>
        <w:t>F</w:t>
      </w:r>
      <w:r>
        <w:rPr>
          <w:vertAlign w:val="subscript"/>
        </w:rPr>
        <w:t>ST</w:t>
      </w:r>
      <w:r>
        <w:t xml:space="preserve"> and population structure estimates</w:t>
      </w:r>
      <w:r w:rsidR="00367E56">
        <w:fldChar w:fldCharType="begin"/>
      </w:r>
      <w:r w:rsidR="00367E56">
        <w:instrText xml:space="preserve"> ADDIN ZOTERO_ITEM CSL_CITATION {"citationID":"OX695hmx","properties":{"formattedCitation":"\\super 60,61\\nosupersub{}","plainCitation":"60,61","noteIndex":0},"citationItems":[{"id":5220,"uris":["http://zotero.org/users/10196124/items/WGHM5ZVD"],"itemData":{"id":5220,"type":"article-journal","abstract":"Abstract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367E56">
        <w:fldChar w:fldCharType="separate"/>
      </w:r>
      <w:r w:rsidR="00367E56" w:rsidRPr="00367E56">
        <w:rPr>
          <w:vertAlign w:val="superscript"/>
        </w:rPr>
        <w:t>60,61</w:t>
      </w:r>
      <w:r w:rsidR="00367E56">
        <w:fldChar w:fldCharType="end"/>
      </w:r>
      <w:r>
        <w:t>, estimating the distribution of locus effects on phenotypes</w:t>
      </w:r>
      <w:r w:rsidR="00367E56">
        <w:fldChar w:fldCharType="begin"/>
      </w:r>
      <w:r w:rsidR="00367E56">
        <w:instrText xml:space="preserve"> ADDIN ZOTERO_ITEM CSL_CITATION {"citationID":"s2fhdjgZ","properties":{"formattedCitation":"\\super 61\\nosupersub{}","plainCitation":"61","noteIndex":0},"citationItems":[{"id":5498,"uris":["http://zotero.org/users/10196124/items/9A64ERSX"],"itemData":{"id":5498,"type":"article-journal","abstract":"Abstract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367E56">
        <w:fldChar w:fldCharType="separate"/>
      </w:r>
      <w:r w:rsidR="00367E56" w:rsidRPr="00367E56">
        <w:rPr>
          <w:vertAlign w:val="superscript"/>
        </w:rPr>
        <w:t>61</w:t>
      </w:r>
      <w:r w:rsidR="00367E56">
        <w:fldChar w:fldCharType="end"/>
      </w:r>
      <w:r>
        <w:t>, and allele frequency spectra</w:t>
      </w:r>
      <w:r w:rsidR="00367E56">
        <w:fldChar w:fldCharType="begin"/>
      </w:r>
      <w:r w:rsidR="00724FF9">
        <w:instrText xml:space="preserve"> ADDIN ZOTERO_ITEM CSL_CITATION {"citationID":"KVIfnPzi","properties":{"formattedCitation":"\\super 62\\uc0\\u8211{}65\\nosupersub{}","plainCitation":"62–65","noteIndex":0},"citationItems":[{"id":5228,"uris":["http://zotero.org/users/10196124/items/EHQXHJZM"],"itemData":{"id":5228,"type":"article-journal","abstract":"Restriction site-associated DNA sequencing (RAD-seq) has become a powerful and widely used tool in molecular ecology studies as it allows to cost-effectively recover thousands of polymorphic sites across individuals of non-model organisms. However, its successful implementation in population genetics relies on correct data processing that would minimize potential loci-assembly biases and consequent genotyping error rates. RAD-seq data processing when no reference genome is available involves the assembly of hundreds of thousands high-throughput sequencing reads into orthologous loci, for which various key parameter values need to be selected by the researcher. Previous studies exploring the effect of these parameter values found or assumed that a larger number of recovered polymorphic loci is associated with a better assembly. Here, using three RAD-seq datasets from different species, we explore the effect of read filtering, loci assembly and polymorphic site selection on number of markers obtained and genetic differentiation inferred using the Stacks software. We find (i) that recovery of higher numbers of polymorphic loci is not necessarily associated with higher genetic differentiation, (ii) that the presence of PCR duplicates, selected loci assembly parameters and selected SNP filtering parameters affect the number of recovered polymorphic loci and degree of genetic differentiation, and (iii) that this effect is different in each dataset, meaning that defining a systematic universal protocol for RAD-seq data analysis may lead to missing relevant information about population differentiation.","container-title":"Frontiers in Genetics","ISSN":"1664-8021","journalAbbreviation":"Frontiers in Genetics","title":"Selecting RAD-Seq Data Analysis Parameters for Population Genetics: The More the Better?","URL":"https://www.frontiersin.org/articles/10.3389/fgene.2019.00533","volume":"10","author":[{"family":"Díaz-Arce","given":"Natalia"},{"family":"Rodríguez-Ezpeleta","given":"Naiara"}],"issued":{"date-parts":[["2019"]]},"citation-key":"diaz-arceSelectingRADSeqData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y5pQWal7/1b7NE4bK","uris":["http://zotero.org/users/local/nWY58Val/items/TI8RSXQC"],"itemData":{"id":33,"type":"article-journal","container-title":"Nature Reviews Genetics","DOI":"10.1038/nrg2611","ISSN":"1471-0064","issue":"9","journalAbbreviation":"Nat Rev Genet","language":"en","license":"2009 Springer Nature Limited","note":"number: 9\npublisher: Nature Publishing Group","page":"639-650","source":"www.nature.com","title":"Genetics in geographically structured populations: defining, estimating and interpreting FST","title-short":"Genetics in geographically structured populations","volume":"10","author":[{"family":"Holsinger","given":"Kent E."},{"family":"Weir","given":"Bruce S."}],"issued":{"date-parts":[["2009",9]]}}},{"id":5479,"uris":["http://zotero.org/users/10196124/items/GC7SBWHF"],"itemData":{"id":5479,"type":"article-journal","abstract":"With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367E56">
        <w:fldChar w:fldCharType="separate"/>
      </w:r>
      <w:r w:rsidR="00367E56" w:rsidRPr="00367E56">
        <w:rPr>
          <w:vertAlign w:val="superscript"/>
        </w:rPr>
        <w:t>62–65</w:t>
      </w:r>
      <w:r w:rsidR="00367E56">
        <w:fldChar w:fldCharType="end"/>
      </w:r>
      <w:r>
        <w:t>. Other filtering choices therefore require similar levels of care.</w:t>
      </w:r>
    </w:p>
    <w:p w14:paraId="69983DC4" w14:textId="2C15534E" w:rsidR="00AB68AB" w:rsidRDefault="00B167CE" w:rsidP="00BE6C45">
      <w:pPr>
        <w:spacing w:before="0" w:after="360"/>
      </w:pPr>
      <w:r>
        <w:t>With respect to principal #2 above, investigators should become more comfortable using</w:t>
      </w:r>
      <w:r w:rsidR="00BE0904">
        <w:t xml:space="preserve"> </w:t>
      </w:r>
      <w:proofErr w:type="gramStart"/>
      <w:r>
        <w:t>distinctively-filtered</w:t>
      </w:r>
      <w:proofErr w:type="gramEnd"/>
      <w:r>
        <w:t xml:space="preserve"> datasets to answer </w:t>
      </w:r>
      <w:r w:rsidR="00BE0904">
        <w:t xml:space="preserve">different </w:t>
      </w:r>
      <w:r>
        <w:t>questions, even within the same study. For example, low-stringency MAF filters should be used for several demographic inferences (</w:t>
      </w:r>
      <w:r>
        <w:rPr>
          <w:i/>
        </w:rPr>
        <w:t>e.g.</w:t>
      </w:r>
      <w:r>
        <w:t xml:space="preserve">, Tajima’s D; SFS) whereas a </w:t>
      </w:r>
      <w:r w:rsidR="00B36878">
        <w:t xml:space="preserve">relatively </w:t>
      </w:r>
      <w:r>
        <w:t>stringent MAF filter is useful for delineating populations</w:t>
      </w:r>
      <w:r w:rsidR="00367E56">
        <w:fldChar w:fldCharType="begin"/>
      </w:r>
      <w:r w:rsidR="00367E56">
        <w:instrText xml:space="preserve"> ADDIN ZOTERO_ITEM CSL_CITATION {"citationID":"cQ89KL2e","properties":{"formattedCitation":"\\super 60\\nosupersub{}","plainCitation":"60","noteIndex":0},"citationItems":[{"id":5220,"uris":["http://zotero.org/users/10196124/items/WGHM5ZVD"],"itemData":{"id":5220,"type":"article-journal","abstract":"Abstract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367E56">
        <w:fldChar w:fldCharType="separate"/>
      </w:r>
      <w:r w:rsidR="00367E56" w:rsidRPr="00367E56">
        <w:rPr>
          <w:vertAlign w:val="superscript"/>
        </w:rPr>
        <w:t>60</w:t>
      </w:r>
      <w:r w:rsidR="00367E56">
        <w:fldChar w:fldCharType="end"/>
      </w:r>
      <w:r>
        <w:t>, planning genomically informed breeding strategies</w:t>
      </w:r>
      <w:r w:rsidR="00367E56">
        <w:fldChar w:fldCharType="begin"/>
      </w:r>
      <w:r w:rsidR="00367E56">
        <w:instrText xml:space="preserve"> ADDIN ZOTERO_ITEM CSL_CITATION {"citationID":"4ZcuGCEj","properties":{"formattedCitation":"\\super 66\\nosupersub{}","plainCitation":"66","noteIndex":0},"citationItems":[{"id":5527,"uris":["http://zotero.org/users/10196124/items/38567NVZ"],"itemData":{"id":5527,"type":"article-journal","abstract":"Genomic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00367E56">
        <w:fldChar w:fldCharType="separate"/>
      </w:r>
      <w:r w:rsidR="00367E56" w:rsidRPr="00367E56">
        <w:rPr>
          <w:vertAlign w:val="superscript"/>
        </w:rPr>
        <w:t>66</w:t>
      </w:r>
      <w:r w:rsidR="00367E56">
        <w:fldChar w:fldCharType="end"/>
      </w:r>
      <w:r>
        <w:t>, or for estimating individual relatedness</w:t>
      </w:r>
      <w:r w:rsidR="00367E56">
        <w:fldChar w:fldCharType="begin"/>
      </w:r>
      <w:r w:rsidR="00367E56">
        <w:instrText xml:space="preserve"> ADDIN ZOTERO_ITEM CSL_CITATION {"citationID":"g0AesZvN","properties":{"formattedCitation":"\\super 67\\uc0\\u8211{}69\\nosupersub{}","plainCitation":"67–69","noteIndex":0},"citationItems":[{"id":5490,"uris":["http://zotero.org/users/10196124/items/P8SF247Q"],"itemData":{"id":5490,"type":"article-journal","abstract":"Likelihood-based parentage inference depends on the distribution of a likelihood-ratio statistic, which, in most cases of interest, cannot be exactly determined, but only approximated by Monte Carlo simulation. We provide importance-sampling algorithms for efficiently approximating very small tail probabilities in the distribution of the likelihood-ratio statistic. These importance-sampling methods allow the estimation of small false-positive rates and hence permit likelihood-based inference of parentage in large studies involving a great number of potential parents and many potential offspring. We investigate the performance of these importance-sampling algorithms in the context of parentage inference using single-nucleotide polymorphism (SNP) data and find that they may accelerate the computation of tail probabilities &amp;gt;1 millionfold. We subsequently use the importance-sampling algorithms to calculate the power available with SNPs for large-scale parentage studies, paying particular attention to the effect of genotyping errors and the occurrence of related individuals among the members of the putative mother–father–offspring trios. These simulations show that 60–100 SNPs may allow accurate pedigree reconstruction, even in situations involving thousands of potential mothers, fathers, and offspring. In addition, we compare the power of exclusion-based parentage inference to that of the likelihood-based method. Likelihood-based inference is much more powerful under many conditions; exclusion-based inference would require 40% more SNP loci to achieve the same accuracy as the likelihood-based approach in one common scenario. Our results demonstrate that SNPs are a powerful tool for parentage inference in large managed and/or natural populations.","container-title":"Genetics","DOI":"10.1534/genetics.105.048074","ISSN":"1943-2631","issue":"4","journalAbbreviation":"Genetics","page":"2567-2582","title":"The Power of Single-Nucleotide Polymorphisms for Large-Scale Parentage Inference","volume":"172","author":[{"family":"Anderson","given":"Eric C"},{"family":"Garza","given":"John Carlos"}],"issued":{"date-parts":[["2006",4,1]]},"citation-key":"andersonPowerSingleNucleotidePolymorphisms2006"}},{"id":5488,"uris":["http://zotero.org/users/10196124/items/62W6EEX5"],"itemData":{"id":5488,"type":"article-journal","container-title":"Aquaculture Research","DOI":"10.1111/are.13566","ISSN":"1355-557X","issue":"3","journalAbbreviation":"Aquaculture Research","note":"publisher: John Wiley &amp; Sons, Ltd","page":"1368-1372","title":"Effect of minor allele frequency on the number of single nucleotide polymorphisms needed for accurate parentage assignment: A methodology illustrated using Atlantic salmon","volume":"49","author":[{"family":"Dussault","given":"Forest M"},{"family":"Boulding","given":"Elizabeth G"}],"issued":{"date-parts":[["2018",3,1]]},"citation-key":"dussaultEffectMinorAllele2018"}},{"id":5491,"uris":["http://zotero.org/users/10196124/items/EADQPX8F"],"itemData":{"id":5491,"type":"article-journal","abstract":"Relationships between the individuals of a population have been previously studied from the point of view of prediction. Edwards (1967) suggested that the problem of detailed population structure could also be studied from the point of view of inference. Even where inferences of practical applicability cannot be made, such an approach can increase understanding of the relation between genealogical and genetic structure. In this paper we consider a specific problem which provides an introduction to the ideas and methods of genealogical inference. This is the problem of estimating the pairwise relationship between two individuals on the basis of their phenotypes at several loci. There is no theoretical problem in the extension from pairwise to joint relationship.","archive":"PubMed","archive_location":"1052764","container-title":"Ann Hum Genet","DOI":"10.1111/j.1469-1809.1975.tb00120.x","ISSN":"0003-4800","issue":"2","journalAbbreviation":"Ann Hum Genet","language":"eng","page":"173-188","title":"The estimation of pairwise relationships","volume":"39","author":[{"family":"Thompson","given":"EA"}],"issued":{"date-parts":[["1975",10]]},"citation-key":"thompsonEstimationPairwiseRelationships1975"}}],"schema":"https://github.com/citation-style-language/schema/raw/master/csl-citation.json"} </w:instrText>
      </w:r>
      <w:r w:rsidR="00367E56">
        <w:fldChar w:fldCharType="separate"/>
      </w:r>
      <w:r w:rsidR="00367E56" w:rsidRPr="00367E56">
        <w:rPr>
          <w:vertAlign w:val="superscript"/>
        </w:rPr>
        <w:t>67–69</w:t>
      </w:r>
      <w:r w:rsidR="00367E56">
        <w:fldChar w:fldCharType="end"/>
      </w:r>
      <w:r>
        <w:t xml:space="preserve">. We have created a detailed flow chart to assist investigators in matching research questions with methods and filters (Figure 3; see also Solutions and Best Practices). Pragmatically, however, this concept requires a fundamental shift in the way genetics data are analyzed: </w:t>
      </w:r>
      <w:r>
        <w:rPr>
          <w:i/>
        </w:rPr>
        <w:t xml:space="preserve">investigators must realize that no single “best” filtering strategy or filtered dataset exists for every </w:t>
      </w:r>
      <w:r w:rsidR="00B36878">
        <w:rPr>
          <w:i/>
        </w:rPr>
        <w:t>question</w:t>
      </w:r>
      <w:r w:rsidR="0060295E">
        <w:rPr>
          <w:i/>
        </w:rPr>
        <w:t>, method,</w:t>
      </w:r>
      <w:r>
        <w:rPr>
          <w:i/>
        </w:rPr>
        <w:t xml:space="preserve"> </w:t>
      </w:r>
      <w:r w:rsidR="0060295E">
        <w:rPr>
          <w:i/>
        </w:rPr>
        <w:t>or</w:t>
      </w:r>
      <w:r>
        <w:rPr>
          <w:i/>
        </w:rPr>
        <w:t xml:space="preserve"> objective</w:t>
      </w:r>
      <w:r>
        <w:t xml:space="preserve">. </w:t>
      </w:r>
    </w:p>
    <w:p w14:paraId="1086894F" w14:textId="77777777" w:rsidR="00AB68AB" w:rsidRPr="00724FF9" w:rsidRDefault="00B167CE">
      <w:pPr>
        <w:spacing w:before="0" w:after="0"/>
        <w:ind w:firstLine="0"/>
        <w:rPr>
          <w:bCs/>
          <w:i/>
          <w:iCs/>
        </w:rPr>
      </w:pPr>
      <w:bookmarkStart w:id="0" w:name="_Hlk140311935"/>
      <w:r w:rsidRPr="00724FF9">
        <w:rPr>
          <w:bCs/>
          <w:i/>
          <w:iCs/>
        </w:rPr>
        <w:t xml:space="preserve">Study-wide versus within sample-group filtering: </w:t>
      </w:r>
    </w:p>
    <w:bookmarkEnd w:id="0"/>
    <w:p w14:paraId="144E4DE7" w14:textId="0C33C6DB" w:rsidR="00AB68AB" w:rsidRDefault="00B167CE" w:rsidP="00BE6C45">
      <w:pPr>
        <w:spacing w:before="0"/>
        <w:ind w:firstLine="0"/>
      </w:pPr>
      <w:r>
        <w:t xml:space="preserve">Many filtering methods can be applied to all individuals in the study or separately within each sample group, which can represent different populations, geographic or temporal sampling </w:t>
      </w:r>
      <w:r w:rsidR="00F97456">
        <w:t>units</w:t>
      </w:r>
      <w:r>
        <w:t>, or experimental treatments. When filtering occurs across all samples (</w:t>
      </w:r>
      <w:r>
        <w:rPr>
          <w:i/>
        </w:rPr>
        <w:t>e.g.</w:t>
      </w:r>
      <w:r>
        <w:t xml:space="preserve">, </w:t>
      </w:r>
      <w:r w:rsidR="00F97456">
        <w:t xml:space="preserve">all </w:t>
      </w:r>
      <w:r>
        <w:t xml:space="preserve">individuals) within a study jointly and simultaneously, we refer to this process as </w:t>
      </w:r>
      <w:r>
        <w:rPr>
          <w:b/>
          <w:i/>
        </w:rPr>
        <w:t xml:space="preserve">study-wide </w:t>
      </w:r>
      <w:r>
        <w:t xml:space="preserve">(or “global”) </w:t>
      </w:r>
      <w:r>
        <w:rPr>
          <w:b/>
          <w:i/>
        </w:rPr>
        <w:t>filtering</w:t>
      </w:r>
      <w:r>
        <w:t xml:space="preserve">. When filtering occurs within each sample group separately, we refer to this process as </w:t>
      </w:r>
      <w:r>
        <w:rPr>
          <w:b/>
          <w:i/>
        </w:rPr>
        <w:t>within-group filtering</w:t>
      </w:r>
      <w:r>
        <w:t xml:space="preserve">. The effects of this filtering decision can be surprisingly large. For example, </w:t>
      </w:r>
      <w:r>
        <w:lastRenderedPageBreak/>
        <w:t>when a study-wide MAF filter of 0.0</w:t>
      </w:r>
      <w:r w:rsidR="009A05FF">
        <w:t>1</w:t>
      </w:r>
      <w:r>
        <w:t xml:space="preserve"> was applied </w:t>
      </w:r>
      <w:r w:rsidR="00F97456">
        <w:t xml:space="preserve">globally </w:t>
      </w:r>
      <w:r>
        <w:t>to a yellow perch (</w:t>
      </w:r>
      <w:proofErr w:type="spellStart"/>
      <w:r>
        <w:rPr>
          <w:i/>
        </w:rPr>
        <w:t>Perca</w:t>
      </w:r>
      <w:proofErr w:type="spellEnd"/>
      <w:r>
        <w:rPr>
          <w:i/>
        </w:rPr>
        <w:t xml:space="preserve"> </w:t>
      </w:r>
      <w:proofErr w:type="spellStart"/>
      <w:r>
        <w:rPr>
          <w:i/>
        </w:rPr>
        <w:t>flavescens</w:t>
      </w:r>
      <w:proofErr w:type="spellEnd"/>
      <w:r>
        <w:t xml:space="preserve">) </w:t>
      </w:r>
      <w:r>
        <w:rPr>
          <w:b/>
          <w:i/>
        </w:rPr>
        <w:t>whole-genome sequencing (WGS</w:t>
      </w:r>
      <w:r>
        <w:rPr>
          <w:i/>
        </w:rPr>
        <w:t>)</w:t>
      </w:r>
      <w:r>
        <w:t xml:space="preserve"> dataset, </w:t>
      </w:r>
      <w:r w:rsidR="00A54EC9">
        <w:t>each sample group was constrained to 714,000 SNPS (Figure 2). However, when the same 0.0</w:t>
      </w:r>
      <w:r w:rsidR="009A05FF">
        <w:t>1</w:t>
      </w:r>
      <w:r w:rsidR="00A54EC9">
        <w:t xml:space="preserve"> </w:t>
      </w:r>
      <w:r>
        <w:t>MAF filter</w:t>
      </w:r>
      <w:r w:rsidR="00A54EC9">
        <w:t xml:space="preserve"> was applied </w:t>
      </w:r>
      <w:r w:rsidR="00FF2AA7">
        <w:t>separately within</w:t>
      </w:r>
      <w:r w:rsidR="00A54EC9">
        <w:t xml:space="preserve"> each sample group</w:t>
      </w:r>
      <w:r>
        <w:t>,</w:t>
      </w:r>
      <w:r w:rsidR="00FF2AA7">
        <w:t xml:space="preserve"> </w:t>
      </w:r>
      <w:r w:rsidR="00AA0587">
        <w:t>the number of SNPs per sample group varied by a factor of 3.3</w:t>
      </w:r>
      <w:r w:rsidR="00724FF9">
        <w:fldChar w:fldCharType="begin"/>
      </w:r>
      <w:r w:rsidR="00724FF9">
        <w:instrText xml:space="preserve"> ADDIN ZOTERO_ITEM CSL_CITATION {"citationID":"8NjUF80U","properties":{"formattedCitation":"\\super 70\\nosupersub{}","plainCitation":"70","noteIndex":0},"citationItems":[{"id":5534,"uris":["http://zotero.org/users/10196124/items/XGGCK56L"],"itemData":{"id":5534,"type":"article-journal","abstract":"Abstract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724FF9">
        <w:fldChar w:fldCharType="separate"/>
      </w:r>
      <w:r w:rsidR="00724FF9" w:rsidRPr="00724FF9">
        <w:rPr>
          <w:vertAlign w:val="superscript"/>
        </w:rPr>
        <w:t>70</w:t>
      </w:r>
      <w:r w:rsidR="00724FF9">
        <w:fldChar w:fldCharType="end"/>
      </w:r>
      <w:r>
        <w:t>. In this case, some populations in the study had radically different SFS,</w:t>
      </w:r>
      <w:r>
        <w:rPr>
          <w:b/>
        </w:rPr>
        <w:t xml:space="preserve"> </w:t>
      </w:r>
      <w:r>
        <w:t>likely caused by recent population expansions in some but not all populations</w:t>
      </w:r>
      <w:r w:rsidR="00367E56">
        <w:fldChar w:fldCharType="begin"/>
      </w:r>
      <w:r w:rsidR="00367E56">
        <w:instrText xml:space="preserve"> ADDIN ZOTERO_ITEM CSL_CITATION {"citationID":"SIacmb5k","properties":{"formattedCitation":"\\super 56,57\\nosupersub{}","plainCitation":"56,57","noteIndex":0},"citationItems":[{"id":5480,"uris":["http://zotero.org/users/10196124/items/FWN4DTTY"],"itemData":{"id":5480,"type":"article-journal","abstract":"Reconstructing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fldChar w:fldCharType="separate"/>
      </w:r>
      <w:r w:rsidR="00367E56" w:rsidRPr="00367E56">
        <w:rPr>
          <w:vertAlign w:val="superscript"/>
        </w:rPr>
        <w:t>56,57</w:t>
      </w:r>
      <w:r w:rsidR="00367E56">
        <w:fldChar w:fldCharType="end"/>
      </w:r>
      <w:r>
        <w:t xml:space="preserve">. Study-wide filtering therefore led in this case to the removal of critically informative, globally rare but locally common alleles. </w:t>
      </w:r>
      <w:r w:rsidR="00F00FCC">
        <w:t>W</w:t>
      </w:r>
      <w:r>
        <w:t>hile filtering MAF globally instead of within study groups is common, it should generally be expected to have serious effects whenever SFS vary between study groups, such as when demographic histories differ (like above) or when local adaptation has occurred.</w:t>
      </w:r>
    </w:p>
    <w:p w14:paraId="1B0F6538" w14:textId="165B4751" w:rsidR="00AB68AB" w:rsidRDefault="00B167CE" w:rsidP="00BE6C45">
      <w:pPr>
        <w:spacing w:before="0"/>
      </w:pPr>
      <w:r>
        <w:t xml:space="preserve">Study-wide versus within-group filtering will also impact </w:t>
      </w:r>
      <w:r>
        <w:rPr>
          <w:b/>
          <w:i/>
        </w:rPr>
        <w:t>Genome-Wide Association Studies (GWAS)</w:t>
      </w:r>
      <w:r>
        <w:t xml:space="preserve">, where it is common to perform study-wide MAF filtering where the MAF </w:t>
      </w:r>
      <w:r w:rsidR="00F00FCC">
        <w:t xml:space="preserve">threshold </w:t>
      </w:r>
      <w:r>
        <w:t>is dictated by sample size (which can often be quite large, particularly in human or agricultural work</w:t>
      </w:r>
      <w:r w:rsidR="00367E56">
        <w:fldChar w:fldCharType="begin"/>
      </w:r>
      <w:r w:rsidR="00724FF9">
        <w:instrText xml:space="preserve"> ADDIN ZOTERO_ITEM CSL_CITATION {"citationID":"e7DRYUi6","properties":{"formattedCitation":"\\super 71\\nosupersub{}","plainCitation":"71","noteIndex":0},"citationItems":[{"id":2871,"uris":["http://zotero.org/users/10196124/items/7KWUQU6B"],"itemData":{"id":2871,"type":"article-journal","abstract":"Application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A."},{"family":"Yang","given":"Jian"}],"issued":{"date-parts":[["2017",7,6]]},"citation-key":"Visscher2017"}}],"schema":"https://github.com/citation-style-language/schema/raw/master/csl-citation.json"} </w:instrText>
      </w:r>
      <w:r w:rsidR="00367E56">
        <w:fldChar w:fldCharType="separate"/>
      </w:r>
      <w:r w:rsidR="00724FF9" w:rsidRPr="00724FF9">
        <w:rPr>
          <w:vertAlign w:val="superscript"/>
        </w:rPr>
        <w:t>71</w:t>
      </w:r>
      <w:r w:rsidR="00367E56">
        <w:fldChar w:fldCharType="end"/>
      </w:r>
      <w:r>
        <w:t>). The implications of these standardized pipelines are often not given much consideration, but the effects may be non-trivial. When populations with different SFS are compared, for example, a study-wide MAF filter can introduce ascertainment bias by removing more segregating loci from specific study groups. Human populations (and any others with complex biogeographic histories) may be prone to this</w:t>
      </w:r>
      <w:r w:rsidR="00F00FCC">
        <w:t xml:space="preserve"> bias</w:t>
      </w:r>
      <w:r>
        <w:t>, since populations with African ancestry tend to have more sites with low-frequency alleles than those with European ancestry</w:t>
      </w:r>
      <w:r w:rsidR="00367E56">
        <w:fldChar w:fldCharType="begin"/>
      </w:r>
      <w:r w:rsidR="00724FF9">
        <w:instrText xml:space="preserve"> ADDIN ZOTERO_ITEM CSL_CITATION {"citationID":"BSPmedDh","properties":{"formattedCitation":"\\super 72\\nosupersub{}","plainCitation":"72","noteIndex":0},"citationItems":[{"id":5451,"uris":["http://zotero.org/users/10196124/items/59GHIUPG"],"itemData":{"id":5451,"type":"article-journal","abstract":"Recent debates have focused on the degree of genetic variation and its impact upon health at the genomic level in humans (see the Perspective by Casals and Bertranpetit). Tennessen et al. (p. 64, published online 17 May), looking at all of the protein-coding genes in the human genome, and Nelson et al. (p. 100, published online 17 May), looking at genes that encode drug targets, address this question through deep sequencing efforts on samples from multiple individuals. The findings suggest that most human variation is rare, not shared between populations, and that rare variants are likely to play a role in human health. Most functionally consequential variants in protein-coding genes are rare and, thus, difficult to find. As a first step toward understanding how rare variants contribute to risk for complex diseases, we sequenced 15,585 human protein-coding genes to an average median depth of 111? in 2440 individuals of European (n = 1351) and African (n = 1088) ancestry. We identified over 500,000 single-nucleotide variants (SNVs), the majority of which were rare (86% with a minor allele frequency less than 0.5%), previously unknown (82%), and population-specific (82%). On average, 2.3% of the 13,595 SNVs each person carried were predicted to affect protein function of ~313 genes per genome, and ~95.7% of SNVs predicted to be functionally important were rare. This excess of rare functional variants is due to the combined effects of explosive, recent accelerated population growth and weak purifying selection. Furthermore, we show that large sample sizes will be required to associate rare variants with complex traits.","container-title":"Science","DOI":"10.1126/science.1219240","issue":"6090","journalAbbreviation":"Science","note":"publisher: American Association for the Advancement of Science","page":"64-69","title":"Evolution and Functional Impact of Rare Coding Variation from Deep Sequencing of Human Exomes","volume":"337","author":[{"family":"Tennessen","given":"Jacob A."},{"family":"Bigham","given":"Abigail W."},{"family":"O’Connor","given":"Timothy D."},{"family":"Fu","given":"Wenqing"},{"family":"Kenny","given":"Eimear E."},{"family":"Gravel","given":"Simon"},{"family":"McGee","given":"Sean"},{"family":"Do","given":"Ron"},{"family":"Liu","given":"Xiaoming"},{"family":"Jun","given":"Goo"},{"family":"Kang","given":"Hyun Min"},{"family":"Jordan","given":"Daniel"},{"family":"Leal","given":"Suzanne M."},{"family":"Gabriel","given":"Stacey"},{"family":"Rieder","given":"Mark J."},{"family":"Abecasis","given":"Goncalo"},{"family":"Altshuler","given":"David"},{"family":"Nickerson","given":"Deborah A."},{"family":"Boerwinkle","given":"Eric"},{"family":"Sunyaev","given":"Shamil"},{"family":"Bustamante","given":"Carlos D."},{"family":"Bamshad","given":"Michael J."},{"family":"Akey","given":"Joshua M."},{"literal":"Broad GO"},{"literal":"Seattle GO"},{"literal":"on behalf of the NHLBI Exome Sequencing Project"}],"issued":{"date-parts":[["2012",7,6]]},"citation-key":"tennessenEvolutionFunctionalImpact2012"}}],"schema":"https://github.com/citation-style-language/schema/raw/master/csl-citation.json"} </w:instrText>
      </w:r>
      <w:r w:rsidR="00367E56">
        <w:fldChar w:fldCharType="separate"/>
      </w:r>
      <w:r w:rsidR="00724FF9" w:rsidRPr="00724FF9">
        <w:rPr>
          <w:vertAlign w:val="superscript"/>
        </w:rPr>
        <w:t>72</w:t>
      </w:r>
      <w:r w:rsidR="00367E56">
        <w:fldChar w:fldCharType="end"/>
      </w:r>
      <w:r>
        <w:t xml:space="preserve">. Using a study-wide MAF filter will therefore remove more segregating loci from the African ancestry sample group and </w:t>
      </w:r>
      <w:r w:rsidR="00466F8E">
        <w:t xml:space="preserve">could </w:t>
      </w:r>
      <w:r>
        <w:t>result in</w:t>
      </w:r>
      <w:r w:rsidR="00724FF9">
        <w:t xml:space="preserve"> the preferential detection of</w:t>
      </w:r>
      <w:r w:rsidR="00F00FCC">
        <w:t xml:space="preserve"> large effect </w:t>
      </w:r>
      <w:r w:rsidR="00724FF9">
        <w:t xml:space="preserve">loci </w:t>
      </w:r>
      <w:r>
        <w:t xml:space="preserve">in European populations. While we have focused on MAF filtering here due to its near universal </w:t>
      </w:r>
      <w:r>
        <w:lastRenderedPageBreak/>
        <w:t>implementation (see Box 1), other filtering approaches can be similarly biased by study-wide versus within-group filtering. Differences in downstream outcomes from filtering HWP</w:t>
      </w:r>
      <w:r w:rsidR="00367E56">
        <w:fldChar w:fldCharType="begin"/>
      </w:r>
      <w:r w:rsidR="00724FF9">
        <w:instrText xml:space="preserve"> ADDIN ZOTERO_ITEM CSL_CITATION {"citationID":"MaoguuIV","properties":{"formattedCitation":"\\super 53\\nosupersub{}","plainCitation":"53","noteIndex":0},"citationItems":[{"id":"y5pQWal7/bfyP10dW","uris":["http://zotero.org/users/local/nWY58Val/items/P24LDBB6"],"itemData":{"id":35,"type":"article-journal","container-title":"Molecular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367E56">
        <w:fldChar w:fldCharType="separate"/>
      </w:r>
      <w:r w:rsidR="00367E56" w:rsidRPr="00367E56">
        <w:rPr>
          <w:vertAlign w:val="superscript"/>
        </w:rPr>
        <w:t>53</w:t>
      </w:r>
      <w:r w:rsidR="00367E56">
        <w:fldChar w:fldCharType="end"/>
      </w:r>
      <w:r>
        <w:t xml:space="preserve"> and LD</w:t>
      </w:r>
      <w:r w:rsidR="00367E56">
        <w:fldChar w:fldCharType="begin"/>
      </w:r>
      <w:r w:rsidR="00724FF9">
        <w:instrText xml:space="preserve"> ADDIN ZOTERO_ITEM CSL_CITATION {"citationID":"qWLBNXFa","properties":{"formattedCitation":"\\super 73\\nosupersub{}","plainCitation":"73","noteIndex":0},"citationItems":[{"id":5528,"uris":["http://zotero.org/users/10196124/items/R4CH8BYQ"],"itemData":{"id":5528,"type":"article-journal","abstract":"Phenotypic diversity in poultry has been mainly driven by artificial selection and genetic drift. These led to the adaptation to the environment and the development of specific phenotypic traits of chickens in response to their economic use. This study evaluated genetic diversity within and between Russian breeds and populations using Illumina Chicken 60K SNP iSelect BeadChip by analysing genetic differences between populations with Hudson's fixation index (FST statistic) and heterozygosity. We estimated the effect of rare alleles and linkage disequilibrium (LD) on these measurements. To assess the effect of LD on the genetic diversity population, we carried out the LD-based pruning (LD&lt;0.5 and LD&lt;0.1) for seven chicken populations combined (I) or separately (II). LD pruning was specific for different dataset groups. Because of the noticeably large sample size in the Russian White RG population, pruning was substantial for Dataset I, and FST values were only positive when LD&lt;0.1 pruning was applied. For Dataset II, the LD pruning results were confirmed by examining heterozygosity and alleles' frequency distribution. LD between single nucleotide polymorphisms was consistent across the seven chicken populations, except the Russian White RG population with the smallest r2 values and the largest effective population size. Our findings suggest to study variability in each population LD pruning has to be carried separately not after merging to avoid bias in estimates.","container-title":"Animal","DOI":"10.1016/j.animal.2021.100171","ISSN":"1751-7311","issue":"3","journalAbbreviation":"Animal","page":"100171","title":"Assessing the effects of rare alleles and linkage disequilibrium on estimates of genetic diversity in the chicken populations","volume":"15","author":[{"family":"Dementieva","given":"N.V."},{"family":"Mitrofanova","given":"O.V."},{"family":"Dysin","given":"A.P."},{"family":"Kudinov","given":"A.A."},{"family":"Stanishevskaya","given":"O.I."},{"family":"Larkina","given":"T.A."},{"family":"Plemyashov","given":"K.V."},{"family":"Griffin","given":"D.K."},{"family":"Romanov","given":"M.N."},{"family":"Smaragdov","given":"M.G."}],"issued":{"date-parts":[["2021",3,1]]},"citation-key":"dementievaAssessingEffectsRare2021"}}],"schema":"https://github.com/citation-style-language/schema/raw/master/csl-citation.json"} </w:instrText>
      </w:r>
      <w:r w:rsidR="00367E56">
        <w:fldChar w:fldCharType="separate"/>
      </w:r>
      <w:r w:rsidR="00724FF9" w:rsidRPr="00724FF9">
        <w:rPr>
          <w:vertAlign w:val="superscript"/>
        </w:rPr>
        <w:t>73</w:t>
      </w:r>
      <w:r w:rsidR="00367E56">
        <w:fldChar w:fldCharType="end"/>
      </w:r>
      <w:r>
        <w:t xml:space="preserve"> within-groups vs. study-wide, for example, have been previously documented.</w:t>
      </w:r>
    </w:p>
    <w:p w14:paraId="0F959C09" w14:textId="07C6FA09" w:rsidR="00AB68AB" w:rsidRDefault="00B167CE" w:rsidP="00BE6C45">
      <w:pPr>
        <w:spacing w:before="0" w:after="360"/>
      </w:pPr>
      <w:r>
        <w:t xml:space="preserve">In light of these findings, it is crucial to consider </w:t>
      </w:r>
      <w:r>
        <w:rPr>
          <w:i/>
        </w:rPr>
        <w:t xml:space="preserve">why </w:t>
      </w:r>
      <w:r>
        <w:t>results may differ when applying filters globally or within groups, particularly if sample groups include individuals from different populations, locations, or time points</w:t>
      </w:r>
      <w:r w:rsidR="00367E56">
        <w:fldChar w:fldCharType="begin"/>
      </w:r>
      <w:r w:rsidR="00724FF9">
        <w:instrText xml:space="preserve"> ADDIN ZOTERO_ITEM CSL_CITATION {"citationID":"2hi0ENf1","properties":{"formattedCitation":"\\super 74\\nosupersub{}","plainCitation":"74","noteIndex":0},"citationItems":[{"id":5484,"uris":["http://zotero.org/users/10196124/items/5VM5QXQ9"],"itemData":{"id":5484,"type":"article-journal","abstract":"Abstract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367E56">
        <w:fldChar w:fldCharType="separate"/>
      </w:r>
      <w:r w:rsidR="00724FF9" w:rsidRPr="00724FF9">
        <w:rPr>
          <w:vertAlign w:val="superscript"/>
        </w:rPr>
        <w:t>74</w:t>
      </w:r>
      <w:r w:rsidR="00367E56">
        <w:fldChar w:fldCharType="end"/>
      </w:r>
      <w:r>
        <w:t xml:space="preserve">. Tests for HWP should be conducted on each local group or population (deme) separately. If genetically-distinct groups are pooled, there will be an excess of homozygotes (positive </w:t>
      </w:r>
      <w:r>
        <w:rPr>
          <w:i/>
        </w:rPr>
        <w:t>F</w:t>
      </w:r>
      <w:r>
        <w:rPr>
          <w:vertAlign w:val="subscript"/>
        </w:rPr>
        <w:t>IS</w:t>
      </w:r>
      <w:r>
        <w:t xml:space="preserve">) across loci genome-wide (i.e., a </w:t>
      </w:r>
      <w:r>
        <w:rPr>
          <w:b/>
          <w:i/>
        </w:rPr>
        <w:t>Wahlund effect</w:t>
      </w:r>
      <w:r>
        <w:t>) and their removal can mask population structure (see Figure 2)</w:t>
      </w:r>
      <w:r w:rsidR="00367E56">
        <w:fldChar w:fldCharType="begin"/>
      </w:r>
      <w:r w:rsidR="00724FF9">
        <w:instrText xml:space="preserve"> ADDIN ZOTERO_ITEM CSL_CITATION {"citationID":"txyjrUbC","properties":{"formattedCitation":"\\super 45,75\\nosupersub{}","plainCitation":"45,75","noteIndex":0},"citationItems":[{"id":"y5pQWal7/zAvwXH98","uris":["http://zotero.org/users/local/nWY58Val/items/ADKDT8RU"],"itemData":{"id":53,"type":"article-journal","container-title":"Journal of Heredity","issue":"4","note":"publisher: Oxford University Press US","page":"446–456","source":"Google Scholar","title":"Revisiting F IS, F ST, Wahlund effects, and null alleles","volume":"109","author":[{"family":"De Meeûs","given":"Thierry"}],"issued":{"date-parts":[["2018"]]}}},{"id":5230,"uris":["http://zotero.org/users/10196124/items/GCG564EL"],"itemData":{"id":5230,"type":"article-journal","abstract":"Testing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367E56">
        <w:fldChar w:fldCharType="separate"/>
      </w:r>
      <w:r w:rsidR="00724FF9" w:rsidRPr="00724FF9">
        <w:rPr>
          <w:vertAlign w:val="superscript"/>
        </w:rPr>
        <w:t>45,75</w:t>
      </w:r>
      <w:r w:rsidR="00367E56">
        <w:fldChar w:fldCharType="end"/>
      </w:r>
      <w:r>
        <w:t>. Genome-wide heterozygote deficiency can also result from low sequencing coverage and allelic dropout, which can be difficult to differentiate from Wahlund effects (although the latter influences all loci independent of read depth</w:t>
      </w:r>
      <w:r w:rsidR="00367E56">
        <w:fldChar w:fldCharType="begin"/>
      </w:r>
      <w:r w:rsidR="00367E56">
        <w:instrText xml:space="preserve"> ADDIN ZOTERO_ITEM CSL_CITATION {"citationID":"QwesF5zN","properties":{"formattedCitation":"\\super 49,63\\nosupersub{}","plainCitation":"49,63","noteIndex":0},"citationItems":[{"id":5341,"uris":["http://zotero.org/users/10196124/items/2RY74CP6"],"itemData":{"id":5341,"type":"article-journal","abstract":"Abstract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367E56">
        <w:fldChar w:fldCharType="separate"/>
      </w:r>
      <w:r w:rsidR="00367E56" w:rsidRPr="00367E56">
        <w:rPr>
          <w:vertAlign w:val="superscript"/>
        </w:rPr>
        <w:t>49,63</w:t>
      </w:r>
      <w:r w:rsidR="00367E56">
        <w:fldChar w:fldCharType="end"/>
      </w:r>
      <w:r>
        <w:t>). If a specific locus shows a consistent HWP deviation (</w:t>
      </w:r>
      <w:r w:rsidRPr="00724FF9">
        <w:rPr>
          <w:i/>
          <w:iCs/>
        </w:rPr>
        <w:t>e.g.,</w:t>
      </w:r>
      <w:r>
        <w:t xml:space="preserve"> positive or negative </w:t>
      </w:r>
      <w:r>
        <w:rPr>
          <w:i/>
        </w:rPr>
        <w:t>F</w:t>
      </w:r>
      <w:r>
        <w:rPr>
          <w:vertAlign w:val="subscript"/>
        </w:rPr>
        <w:t>IS</w:t>
      </w:r>
      <w:r>
        <w:t>) in multiple different groups, it may indicate genotyping error (</w:t>
      </w:r>
      <w:r w:rsidRPr="00724FF9">
        <w:rPr>
          <w:i/>
          <w:iCs/>
        </w:rPr>
        <w:t>e.g.</w:t>
      </w:r>
      <w:r>
        <w:t>, allelic drop-out) or alignment or genome assembly errors (beyond natural/biological processes</w:t>
      </w:r>
      <w:r w:rsidR="00367E56">
        <w:fldChar w:fldCharType="begin"/>
      </w:r>
      <w:r w:rsidR="00724FF9">
        <w:instrText xml:space="preserve"> ADDIN ZOTERO_ITEM CSL_CITATION {"citationID":"xCoy4cdD","properties":{"formattedCitation":"\\super 76\\nosupersub{}","plainCitation":"76","noteIndex":0},"citationItems":[{"id":5518,"uris":["http://zotero.org/users/10196124/items/QHZUH3H3"],"itemData":{"id":5518,"type":"article-journal","abstract":"Statistical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367E56">
        <w:fldChar w:fldCharType="separate"/>
      </w:r>
      <w:r w:rsidR="00724FF9" w:rsidRPr="00724FF9">
        <w:rPr>
          <w:vertAlign w:val="superscript"/>
        </w:rPr>
        <w:t>76</w:t>
      </w:r>
      <w:r w:rsidR="00367E56">
        <w:fldChar w:fldCharType="end"/>
      </w:r>
      <w:r>
        <w:t>)</w:t>
      </w:r>
      <w:r w:rsidR="0060295E">
        <w:t>;</w:t>
      </w:r>
      <w:r>
        <w:t xml:space="preserve"> whereas consistent</w:t>
      </w:r>
      <w:r w:rsidR="0060295E">
        <w:t>,</w:t>
      </w:r>
      <w:r w:rsidR="00441483">
        <w:t xml:space="preserve"> </w:t>
      </w:r>
      <w:proofErr w:type="spellStart"/>
      <w:r w:rsidR="00441483">
        <w:t>mutilocus</w:t>
      </w:r>
      <w:proofErr w:type="spellEnd"/>
      <w:r>
        <w:t xml:space="preserve"> within-group deviations may instead indicate inbreeding, underlying cryptic population structure, and/or assortative mating.</w:t>
      </w:r>
    </w:p>
    <w:p w14:paraId="798FC029" w14:textId="77777777" w:rsidR="00AB68AB" w:rsidRDefault="00B167CE" w:rsidP="00BE6C45">
      <w:pPr>
        <w:keepNext/>
        <w:spacing w:before="0" w:after="0"/>
        <w:ind w:firstLine="0"/>
        <w:rPr>
          <w:b/>
        </w:rPr>
      </w:pPr>
      <w:r>
        <w:rPr>
          <w:b/>
        </w:rPr>
        <w:t xml:space="preserve">Solutions and best practices: </w:t>
      </w:r>
    </w:p>
    <w:p w14:paraId="1ACBDC42" w14:textId="36FD2A1B" w:rsidR="00AB68AB" w:rsidRDefault="00B167CE" w:rsidP="00BE6C45">
      <w:pPr>
        <w:keepNext/>
        <w:spacing w:before="0"/>
        <w:ind w:firstLine="0"/>
      </w:pPr>
      <w:r>
        <w:t xml:space="preserve">Filtering is a powerful tool that should be applied </w:t>
      </w:r>
      <w:r w:rsidR="00724FF9">
        <w:t xml:space="preserve">thoughtfully, </w:t>
      </w:r>
      <w:r>
        <w:t>early</w:t>
      </w:r>
      <w:r w:rsidR="00555EDB">
        <w:t>,</w:t>
      </w:r>
      <w:r w:rsidR="00724FF9">
        <w:t xml:space="preserve"> and</w:t>
      </w:r>
      <w:r w:rsidR="00555EDB">
        <w:t xml:space="preserve"> often</w:t>
      </w:r>
      <w:r w:rsidR="00724FF9">
        <w:t xml:space="preserve"> </w:t>
      </w:r>
      <w:r>
        <w:t xml:space="preserve">throughout genomic dataset construction and analysis to test for </w:t>
      </w:r>
      <w:r w:rsidR="00724FF9">
        <w:t xml:space="preserve">the </w:t>
      </w:r>
      <w:r>
        <w:t>effects of broad-ranging problems (</w:t>
      </w:r>
      <w:r>
        <w:rPr>
          <w:i/>
        </w:rPr>
        <w:t>e.g.</w:t>
      </w:r>
      <w:r>
        <w:t>, experimental, sample collection, labeling, or library preparation errors; batch-effect sequencing and genome assembly errors), and interesting biological phenomena (</w:t>
      </w:r>
      <w:r>
        <w:rPr>
          <w:i/>
        </w:rPr>
        <w:t>e.g.</w:t>
      </w:r>
      <w:r>
        <w:t xml:space="preserve">, natural selection, structural variants, Wahlund effects). Even in highly-studied species, such as humans, thoughtful </w:t>
      </w:r>
      <w:r>
        <w:lastRenderedPageBreak/>
        <w:t>and multi-faceted filtering is important as novel structural and genetic variants occur within every population</w:t>
      </w:r>
      <w:r w:rsidR="00367E56">
        <w:fldChar w:fldCharType="begin"/>
      </w:r>
      <w:r w:rsidR="00724FF9">
        <w:instrText xml:space="preserve"> ADDIN ZOTERO_ITEM CSL_CITATION {"citationID":"lTXPZdYX","properties":{"formattedCitation":"\\super 77\\nosupersub{}","plainCitation":"77","noteIndex":0},"citationItems":[{"id":5437,"uris":["http://zotero.org/users/10196124/items/REM58CZU"],"itemData":{"id":5437,"type":"article-journal","abstract":"Large structural variants (SVs) in the human genome are difficult to detect and study by conventional sequencing technologies. With long-range genome analysis platforms, such as optical mapping, one can identify large SVs (&gt;2 kb) across the genome in one experiment. Analyzing optical genome maps of 154 individuals from the 26 populations sequenced in the 1000 Genomes Project, we find that phylogenetic population patterns of large SVs are similar to those of single nucleotide variations in 86% of the human genome, while ~2% of the genome has high structural complexity. We are able to characterize SVs in many intractable regions of the genome, including segmental duplications and subtelomeric, pericentromeric, and acrocentric areas. In addition, we discover ~60 Mb of non-redundant genome content missing in the reference genome sequence assembly. Our results highlight the need for a comprehensive set of alternate haplotypes from different populations to represent SV patterns in the genome.","container-title":"Nature Communications","DOI":"10.1038/s41467-019-08992-7","ISSN":"2041-1723","issue":"1","journalAbbreviation":"Nature Communications","page":"1025","title":"Genome maps across 26 human populations reveal population-specific patterns of structural variation","volume":"10","author":[{"family":"Levy-Sakin","given":"Michal"},{"family":"Pastor","given":"Steven"},{"family":"Mostovoy","given":"Yulia"},{"family":"Li","given":"Le"},{"family":"Leung","given":"Alden K. Y."},{"family":"McCaffrey","given":"Jennifer"},{"family":"Young","given":"Eleanor"},{"family":"Lam","given":"Ernest T."},{"family":"Hastie","given":"Alex R."},{"family":"Wong","given":"Karen H. Y."},{"family":"Chung","given":"Claire Y. L."},{"family":"Ma","given":"Walfred"},{"family":"Sibert","given":"Justin"},{"family":"Rajagopalan","given":"Ramakrishnan"},{"family":"Jin","given":"Nana"},{"family":"Chow","given":"Eugene Y. C."},{"family":"Chu","given":"Catherine"},{"family":"Poon","given":"Annie"},{"family":"Lin","given":"Chin"},{"family":"Naguib","given":"Ahmed"},{"family":"Wang","given":"Wei-Ping"},{"family":"Cao","given":"Han"},{"family":"Chan","given":"Ting-Fung"},{"family":"Yip","given":"Kevin Y."},{"family":"Xiao","given":"Ming"},{"family":"Kwok","given":"Pui-Yan"}],"issued":{"date-parts":[["2019",3,4]]},"citation-key":"levy-sakinGenomeMaps262019"}}],"schema":"https://github.com/citation-style-language/schema/raw/master/csl-citation.json"} </w:instrText>
      </w:r>
      <w:r w:rsidR="00367E56">
        <w:fldChar w:fldCharType="separate"/>
      </w:r>
      <w:r w:rsidR="00724FF9" w:rsidRPr="00724FF9">
        <w:rPr>
          <w:vertAlign w:val="superscript"/>
        </w:rPr>
        <w:t>77</w:t>
      </w:r>
      <w:r w:rsidR="00367E56">
        <w:fldChar w:fldCharType="end"/>
      </w:r>
      <w:r>
        <w:t>, and failing to account for them may curtail power to identify causal associations or even lead to incorrect inferences</w:t>
      </w:r>
      <w:r w:rsidR="00367E56">
        <w:fldChar w:fldCharType="begin"/>
      </w:r>
      <w:r w:rsidR="00367E56">
        <w:instrText xml:space="preserve"> ADDIN ZOTERO_ITEM CSL_CITATION {"citationID":"OnlAyWfN","properties":{"formattedCitation":"\\super 42\\nosupersub{}","plainCitation":"42","noteIndex":0},"citationItems":[{"id":5506,"uris":["http://zotero.org/users/10196124/items/3ENS6SXW"],"itemData":{"id":5506,"type":"article-journal","abstract":"Restriction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367E56">
        <w:fldChar w:fldCharType="separate"/>
      </w:r>
      <w:r w:rsidR="00367E56" w:rsidRPr="00367E56">
        <w:rPr>
          <w:vertAlign w:val="superscript"/>
        </w:rPr>
        <w:t>42</w:t>
      </w:r>
      <w:r w:rsidR="00367E56">
        <w:fldChar w:fldCharType="end"/>
      </w:r>
      <w:r>
        <w:t>.</w:t>
      </w:r>
    </w:p>
    <w:p w14:paraId="19CD9118" w14:textId="28A61C05" w:rsidR="00AB68AB" w:rsidRDefault="00B167CE" w:rsidP="00BE6C45">
      <w:pPr>
        <w:spacing w:before="0"/>
      </w:pPr>
      <w:r>
        <w:t xml:space="preserve">To facilitate next-generation filtering, we have created a detailed flow chart that can be applied generally across disciplines and study systems (Figure 3; see also Table 1 and Box 4). </w:t>
      </w:r>
      <w:r w:rsidR="00555EDB">
        <w:t>W</w:t>
      </w:r>
      <w:r>
        <w:t>e recognize that some alignment-free</w:t>
      </w:r>
      <w:r w:rsidR="00555EDB">
        <w:t xml:space="preserve"> methods</w:t>
      </w:r>
      <w:r>
        <w:t xml:space="preserve"> exist that use high throughput sequencing data, particularly for metagenomics and other phylogenomic analyses</w:t>
      </w:r>
      <w:r w:rsidR="00367E56">
        <w:fldChar w:fldCharType="begin"/>
      </w:r>
      <w:r w:rsidR="00724FF9">
        <w:instrText xml:space="preserve"> ADDIN ZOTERO_ITEM CSL_CITATION {"citationID":"wbGqofKt","properties":{"formattedCitation":"\\super 78\\nosupersub{}","plainCitation":"78","noteIndex":0},"citationItems":[{"id":5453,"uris":["http://zotero.org/users/10196124/items/8NTNDVN3"],"itemData":{"id":5453,"type":"article-journal","abstract":"In the age of genome sequencing, whole genome data is readily and frequently generated, leading to a wealth of new information that can be used to advance various fields of research. New approaches, such as alignment-free phylogenetic methods that utilize k-mer-based distance scoring, are becoming increasingly popular given their ability to rapidly generate phylogenetic information from whole genome data. However, these methods have not yet been tested using environmental data, which often tends to be highly fragmented and incomplete. Here we compare the results of one alignment-free approach (which utilizes the D 2 statistic) to traditional multi-gene maximum likelihood trees in three algal groups that have high quality genome data available. In addition, we simulate lower-quality, fragmented genome data using these algae to test method robustness to genome quality and completeness. Finally, we apply the alignment-free approach to environmental metagenome assembled genome data of unclassified Saccharibacteria and Trebouxiophyte algae, and single-cell amplified data from uncultured marine stramenopiles to demonstrate its utility with real datasets. We find that in all instances, the alignment-free method produces phylogenies that are comparable, and often more informative, than those created using the traditional multi-gene approach. The k-mer-based method performs well even when there is significant missing data, that includes marker genes traditionally used for tree reconstruction. Our results demonstrate the value of alignment-free approaches for classifying novel, often cryptic or rare, species, that may not be culturable or are difficult to access using single-cell methods, but fill important gaps in the tree of life.","container-title":"Systematic Biology","DOI":"10.1093/sysbio/syad037","ISSN":"1063-5157","journalAbbreviation":"Systematic Biology","page":"syad037","title":"A k-mer-based approach for phylogenetic classification of taxa in environmental genomic data","author":[{"family":"Van Etten","given":"Julia"},{"family":"Stephens","given":"Timothy G"},{"family":"Bhattacharya","given":"Debashish"}],"issued":{"date-parts":[["2023",6,14]]},"citation-key":"vanettenKmerbasedApproachPhylogenetic2023"}}],"schema":"https://github.com/citation-style-language/schema/raw/master/csl-citation.json"} </w:instrText>
      </w:r>
      <w:r w:rsidR="00367E56">
        <w:fldChar w:fldCharType="separate"/>
      </w:r>
      <w:r w:rsidR="00724FF9" w:rsidRPr="00724FF9">
        <w:rPr>
          <w:vertAlign w:val="superscript"/>
        </w:rPr>
        <w:t>78</w:t>
      </w:r>
      <w:r w:rsidR="00367E56">
        <w:fldChar w:fldCharType="end"/>
      </w:r>
      <w:r>
        <w:t>, and they are not considered extensively here. Likewise, filtering for RNA</w:t>
      </w:r>
      <w:r w:rsidR="00C16345">
        <w:t>-</w:t>
      </w:r>
      <w:r>
        <w:t xml:space="preserve">seq is not thoroughly reviewed here–while </w:t>
      </w:r>
      <w:r w:rsidR="00555EDB">
        <w:t>many concepts hold true (especially for SNPs called from RNA-seq data),</w:t>
      </w:r>
      <w:r>
        <w:t xml:space="preserve"> many of the specific filters </w:t>
      </w:r>
      <w:r w:rsidR="00555EDB">
        <w:t xml:space="preserve"> may</w:t>
      </w:r>
      <w:r>
        <w:t xml:space="preserve"> not apply</w:t>
      </w:r>
      <w:r w:rsidR="00555EDB">
        <w:t xml:space="preserve"> (see </w:t>
      </w:r>
      <w:r w:rsidR="00C16345">
        <w:fldChar w:fldCharType="begin"/>
      </w:r>
      <w:r w:rsidR="00C16345">
        <w:instrText xml:space="preserve"> ADDIN ZOTERO_ITEM CSL_CITATION {"citationID":"EF7bGtLp","properties":{"formattedCitation":"\\super 79\\nosupersub{}","plainCitation":"79","noteIndex":0},"citationItems":[{"id":5537,"uris":["http://zotero.org/users/10196124/items/VKEHIPXR"],"itemData":{"id":5537,"type":"article-journal","abstract":"Abstract Reference is regularly made to the power of new genomic sequencing approaches. Using powerful technology, however, is not the same as having the necessary power to address a research question with statistical robustness. In the rush to adopt new and improved genomic research methods, limitations of technology and experimental design may be initially neglected. Here, we review these issues with regard to RNA sequencing (RNA-seq). RNA-seq adds large-scale transcriptomics to the toolkit of ecological and evolutionary biologists, enabling differential gene expression (DE) studies in nonmodel species without the need for prior genomic resources. High biological variance is typical of field-based gene expression studies and means that larger sample sizes are often needed to achieve the same degree of statistical power as clinical studies based on data from cell lines or inbred animal models. Sequencing costs have plummeted, yet RNA-seq studies still underutilize biological replication. Finite research budgets force a trade-off between sequencing effort and replication in RNA-seq experimental design. However, clear guidelines for negotiating this trade-off, while taking into account study-specific factors affecting power, are currently lacking. Study designs that prioritize sequencing depth over replication fail to capitalize on the power of RNA-seq technology for DE inference. Significant recent research effort has gone into developing statistical frameworks and software tools for power analysis and sample size calculation in the context of RNA-seq DE analysis. We synthesize progress in this area and derive an accessible rule-of-thumb guide for designing powerful RNA-seq experiments relevant in eco-evolutionary and clinical settings alike.","container-title":"Molecular Ecology","DOI":"10.1111/mec.13526","ISSN":"0962-1083","issue":"6","journalAbbreviation":"Molecular Ecology","note":"publisher: John Wiley &amp; Sons, Ltd","page":"1224-1241","title":"The power and promise of RNA-seq in ecology and evolution","volume":"25","author":[{"family":"Todd","given":"Erica V."},{"family":"Black","given":"Michael A."},{"family":"Gemmell","given":"Neil J."}],"issued":{"date-parts":[["2016",3,1]]},"citation-key":"toddPowerPromiseRNAseq2016"}}],"schema":"https://github.com/citation-style-language/schema/raw/master/csl-citation.json"} </w:instrText>
      </w:r>
      <w:r w:rsidR="00C16345">
        <w:fldChar w:fldCharType="separate"/>
      </w:r>
      <w:r w:rsidR="00C16345" w:rsidRPr="00C16345">
        <w:rPr>
          <w:vertAlign w:val="superscript"/>
        </w:rPr>
        <w:t>79</w:t>
      </w:r>
      <w:r w:rsidR="00C16345">
        <w:fldChar w:fldCharType="end"/>
      </w:r>
      <w:r w:rsidR="00C16345">
        <w:t xml:space="preserve"> </w:t>
      </w:r>
      <w:r w:rsidR="00555EDB">
        <w:t xml:space="preserve">and </w:t>
      </w:r>
      <w:r w:rsidR="00C16345">
        <w:fldChar w:fldCharType="begin"/>
      </w:r>
      <w:r w:rsidR="00C16345">
        <w:instrText xml:space="preserve"> ADDIN ZOTERO_ITEM CSL_CITATION {"citationID":"ToecmThc","properties":{"formattedCitation":"\\super 80\\nosupersub{}","plainCitation":"80","noteIndex":0},"citationItems":[{"id":5536,"uris":["http://zotero.org/users/10196124/items/TIBZTX2C"],"itemData":{"id":5536,"type":"article-journal","abstract":"RNA-sequencing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transcriptomics.","container-title":"Genome Biology","DOI":"10.1186/s13059-016-0881-8","ISSN":"1474-760X","issue":"1","journalAbbreviation":"Genome Biology","page":"13","title":"A survey of best practices for RNA-seq data analysis","volume":"17","author":[{"family":"Conesa","given":"Ana"},{"family":"Madrigal","given":"Pedro"},{"family":"Tarazona","given":"Sonia"},{"family":"Gomez-Cabrero","given":"David"},{"family":"Cervera","given":"Alejandra"},{"family":"McPherson","given":"Andrew"},{"family":"Szcześniak","given":"Michał Wojciech"},{"family":"Gaffney","given":"Daniel J."},{"family":"Elo","given":"Laura L."},{"family":"Zhang","given":"Xuegong"},{"family":"Mortazavi","given":"Ali"}],"issued":{"date-parts":[["2016",1,26]]},"citation-key":"conesaSurveyBestPractices2016"}}],"schema":"https://github.com/citation-style-language/schema/raw/master/csl-citation.json"} </w:instrText>
      </w:r>
      <w:r w:rsidR="00C16345">
        <w:fldChar w:fldCharType="separate"/>
      </w:r>
      <w:r w:rsidR="00C16345" w:rsidRPr="00C16345">
        <w:rPr>
          <w:vertAlign w:val="superscript"/>
        </w:rPr>
        <w:t>80</w:t>
      </w:r>
      <w:r w:rsidR="00C16345">
        <w:fldChar w:fldCharType="end"/>
      </w:r>
      <w:r w:rsidR="00555EDB">
        <w:t>)</w:t>
      </w:r>
      <w:r>
        <w:t>. For all other studies, we here highlight the salient features of a genomics study workflow.</w:t>
      </w:r>
    </w:p>
    <w:p w14:paraId="7E43F346" w14:textId="135938AB" w:rsidR="00AB68AB" w:rsidRDefault="00B167CE" w:rsidP="00AD7C49">
      <w:pPr>
        <w:spacing w:before="0"/>
      </w:pPr>
      <w:r>
        <w:t>First, we note that most genomic workflows differ depending on the question and researcher decisions, and that the documentation of filtering decisions is therefore paramount for reproducibility and research efficiency. As a first step, we recommend that raw data be immediately archived in independent</w:t>
      </w:r>
      <w:r w:rsidR="00555EDB">
        <w:t>, non-local</w:t>
      </w:r>
      <w:r>
        <w:t xml:space="preserve"> repositories</w:t>
      </w:r>
      <w:r w:rsidR="00992026">
        <w:t xml:space="preserve"> created for genomics data </w:t>
      </w:r>
      <w:r>
        <w:t xml:space="preserve"> (</w:t>
      </w:r>
      <w:r>
        <w:rPr>
          <w:i/>
        </w:rPr>
        <w:t>e.g.</w:t>
      </w:r>
      <w:r>
        <w:t>, the NCBI Short-read Archive</w:t>
      </w:r>
      <w:r w:rsidR="00350FBC">
        <w:t xml:space="preserve">, the European Variation Archive, the </w:t>
      </w:r>
      <w:r w:rsidR="00350FBC" w:rsidRPr="00350FBC">
        <w:t xml:space="preserve">DNA </w:t>
      </w:r>
      <w:proofErr w:type="spellStart"/>
      <w:r w:rsidR="00350FBC" w:rsidRPr="00350FBC">
        <w:t>DataBank</w:t>
      </w:r>
      <w:proofErr w:type="spellEnd"/>
      <w:r w:rsidR="00350FBC" w:rsidRPr="00350FBC">
        <w:t xml:space="preserve"> of Japan</w:t>
      </w:r>
      <w:r>
        <w:t>) prior to any analysis (see</w:t>
      </w:r>
      <w:r w:rsidR="00367E56">
        <w:fldChar w:fldCharType="begin"/>
      </w:r>
      <w:r w:rsidR="00C16345">
        <w:instrText xml:space="preserve"> ADDIN ZOTERO_ITEM CSL_CITATION {"citationID":"LQKacsyp","properties":{"formattedCitation":"\\super 81,82\\nosupersub{}","plainCitation":"81,82","noteIndex":0},"citationItems":[{"id":5456,"uris":["http://zotero.org/users/10196124/items/QXTBNSVI"],"itemData":{"id":5456,"type":"article-journal","abstract":"As sequencing prices drop, genomic data accumulates—seemingly at a steadily increasing pace. Most genomic data potentially have value beyond the initial purpose—but only if shared with the scientific community. This, of course, is often easier said than done. Some of the challenges in sharing genomic data include data volume (raw file sizes and number of files), complexities, formats, nomenclatures, metadata descriptions, and the choice of a repository. In this paper, we describe 10 quick tips for sharing open genomic data.","container-title":"PLOS Computational Biology","DOI":"10.1371/journal.pcbi.1006472","issue":"12","journalAbbreviation":"PLOS Computational Biology","note":"publisher: Public Library of Science","page":"e1006472","title":"Ten quick tips for sharing open genomic data","volume":"14","author":[{"family":"Brown","given":"Anne V."},{"family":"Campbell","given":"Jacqueline D."},{"family":"Assefa","given":"Teshale"},{"family":"Grant","given":"David"},{"family":"Nelson","given":"Rex T."},{"family":"Weeks","given":"Nathan T."},{"family":"Cannon","given":"Steven B."}],"issued":{"date-parts":[["2018",12,27]]},"citation-key":"brownTenQuickTips2018"}},{"id":5454,"uris":["http://zotero.org/users/10196124/items/MKZTVL8L"],"itemData":{"id":5454,"type":"article-journal","abstract":"Abstract Multigene and genomic data sets have become commonplace in the field of phylogenetics, but many existing tools are not designed for such data sets, which often makes the analysis time-consuming and tedious. Here, we present PhyloSuite, a (cross-platform, open-source, stand-alone Python graphical user interface) user-friendly workflow desktop platform dedicated to streamlining molecular sequence data management and evolutionary phylogenetics studies. It uses a plugin-based system that integrates several phylogenetic and bioinformatic tools, thereby streamlining the entire procedure, from data acquisition to phylogenetic tree annotation (in combination with iTOL). It has the following features: (a) point-and-click and drag-and-drop graphical user interface; (b) a workplace to manage and organize molecular sequence data and results of analyses; (c) GenBank entry extraction and comparative statistics; and (d) a phylogenetic workflow with batch processing capability, comprising sequence alignment (mafft and macse), alignment optimization (trimAl, HmmCleaner and Gblocks), data set concatenation, best partitioning scheme and best evolutionary model selection (PartitionFinder and modelfinder), and phylogenetic inference (MrBayes and iq-tree). PhyloSuite is designed for both beginners and experienced researchers, allowing the former to quick-start their way into phylogenetic analysis, and the latter to conduct, store and manage their work in a streamlined way, and spend more time investigating scientific questions instead of wasting it on transferring files from one software program to another.","container-title":"Molecular Ecology Resources","DOI":"10.1111/1755-0998.13096","ISSN":"1755-098X","issue":"1","journalAbbreviation":"Molecular Ecology Resources","note":"publisher: John Wiley &amp; Sons, Ltd","page":"348-355","title":"PhyloSuite: An integrated and scalable desktop platform for streamlined molecular sequence data management and evolutionary phylogenetics studies","volume":"20","author":[{"family":"Zhang","given":"Dong"},{"family":"Gao","given":"Fangluan"},{"family":"Jakovlić","given":"Ivan"},{"family":"Zou","given":"Hong"},{"family":"Zhang","given":"Jin"},{"family":"Li","given":"Wen X."},{"family":"Wang","given":"Gui T."}],"issued":{"date-parts":[["2020",1,1]]},"citation-key":"zhangPhyloSuiteIntegratedScalable2020"}}],"schema":"https://github.com/citation-style-language/schema/raw/master/csl-citation.json"} </w:instrText>
      </w:r>
      <w:r w:rsidR="00367E56">
        <w:fldChar w:fldCharType="separate"/>
      </w:r>
      <w:r w:rsidR="00C16345" w:rsidRPr="00C16345">
        <w:rPr>
          <w:vertAlign w:val="superscript"/>
        </w:rPr>
        <w:t>81,82</w:t>
      </w:r>
      <w:r w:rsidR="00367E56">
        <w:fldChar w:fldCharType="end"/>
      </w:r>
      <w:r>
        <w:t xml:space="preserve"> for reviews on genomics data management best practices).</w:t>
      </w:r>
      <w:r w:rsidR="00317ACF">
        <w:t xml:space="preserve"> </w:t>
      </w:r>
      <w:r w:rsidR="00350FBC">
        <w:t>Given that f</w:t>
      </w:r>
      <w:r w:rsidR="00317ACF">
        <w:t>iltering, by definition, requires manipulating data</w:t>
      </w:r>
      <w:r w:rsidR="00350FBC">
        <w:t>,</w:t>
      </w:r>
      <w:r w:rsidR="00317ACF">
        <w:t xml:space="preserve"> the importance of </w:t>
      </w:r>
      <w:r w:rsidR="00350FBC">
        <w:t>archiving</w:t>
      </w:r>
      <w:r w:rsidR="00317ACF">
        <w:t xml:space="preserve"> raw data cannot be understated.</w:t>
      </w:r>
      <w:r>
        <w:t xml:space="preserve"> To this point, we refer the reader to</w:t>
      </w:r>
      <w:r w:rsidR="00367E56">
        <w:fldChar w:fldCharType="begin"/>
      </w:r>
      <w:r w:rsidR="00C16345">
        <w:instrText xml:space="preserve"> ADDIN ZOTERO_ITEM CSL_CITATION {"citationID":"COhzjR13","properties":{"formattedCitation":"\\super 83\\nosupersub{}","plainCitation":"83","noteIndex":0},"citationItems":[{"id":5474,"uris":["http://zotero.org/users/10196124/items/EBD337W4"],"itemData":{"id":5474,"type":"article-journal","abstract":"Studies in human genetics deal with a plethora of human genome sequencing data that are generated from specimens as well as available on public domains. With the development of various bioinformatics applications, maintaining the productivity of research, managing human genome data, and analyzing downstream data is essential. This review aims to guide struggling researchers to process and analyze these large-scale genomic data to extract relevant information for improved downstream analyses. Here, we discuss worldwide human genome projects that could be integrated into any data for improved analysis. Obtaining human whole-genome sequencing data from both data stores and processes is costly; therefore, we focus on the development of data format and software that manipulate whole-genome sequencing. Once the sequencing is complete and its format and data processing tools are selected, a computational platform is required. For the platform, we describe a multi-cloud strategy that balances between cost, performance, and customizability. A good quality published research relies on data reproducibility to ensure quality results, reusability for applications to other datasets, as well as scalability for the future increase of datasets. To solve these, we describe several key technologies developed in computer science, including workflow engine. We also discuss the ethical guidelines inevitable for human genomic data analysis that differ from model organisms. Finally, the future ideal perspective of data processing and analysis is summarized.","container-title":"Journal of Human Genetics","DOI":"10.1038/s10038-020-00862-1","ISSN":"1435-232X","issue":"1","journalAbbreviation":"Journal of Human Genetics","page":"39-52","title":"Practical guide for managing large-scale human genome data in research","volume":"66","author":[{"family":"Tanjo","given":"Tomoya"},{"family":"Kawai","given":"Yosuke"},{"family":"Tokunaga","given":"Katsushi"},{"family":"Ogasawara","given":"Osamu"},{"family":"Nagasaki","given":"Masao"}],"issued":{"date-parts":[["2021",1,1]]},"citation-key":"tanjoPracticalGuideManaging2021"}}],"schema":"https://github.com/citation-style-language/schema/raw/master/csl-citation.json"} </w:instrText>
      </w:r>
      <w:r w:rsidR="00367E56">
        <w:fldChar w:fldCharType="separate"/>
      </w:r>
      <w:r w:rsidR="00C16345" w:rsidRPr="00C16345">
        <w:rPr>
          <w:vertAlign w:val="superscript"/>
        </w:rPr>
        <w:t>83</w:t>
      </w:r>
      <w:r w:rsidR="00367E56">
        <w:fldChar w:fldCharType="end"/>
      </w:r>
      <w:r>
        <w:t xml:space="preserve"> for information on dataset and study organization.</w:t>
      </w:r>
    </w:p>
    <w:p w14:paraId="0FD8AF0E" w14:textId="30D2DBB7" w:rsidR="00AB68AB" w:rsidRDefault="00B167CE" w:rsidP="00AD7C49">
      <w:pPr>
        <w:spacing w:before="0"/>
      </w:pPr>
      <w:r>
        <w:t xml:space="preserve">After archival, reads should be filtered for general quality control (base calling quality, adapter removal, poly-G tails, sequencing artifacts, </w:t>
      </w:r>
      <w:r w:rsidRPr="00350FBC">
        <w:rPr>
          <w:i/>
          <w:iCs/>
        </w:rPr>
        <w:t>etc.</w:t>
      </w:r>
      <w:r>
        <w:t xml:space="preserve">) and trimmed when appropriate and </w:t>
      </w:r>
      <w:r>
        <w:lastRenderedPageBreak/>
        <w:t>useful</w:t>
      </w:r>
      <w:r w:rsidR="00367E56">
        <w:fldChar w:fldCharType="begin"/>
      </w:r>
      <w:r w:rsidR="00C16345">
        <w:instrText xml:space="preserve"> ADDIN ZOTERO_ITEM CSL_CITATION {"citationID":"cHZw1cbd","properties":{"formattedCitation":"\\super 84,85\\nosupersub{}","plainCitation":"84,85","noteIndex":0},"citationItems":[{"id":5458,"uris":["http://zotero.org/users/10196124/items/SWHKV2H5"],"itemData":{"id":5458,"type":"article-journal","abstract":"Next Generation Sequencing is having an extremely strong impact in biological and medical research and diagnostics, with applications ranging from gene expression quantification to genotyping and genome reconstruction. Sequencing data is often provided as raw reads which are processed prior to analysis 1 of the most used preprocessing procedures is read trimming, which aims at removing low quality portions while preserving the longest high quality part of a NGS read. In the current work, we evaluate nine different trimming algorithms in four datasets and three common NGS-based applications (RNA-Seq, SNP calling and genome assembly). Trimming is shown to increase the quality and reliability of the analysis, with concurrent gains in terms of execution time and computational resources needed.","container-title":"PLOS ONE","DOI":"10.1371/journal.pone.0085024","issue":"12","journalAbbreviation":"PLOS ONE","note":"publisher: Public Library of Science","page":"e85024","title":"An Extensive Evaluation of Read Trimming Effects on Illumina NGS Data Analysis","volume":"8","author":[{"family":"Del Fabbro","given":"Cristian"},{"family":"Scalabrin","given":"Simone"},{"family":"Morgante","given":"Michele"},{"family":"Giorgi","given":"Federico M."}],"issued":{"date-parts":[["2013",12,23]]},"citation-key":"delfabbroExtensiveEvaluationRead2013"}},{"id":5457,"uris":["http://zotero.org/users/10196124/items/XWCWDRMG"],"itemData":{"id":5457,"type":"article-journal","abstract":"Trimming low quality bases from sequencing reads is considered as routine procedure for genome assembly; however, we know little about its pros and cons. Here, we used empirical data to examine how read trimming affects assembled genome quality and computational time for a widespread East Asian passerine, the rufous-capped babbler (Cyanoderma ruficeps Blyth). We found that scaffolds assembled from raw reads were always longer than those from trimmed ones, whereas computational times for the former were sometimes much longer than the latter. Nevertheless, assembly completeness showed little difference among the trimming strategies. One should determine the optimal trimming strategy based on what the assembled genome will be used for. For example, to identify single nucleotide polymorphisms (SNPs) associated with phenotypic evolution, applying PLATANUS to gently trim reads would yield a reference genome with a slightly shorter scaffold length (N50 = 15.64 vs. 16.89 Mb) than the raw reads, but would save 75% of computational time. We also found that chromosomes Z, W, and 4A of the rufous-capped babbler were poorly assembled, likely due to a recently fused, neo-sex chromosome. The rufous-capped babbler genome with long scaffolds and quality gene annotation can provide a good system to study avian ecological adaptation in East Asia.","container-title":"Genes","DOI":"10.3390/genes10100737","ISSN":"2073-4425","issue":"10","title":"To Trim or Not to Trim: Effects of Read Trimming on the De Novo Genome Assembly of a Widespread East Asian Passerine, the Rufous-Capped Babbler (Cyanoderma ruficeps Blyth)","volume":"10","author":[{"family":"Yang","given":"Shang-Fang"},{"family":"Lu","given":"Chia-Wei"},{"family":"Yao","given":"Cheng-Te"},{"family":"Hung","given":"Chih-Ming"}],"issued":{"date-parts":[["2019"]]},"citation-key":"yangTrimNotTrim2019"}}],"schema":"https://github.com/citation-style-language/schema/raw/master/csl-citation.json"} </w:instrText>
      </w:r>
      <w:r w:rsidR="00367E56">
        <w:fldChar w:fldCharType="separate"/>
      </w:r>
      <w:r w:rsidR="00C16345" w:rsidRPr="00C16345">
        <w:rPr>
          <w:vertAlign w:val="superscript"/>
        </w:rPr>
        <w:t>84,85</w:t>
      </w:r>
      <w:r w:rsidR="00367E56">
        <w:fldChar w:fldCharType="end"/>
      </w:r>
      <w:r>
        <w:t xml:space="preserve">. For most workflows, the alignment of reads to a reference or </w:t>
      </w:r>
      <w:r>
        <w:rPr>
          <w:i/>
        </w:rPr>
        <w:t>de novo</w:t>
      </w:r>
      <w:r>
        <w:t xml:space="preserve"> assembly</w:t>
      </w:r>
      <w:r w:rsidR="00350FBC">
        <w:t xml:space="preserve"> </w:t>
      </w:r>
      <w:r w:rsidR="008633FD">
        <w:t>is the next step (Figure 3)</w:t>
      </w:r>
      <w:r>
        <w:t xml:space="preserve">. Depending on the goals of the study, it may be useful to create multiple datasets at this stage for downstream analysis. This practice is particularly relevant to </w:t>
      </w:r>
      <w:r>
        <w:rPr>
          <w:i/>
        </w:rPr>
        <w:t xml:space="preserve">de novo </w:t>
      </w:r>
      <w:r>
        <w:t xml:space="preserve">reference assembly, since assembly decisions can result in very different references and thus very different filtering and analytical outcomes. The </w:t>
      </w:r>
      <w:r>
        <w:rPr>
          <w:i/>
        </w:rPr>
        <w:t xml:space="preserve">m </w:t>
      </w:r>
      <w:r>
        <w:t xml:space="preserve">and </w:t>
      </w:r>
      <w:r>
        <w:rPr>
          <w:i/>
        </w:rPr>
        <w:t xml:space="preserve">M </w:t>
      </w:r>
      <w:r>
        <w:t xml:space="preserve">STACKS parameters and their impacts on </w:t>
      </w:r>
      <w:r>
        <w:rPr>
          <w:i/>
        </w:rPr>
        <w:t xml:space="preserve">de novo </w:t>
      </w:r>
      <w:r>
        <w:t>reference construction, for example, have been well-studied</w:t>
      </w:r>
      <w:r w:rsidR="00367E56">
        <w:fldChar w:fldCharType="begin"/>
      </w:r>
      <w:r w:rsidR="00C16345">
        <w:instrText xml:space="preserve"> ADDIN ZOTERO_ITEM CSL_CITATION {"citationID":"qF129l04","properties":{"formattedCitation":"\\super 86\\uc0\\u8211{}89\\nosupersub{}","plainCitation":"86–89","noteIndex":0},"citationItems":[{"id":5337,"uris":["http://zotero.org/users/10196124/items/QKEHHUXS"],"itemData":{"id":5337,"type":"article-journal","abstract":"Next-generation sequencing technologies have opened a new era of research in population genetics. Following these new sequencing opportunities, the use of restriction enzyme-based genotyping techniques, such as restriction site-associated DNA sequencing (RAD-seq) or double-digest RAD-sequencing (ddRAD-seq), has dramatically increased in the last decade. From DNA sampling to SNP calling, the laboratory and bioinformatic parameters of enzyme-based techniques have been investigated in the literature. However, the impact of those parameters on downstream analyses and biological results remains less documented. In this study, we investigated the effects of sevral pre- and post-sequencing settings on ddRAD-seq results for two biological systems: a complex of butterfly species (Coenonympha sp.) and several populations of common beech (Fagus sylvatica). Our results suggest that pre-sequencing parameters (i.e., DNA quantity, number of PCR cycles during library preparation) have a significant impact on the number of recovered reads and SNPs, on the number of unique alleles and on individual heterozygosity. In the same way, we found that post-sequencing settings (i.e., clustering and minimum coverage thresholds) influenced loci reconstruction (e.g., number of loci, mean coverage) and SNP calling (e.g., number of SNPs; heterozygosity) but had only a marginal impact on downstream analyses (e.g., measure of genetic differentiation, estimation of individual admixture, and demographic inferences). In addition, replication analyses confirmed the reproducibility of the ddRAD-seq procedure. Overall, this study assesses the degree of sensitivity of ddRAD-seq data to pre- and post-sequencing protocols, and illustrates its robustness when studying population genetics.","container-title":"Molecular Genetics and Genomics","DOI":"10.1007/s00438-020-01756-9","ISSN":"1617-4623","issue":"2","journalAbbreviation":"Molecular Genetics and Genomics","page":"457-471","title":"Double-digest RAD-sequencing: do pre- and post-sequencing protocol parameters impact biological results?","volume":"296","author":[{"family":"Cumer","given":"Tristan"},{"family":"Pouchon","given":"Charles"},{"family":"Boyer","given":"Frédéric"},{"family":"Yannic","given":"Glenn"},{"family":"Rioux","given":"Delphine"},{"family":"Bonin","given":"Aurélie"},{"family":"Capblancq","given":"Thibaut"}],"issued":{"date-parts":[["2021",3,1]]},"citation-key":"cumerDoubledigestRADsequencingPre2021"}},{"id":5203,"uris":["http://zotero.org/users/10196124/items/Z8IQEXMB"],"itemData":{"id":5203,"type":"article-journal","abstract":"Abstract 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Mexico.","container-title":"Molecular Ecology Resources","DOI":"10.1111/1755-0998.12291","ISSN":"1755-098X","issue":"1","journalAbbreviation":"Molecular Ecology Resources","note":"publisher: John Wiley &amp; Sons, Ltd","page":"28-41","title":"Restriction site-associated DNA sequencing, genotyping error estimation and de novo assembly optimization for population genetic inference","volume":"15","author":[{"family":"Mastretta-Yanes","given":"A."},{"family":"Arrigo","given":"N."},{"family":"Alvarez","given":"N."},{"family":"Jorgensen","given":"T. H."},{"family":"Piñero","given":"D."},{"family":"Emerson","given":"B. C."}],"issued":{"date-parts":[["2015",1,1]]},"citation-key":"mastretta-yanesRestrictionSiteassociatedDNA2015"}},{"id":5462,"uris":["http://zotero.org/users/10196124/items/QJ28FJBF"],"itemData":{"id":5462,"type":"article-journal","abstract":"Summary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M"}],"issued":{"date-parts":[["2017",12,1]]},"citation-key":"rochetteDerivingGenotypesRADseq2017"}}],"schema":"https://github.com/citation-style-language/schema/raw/master/csl-citation.json"} </w:instrText>
      </w:r>
      <w:r w:rsidR="00367E56">
        <w:fldChar w:fldCharType="separate"/>
      </w:r>
      <w:r w:rsidR="00C16345" w:rsidRPr="00C16345">
        <w:rPr>
          <w:vertAlign w:val="superscript"/>
        </w:rPr>
        <w:t>86–89</w:t>
      </w:r>
      <w:r w:rsidR="00367E56">
        <w:fldChar w:fldCharType="end"/>
      </w:r>
      <w:r>
        <w:t>.</w:t>
      </w:r>
    </w:p>
    <w:p w14:paraId="06C071D9" w14:textId="44ABE698" w:rsidR="00AB68AB" w:rsidRDefault="00B167CE" w:rsidP="00AD7C49">
      <w:pPr>
        <w:spacing w:before="0"/>
      </w:pPr>
      <w:r>
        <w:t>After alignment, the data should be filtered for technical (</w:t>
      </w:r>
      <w:r>
        <w:rPr>
          <w:i/>
        </w:rPr>
        <w:t>e.g.</w:t>
      </w:r>
      <w:r>
        <w:t>, PCR) duplicates. Note that while removing PCR duplicates has been suggested to often be of little consequence</w:t>
      </w:r>
      <w:r w:rsidR="00367E56">
        <w:fldChar w:fldCharType="begin"/>
      </w:r>
      <w:r w:rsidR="00C16345">
        <w:instrText xml:space="preserve"> ADDIN ZOTERO_ITEM CSL_CITATION {"citationID":"RleIh0vx","properties":{"formattedCitation":"\\super 90,91\\nosupersub{}","plainCitation":"90,91","noteIndex":0},"citationItems":[{"id":5459,"uris":["http://zotero.org/users/10196124/items/BBQR37MI"],"itemData":{"id":5459,"type":"article-journal","abstract":"Analyzing next-generation sequencing data is difficult because datasets are large, second generation sequencing platforms have high error rates, and because each position in the target genome (exome, transcriptome, etc.) is sequenced multiple times. Given these challenges, numerous bioinformatic algorithms have been developed to analyze these data. These algorithms aim to find an appropriate balance between data loss, errors, analysis time, and memory footprint. Typical analysis pipelines require multiple steps. If one or more of these steps is unnecessary, it would significantly decrease compute time and data manipulation to remove the step. One step in many pipelines is PCR duplicate removal, where PCR duplicates arise from multiple PCR products from the same template molecule binding on the flowcell. These are often removed because there is concern they can lead to false positive variant calls. Picard (MarkDuplicates) and SAMTools (rmdup) are the two main softwares used for PCR duplicate removal.","container-title":"BMC Bioinformatics","DOI":"10.1186/s12859-016-1097-3","ISSN":"1471-2105","issue":"7","journalAbbreviation":"BMC Bioinformatics","page":"239","title":"Evaluating the necessity of PCR duplicate removal from next-generation sequencing data and a comparison of approaches","volume":"17","author":[{"family":"Ebbert","given":"Mark T. W."},{"family":"Wadsworth","given":"Mark E."},{"family":"Staley","given":"Lyndsay A."},{"family":"Hoyt","given":"Kaitlyn L."},{"family":"Pickett","given":"Brandon"},{"family":"Miller","given":"Justin"},{"family":"Duce","given":"John"},{"family":"Kauwe","given":"John S. K."},{"family":"Ridge","given":"Perry G."},{"literal":"for the Alzheimer’s Disease Neuroimaging Initiative"}],"issued":{"date-parts":[["2016",7,25]]},"citation-key":"ebbertEvaluatingNecessityPCR2016"}},{"id":5460,"uris":["http://zotero.org/users/10196124/items/WWUHZR93"],"itemData":{"id":5460,"type":"article-journal","abstract":"Abstract Interpretation of high-throughput sequence data requires an understanding of how decisions made during bioinformatic data processing can influence results. One source of bias that is often cited is PCR clones (or PCR duplicates). PCR clones are common in restriction site-associated sequencing (RAD-seq) data sets, which are increasingly being used for molecular ecology. To determine the influence PCR clones and the bioinformatic handling of clones have on genotyping, we evaluate four RAD-seq data sets. Data sets were compared before and after clones were removed to estimate the number of clones present in RAD-seq data, quantify how often the presence of clones in a data set causes genotype calls to change compared to when clones were removed, investigate the mechanisms that lead to genotype call changes and test whether clones bias heterozygosity estimates. Our RAD-seq data sets contained 30%?60% PCR clones, but 95% of RAD-tags had five or fewer clones. Relatively few genotypes changed once clones were removed (5%?10%), and the vast majority of these changes (98%) were associated with genotypes switching from a called to no-call state or vice versa. PCR clones had a larger influence on genotype calls in individuals with low read depth but appeared to influence genotype calls at all loci similarly. Removal of PCR clones reduced the number of called genotypes by 2% but had almost no influence on estimates of heterozygosity. As such, while steps should be taken to limit PCR clones during library preparation, PCR clones are likely not a substantial source of bias for most RAD-seq studies.","container-title":"Molecular Ecology Resources","DOI":"10.1111/1755-0998.13087","ISSN":"1755-098X","issue":"1","journalAbbreviation":"Molecular Ecology Resources","note":"publisher: John Wiley &amp; Sons, Ltd","page":"66-78","title":"Attack of the PCR clones: Rates of clonality have little effect on RAD-seq genotype calls","volume":"20","author":[{"family":"Euclide","given":"Peter T."},{"family":"McKinney","given":"Garrett J."},{"family":"Bootsma","given":"Matthew"},{"family":"Tarsa","given":"Charlene"},{"family":"Meek","given":"Mariah H."},{"family":"Larson","given":"Wesley A."}],"issued":{"date-parts":[["2020",1,1]]},"citation-key":"euclideAttackPCRClones2020"}}],"schema":"https://github.com/citation-style-language/schema/raw/master/csl-citation.json"} </w:instrText>
      </w:r>
      <w:r w:rsidR="00367E56">
        <w:fldChar w:fldCharType="separate"/>
      </w:r>
      <w:r w:rsidR="00C16345" w:rsidRPr="00C16345">
        <w:rPr>
          <w:vertAlign w:val="superscript"/>
        </w:rPr>
        <w:t>90,91</w:t>
      </w:r>
      <w:r w:rsidR="00367E56">
        <w:fldChar w:fldCharType="end"/>
      </w:r>
      <w:r>
        <w:t>, this is unlikely true for every study, such as those with low coverage</w:t>
      </w:r>
      <w:r w:rsidR="00367E56">
        <w:fldChar w:fldCharType="begin"/>
      </w:r>
      <w:r w:rsidR="00C16345">
        <w:instrText xml:space="preserve"> ADDIN ZOTERO_ITEM CSL_CITATION {"citationID":"z0KRW4Ii","properties":{"formattedCitation":"\\super 11,36,92\\nosupersub{}","plainCitation":"11,36,92","noteIndex":0},"citationItems":[{"id":5413,"uris":["http://zotero.org/users/10196124/items/64QKVN26"],"itemData":{"id":5413,"type":"article-journal","abstract":"Next-generation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id":5525,"uris":["http://zotero.org/users/10196124/items/5MH2I8S8"],"itemData":{"id":5525,"type":"article-journal","abstract":"Abstract The trade-offs of using single-digest vs. double-digest restriction site-associated DNA sequencing (RAD-seq) protocols have been widely discussed. However, no direct empirical comparisons of the two methods have been conducted. Here, we sampled a single population of Gulf pipefish (Syngnathus scovelli) and genotyped 444 individuals using RAD-seq. Sixty individuals were subjected to single-digest RAD-seq (sdRAD-seq), and the remaining 384 individuals were genotyped using a double-digest RAD-seq (ddRAD-seq) protocol. We analysed the resulting Illumina sequencing data and compared the two genotyping methods when reads were analysed either together or separately. Coverage statistics, observed heterozygosity, and allele frequencies differed significantly between the two protocols, as did the results of selection components analysis. We also performed an in silico digestion of the Gulf pipefish genome and modelled five major sources of bias: PCR duplicates, polymorphic restriction sites, shearing bias, asymmetric sampling (i.e., genotyping fewer individuals with sdRAD-seq than with ddRAD-seq) and higher major allele frequencies. This combination of approaches allowed us to determine that polymorphic restriction sites, an asymmetric sampling scheme, mean allele frequencies and to some extent PCR duplicates all contribute to different estimates of allele frequencies between samples genotyped using sdRAD-seq versus ddRAD-seq. Our finding that sdRAD-seq and ddRAD-seq can result in different allele frequencies has implications for comparisons across studies and techniques that endeavour to identify genomewide signatures of evolutionary processes in natural populations.","container-title":"Molecular Ecology Resources","DOI":"10.1111/1755-0998.12734","ISSN":"1755-098X","issue":"2","journalAbbreviation":"Molecular Ecology Resources","note":"publisher: John Wiley &amp; Sons, Ltd","page":"264-280","title":"Substantial differences in bias between single-digest and double-digest RAD-seq libraries: A case study","volume":"18","author":[{"family":"Flanagan","given":"Sarah P."},{"family":"Jones","given":"Adam G."}],"issued":{"date-parts":[["2018",3,1]]},"citation-key":"flanaganSubstantialDifferencesBias2018"}}],"schema":"https://github.com/citation-style-language/schema/raw/master/csl-citation.json"} </w:instrText>
      </w:r>
      <w:r w:rsidR="00367E56">
        <w:fldChar w:fldCharType="separate"/>
      </w:r>
      <w:r w:rsidR="00C16345" w:rsidRPr="00C16345">
        <w:rPr>
          <w:vertAlign w:val="superscript"/>
        </w:rPr>
        <w:t>11,36,92</w:t>
      </w:r>
      <w:r w:rsidR="00367E56">
        <w:fldChar w:fldCharType="end"/>
      </w:r>
      <w:r>
        <w:t xml:space="preserve"> (in conflict with common practice, see Supplementary Materials). The remaining reads should then be filtered for mapping and read quality, and researchers should ensure that they record and eventually report the number of reads that passed these pre-variant filters.</w:t>
      </w:r>
    </w:p>
    <w:p w14:paraId="1FDC496E" w14:textId="2CF5EF36" w:rsidR="00AB68AB" w:rsidRDefault="00B167CE" w:rsidP="00AD7C49">
      <w:pPr>
        <w:spacing w:before="0"/>
      </w:pPr>
      <w:r>
        <w:t xml:space="preserve"> </w:t>
      </w:r>
      <w:r w:rsidR="00350FBC">
        <w:t>Next, r</w:t>
      </w:r>
      <w:r>
        <w:t>esearchers can call variants</w:t>
      </w:r>
      <w:r w:rsidR="00350FBC">
        <w:t>,</w:t>
      </w:r>
      <w:r>
        <w:t xml:space="preserve"> </w:t>
      </w:r>
      <w:r w:rsidR="008633FD">
        <w:t xml:space="preserve">first </w:t>
      </w:r>
      <w:r>
        <w:t>filter the resulting data set to remove loci (for MAF/HWP/LD/</w:t>
      </w:r>
      <w:r w:rsidRPr="00350FBC">
        <w:rPr>
          <w:i/>
          <w:iCs/>
        </w:rPr>
        <w:t>etc</w:t>
      </w:r>
      <w:r>
        <w:t>.)</w:t>
      </w:r>
      <w:r w:rsidR="00350FBC">
        <w:t>, and then remove</w:t>
      </w:r>
      <w:r w:rsidR="008633FD">
        <w:t xml:space="preserve"> </w:t>
      </w:r>
      <w:r>
        <w:t xml:space="preserve">poorly sequenced individuals (and/or </w:t>
      </w:r>
      <w:r w:rsidR="008633FD">
        <w:t xml:space="preserve">samples </w:t>
      </w:r>
      <w:r>
        <w:t xml:space="preserve">with other quality or analytical concerns; see Figure 3). Note that it may be beneficial to reverse the last two steps and filter </w:t>
      </w:r>
      <w:r w:rsidR="008633FD">
        <w:t xml:space="preserve">across </w:t>
      </w:r>
      <w:r>
        <w:t>individuals</w:t>
      </w:r>
      <w:r w:rsidR="008633FD">
        <w:t xml:space="preserve"> </w:t>
      </w:r>
      <w:r w:rsidR="00350FBC">
        <w:t xml:space="preserve">first </w:t>
      </w:r>
      <w:r w:rsidR="008633FD">
        <w:t>(and loci second)</w:t>
      </w:r>
      <w:r>
        <w:t xml:space="preserve"> in instances where retaining as many loci as possible is needed or where data quality varies widely among individuals</w:t>
      </w:r>
      <w:r w:rsidR="00367E56">
        <w:fldChar w:fldCharType="begin"/>
      </w:r>
      <w:r w:rsidR="00367E56">
        <w:instrText xml:space="preserve"> ADDIN ZOTERO_ITEM CSL_CITATION {"citationID":"NjyBHMUX","properties":{"formattedCitation":"\\super 8\\nosupersub{}","plainCitation":"8","noteIndex":0},"citationItems":[{"id":5211,"uris":["http://zotero.org/users/10196124/items/5A4HF7W3"],"itemData":{"id":5211,"type":"article-journal","abstract":"Abstract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S."}],"issued":{"date-parts":[["2018",8,1]]},"citation-key":"olearyTheseArenLoci2018"}}],"schema":"https://github.com/citation-style-language/schema/raw/master/csl-citation.json"} </w:instrText>
      </w:r>
      <w:r w:rsidR="00367E56">
        <w:fldChar w:fldCharType="separate"/>
      </w:r>
      <w:r w:rsidR="00367E56" w:rsidRPr="00367E56">
        <w:rPr>
          <w:vertAlign w:val="superscript"/>
        </w:rPr>
        <w:t>8</w:t>
      </w:r>
      <w:r w:rsidR="00367E56">
        <w:fldChar w:fldCharType="end"/>
      </w:r>
      <w:r>
        <w:t>. An iterative approach, where individuals and loci are first removed with low stringency filters</w:t>
      </w:r>
      <w:r w:rsidR="005F6117">
        <w:t xml:space="preserve"> and</w:t>
      </w:r>
      <w:r>
        <w:t xml:space="preserve"> then</w:t>
      </w:r>
      <w:r w:rsidR="005F6117">
        <w:t xml:space="preserve"> subjected to additional rounds of filtering</w:t>
      </w:r>
      <w:r>
        <w:t xml:space="preserve"> stringenc</w:t>
      </w:r>
      <w:r w:rsidR="005F6117">
        <w:t>ies</w:t>
      </w:r>
      <w:r>
        <w:t xml:space="preserve"> may also improve data quality by removing poor individuals that reduce overall call-rates in high-quality loci and vice versa</w:t>
      </w:r>
      <w:r w:rsidR="00367E56">
        <w:fldChar w:fldCharType="begin"/>
      </w:r>
      <w:r w:rsidR="00367E56">
        <w:instrText xml:space="preserve"> ADDIN ZOTERO_ITEM CSL_CITATION {"citationID":"7N6Beh7F","properties":{"formattedCitation":"\\super 8\\nosupersub{}","plainCitation":"8","noteIndex":0},"citationItems":[{"id":5211,"uris":["http://zotero.org/users/10196124/items/5A4HF7W3"],"itemData":{"id":5211,"type":"article-journal","abstract":"Abstract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S."}],"issued":{"date-parts":[["2018",8,1]]},"citation-key":"olearyTheseArenLoci2018"}}],"schema":"https://github.com/citation-style-language/schema/raw/master/csl-citation.json"} </w:instrText>
      </w:r>
      <w:r w:rsidR="00367E56">
        <w:fldChar w:fldCharType="separate"/>
      </w:r>
      <w:r w:rsidR="00367E56" w:rsidRPr="00367E56">
        <w:rPr>
          <w:vertAlign w:val="superscript"/>
        </w:rPr>
        <w:t>8</w:t>
      </w:r>
      <w:r w:rsidR="00367E56">
        <w:fldChar w:fldCharType="end"/>
      </w:r>
      <w:r>
        <w:t>. As with pre-variant filters, the percentage of reads, sites, and individuals retained at each post-variant filtering step should be reported (Box 4).</w:t>
      </w:r>
    </w:p>
    <w:p w14:paraId="60F9D242" w14:textId="3A7DF5A0" w:rsidR="00AB68AB" w:rsidRDefault="00B167CE" w:rsidP="00AD7C49">
      <w:pPr>
        <w:spacing w:before="0"/>
      </w:pPr>
      <w:r>
        <w:lastRenderedPageBreak/>
        <w:t xml:space="preserve">We generally recommend at this stage that a </w:t>
      </w:r>
      <w:r>
        <w:rPr>
          <w:i/>
        </w:rPr>
        <w:t xml:space="preserve">minimum </w:t>
      </w:r>
      <w:r>
        <w:t>of two (divergently-filtered) datasets be created - one with low filtering stringency (</w:t>
      </w:r>
      <w:r>
        <w:rPr>
          <w:i/>
        </w:rPr>
        <w:t>e.g.</w:t>
      </w:r>
      <w:r>
        <w:t>, allowing more missing data, a low MAF, and few loci removed due to HWP and LD deviations), and one with high filtering stringency (</w:t>
      </w:r>
      <w:r>
        <w:rPr>
          <w:i/>
        </w:rPr>
        <w:t>e.g.</w:t>
      </w:r>
      <w:r>
        <w:t>, many loci/individuals removed due to missing data, and a higher MAF, etc.). The precise filters</w:t>
      </w:r>
      <w:r w:rsidR="001F0CF4">
        <w:t xml:space="preserve"> and thresholds</w:t>
      </w:r>
      <w:r>
        <w:t xml:space="preserve"> used should reflect the specificities of the study: for example, studies interested in transposable elements may want to vary alignment thresholds (uniquely versus multiply mapped reads) but keep other filters stringent to strike a balance between sensitivity and accuracy</w:t>
      </w:r>
      <w:r w:rsidR="00367E56">
        <w:fldChar w:fldCharType="begin"/>
      </w:r>
      <w:r w:rsidR="00C16345">
        <w:instrText xml:space="preserve"> ADDIN ZOTERO_ITEM CSL_CITATION {"citationID":"mTIVydoP","properties":{"formattedCitation":"\\super 93,94\\nosupersub{}","plainCitation":"93,94","noteIndex":0},"citationItems":[{"id":5477,"uris":["http://zotero.org/users/10196124/items/HFYXH2T5"],"itemData":{"id":5477,"type":"article-journal","abstract":"In the study of transposable elements (TEs), the generation of a high confidence set of consensus sequences that represent the diversity of TEs found in a given genome is a key step in the path to investigate these fascinating genomic elements. Many algorithms and pipelines are available to automatically identify putative TE families present in a genome. Despite the availability of these valuable resources, producing a library of high-quality full-length TE consensus sequences largely remains a process of manual curation. This know-how is often passed on from mentor-to-mentee within research groups, making it difficult for those outside the field to access this highly specialised skill.","container-title":"Mobile DNA","DOI":"10.1186/s13100-021-00259-7","ISSN":"1759-8753","issue":"1","journalAbbreviation":"Mobile DNA","page":"7","title":"A beginner’s guide to manual curation of transposable elements","volume":"13","author":[{"family":"Goubert","given":"Clement"},{"family":"Craig","given":"Rory J."},{"family":"Bilat","given":"Agustin F."},{"family":"Peona","given":"Valentina"},{"family":"Vogan","given":"Aaron A."},{"family":"Protasio","given":"Anna V."}],"issued":{"date-parts":[["2022",3,30]]},"citation-key":"goubertBeginnerGuideManual2022"}},{"id":5475,"uris":["http://zotero.org/users/10196124/items/FCT8FPHV"],"itemData":{"id":5475,"type":"article-journal","abstract":"Abstract Transposable elements (TEs) have the ability to alter individual genomic landscapes and shape the course of evolution for species in which they reside. Such profound changes can be understood by studying the biology of the organism and the interplay of the TEs it hosts. Characterizing and curating TEs across a wide range of species is a fundamental first step in this endeavor. This protocol employs techniques honed while developing TE libraries for a wide range of organisms and specifically addresses: (1) the extension of truncated de novo results into full-length TE families; (2) the iterative refinement of TE multiple sequence alignments; and (3) the use of alignment visualization to assess model completeness and subfamily structure. ? 2021 Wiley Periodicals LLC. Basic Protocol: Extension and edge polishing of consensi and seed alignments derived from de novo repeat finders Support Protocol: Generating seed alignments using a library of consensi and a genome assembly","container-title":"Current Protocols","DOI":"10.1002/cpz1.154","issue":"6","journalAbbreviation":"Current Protocols","note":"publisher: John Wiley &amp; Sons, Ltd","page":"e154","title":"Curation Guidelines for de novo Generated Transposable Element Families","volume":"1","author":[{"family":"Storer","given":"Jessica M."},{"family":"Hubley","given":"Robert"},{"family":"Rosen","given":"Jeb"},{"family":"Smit","given":"Arian F. A."}],"issued":{"date-parts":[["2021",6,1]]},"citation-key":"storerCurationGuidelinesNovo2021"}}],"schema":"https://github.com/citation-style-language/schema/raw/master/csl-citation.json"} </w:instrText>
      </w:r>
      <w:r w:rsidR="00367E56">
        <w:fldChar w:fldCharType="separate"/>
      </w:r>
      <w:r w:rsidR="00C16345" w:rsidRPr="00C16345">
        <w:rPr>
          <w:vertAlign w:val="superscript"/>
        </w:rPr>
        <w:t>93,94</w:t>
      </w:r>
      <w:r w:rsidR="00367E56">
        <w:fldChar w:fldCharType="end"/>
      </w:r>
      <w:r>
        <w:t>. After the initial filtered datasets are created, investigators should proceed with their parameter estimation, statistical analyses, and modeling with these datasets in parallel to answer their key questions of interest. Note that we are not the first to suggest comparing outcomes from different filtering strategies</w:t>
      </w:r>
      <w:r w:rsidR="00367E56">
        <w:fldChar w:fldCharType="begin"/>
      </w:r>
      <w:r w:rsidR="00724FF9">
        <w:instrText xml:space="preserve"> ADDIN ZOTERO_ITEM CSL_CITATION {"citationID":"j9lqZKzi","properties":{"formattedCitation":"\\super 13,59,63\\nosupersub{}","plainCitation":"13,59,63","noteIndex":0},"citationItems":[{"id":5341,"uris":["http://zotero.org/users/10196124/items/2RY74CP6"],"itemData":{"id":5341,"type":"article-journal","abstract":"Abstract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y5pQWal7/uJRSEI1E","uris":["http://zotero.org/users/local/nWY58Val/items/SP75WQRN"],"itemData":{"id":"4zCxrD65/FsnDhjfo","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Lacey"}],"accessed":{"date-parts":[["2023",6,30]]},"issued":{"date-parts":[["2021"]]}}},{"id":5226,"uris":["http://zotero.org/users/10196124/items/YGR2FBA2"],"itemData":{"id":5226,"type":"article-journal","abstract":"Summary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W."}],"issued":{"date-parts":[["2017",8,1]]},"citation-key":"shaferBioinformaticProcessingRADseq2017"}}],"schema":"https://github.com/citation-style-language/schema/raw/master/csl-citation.json"} </w:instrText>
      </w:r>
      <w:r w:rsidR="00367E56">
        <w:fldChar w:fldCharType="separate"/>
      </w:r>
      <w:r w:rsidR="00367E56" w:rsidRPr="00367E56">
        <w:rPr>
          <w:vertAlign w:val="superscript"/>
        </w:rPr>
        <w:t>13,59,63</w:t>
      </w:r>
      <w:r w:rsidR="00367E56">
        <w:fldChar w:fldCharType="end"/>
      </w:r>
      <w:r>
        <w:t>, and we suspect that this recommendation will become more common over time. Some stand-out papers exist that already follow this recommendation</w:t>
      </w:r>
      <w:r w:rsidR="00367E56">
        <w:fldChar w:fldCharType="begin"/>
      </w:r>
      <w:r w:rsidR="00C16345">
        <w:instrText xml:space="preserve"> ADDIN ZOTERO_ITEM CSL_CITATION {"citationID":"vzWjjXTL","properties":{"formattedCitation":"\\super 13,61,95,96\\nosupersub{}","plainCitation":"13,61,95,96","noteIndex":0},"citationItems":[{"id":5498,"uris":["http://zotero.org/users/10196124/items/9A64ERSX"],"itemData":{"id":5498,"type":"article-journal","abstract":"Abstract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id":"y5pQWal7/uJRSEI1E","uris":["http://zotero.org/users/local/nWY58Val/items/SP75WQRN"],"itemData":{"id":"bBRuDhdM/ojXnCjov","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R"}],"issued":{"date-parts":[["2022",9,1]]},"citation-key":"Hemstrom2022a"}},{"id":5486,"uris":["http://zotero.org/users/10196124/items/KZ6ZBGGQ"],"itemData":{"id":5486,"type":"article-journal","abstract":"Abstract Information about the degree of contemporary dispersal is important when trying to understand how populations interchange individuals and identify the specific barriers that prevent these movements. In the case of endangered species, this can represent crucial information when designing appropriate conservation strategies. Here we analyse relatedness between individuals from different localities and use these data to infer whether dispersal occurred in recent generations. We applied this approach to the Pyrenean desman (Galemys pyrenaicus), a semiaquatic and endangered species endemic to the Iberian Peninsula. We studied this species in four primary rivers in the Iberian Range, where two ancient mitochondrial lineages are separated by a strict contact zone, suggesting the existence of complex dispersal patterns. Using next-generation sequencing, we obtained 912 SNPs from each specimen and estimated relatedness values between them. While relatedness networks were dense within each river, we found surprisingly few relationships between individuals from different rivers despite their close proximity in some cases, indicating much lower dispersal between rivers compared to dispersal within a single river. In agreement with this result, the degree of inbreeding was exceedingly high in most individuals. These data show that relatedness information can be crucial to understand the contemporary dispersal patterns and conservation status of specific populations of endangered species.","container-title":"Molecular Ecology","DOI":"10.1111/mec.14133","ISSN":"0962-1083","issue":"13","journalAbbreviation":"Molecular Ecology","note":"publisher: John Wiley &amp; Sons, Ltd","page":"3343-3357","title":"Using relatedness networks to infer contemporary dispersal: Application to the endangered mammal Galemys pyrenaicus","volume":"26","author":[{"family":"Escoda","given":"Lídia"},{"family":"González-Esteban","given":"Jorge"},{"family":"Gómez","given":"Asunción"},{"family":"Castresana","given":"Jose"}],"issued":{"date-parts":[["2017",7,1]]},"citation-key":"escodaUsingRelatednessNetworks2017"}}],"schema":"https://github.com/citation-style-language/schema/raw/master/csl-citation.json"} </w:instrText>
      </w:r>
      <w:r w:rsidR="00367E56">
        <w:fldChar w:fldCharType="separate"/>
      </w:r>
      <w:r w:rsidR="00C16345" w:rsidRPr="00C16345">
        <w:rPr>
          <w:vertAlign w:val="superscript"/>
        </w:rPr>
        <w:t>13,61,95,96</w:t>
      </w:r>
      <w:r w:rsidR="00367E56">
        <w:fldChar w:fldCharType="end"/>
      </w:r>
      <w:r>
        <w:t>, although they are in the minority (Box 1).</w:t>
      </w:r>
    </w:p>
    <w:p w14:paraId="6B040AE3" w14:textId="65BE3947" w:rsidR="00AB68AB" w:rsidRDefault="00B167CE" w:rsidP="00AD7C49">
      <w:pPr>
        <w:spacing w:before="0"/>
      </w:pPr>
      <w:r>
        <w:t>As data analysis proceeds, we suggest that re-filtering should be part of most genomics workflows. For example, PCA may reveal individuals that were mislabeled,</w:t>
      </w:r>
      <w:r w:rsidR="009B6A4D">
        <w:t xml:space="preserve"> or</w:t>
      </w:r>
      <w:r>
        <w:t xml:space="preserve"> mis-classified into an incorrect sample group or were contaminated during sample preparation and should be removed. Similarly, the addition of new analyses (</w:t>
      </w:r>
      <w:r>
        <w:rPr>
          <w:i/>
        </w:rPr>
        <w:t>e.g.</w:t>
      </w:r>
      <w:r>
        <w:t xml:space="preserve">, Tajima’s D, transposable element annotation) that were not initially considered and may also require a careful re-filtering of the data. We suggest that authors and journals implement a supplementary table that describes the final datasets, the specific filters and thresholds employed, the name of the final VCF files, and the specific analyses for which </w:t>
      </w:r>
      <w:r w:rsidR="001F0CF4">
        <w:t>each distinctly</w:t>
      </w:r>
      <w:r w:rsidR="0060295E">
        <w:t xml:space="preserve"> </w:t>
      </w:r>
      <w:r w:rsidR="001F0CF4">
        <w:t>filtered</w:t>
      </w:r>
      <w:r>
        <w:t xml:space="preserve"> dataset </w:t>
      </w:r>
      <w:r w:rsidR="0060295E">
        <w:t>was</w:t>
      </w:r>
      <w:r>
        <w:t xml:space="preserve"> used. We provide an example of such in Table 2.</w:t>
      </w:r>
    </w:p>
    <w:p w14:paraId="1522894C" w14:textId="20E73ED0" w:rsidR="00AB68AB" w:rsidRDefault="00B167CE" w:rsidP="00AD7C49">
      <w:pPr>
        <w:spacing w:before="0"/>
      </w:pPr>
      <w:r>
        <w:lastRenderedPageBreak/>
        <w:t>After the analysis is completed, the resulting data and analytical tools should again be archived and/or recorded, including all relevant meta-data and the exact filtering decisions and genotyping pipelines (</w:t>
      </w:r>
      <w:r w:rsidRPr="00CE50D0">
        <w:rPr>
          <w:i/>
          <w:iCs/>
        </w:rPr>
        <w:t>e.g.</w:t>
      </w:r>
      <w:r>
        <w:t xml:space="preserve">, bioinformatic scripts, software versions). Given that recreating the exact filtering and genotyping pipelines requires a considerable amount of resources (and may actually be impossible given limited data or analytical tool availability), we strongly recommend that post-project archival include all filtered genotypic/variant data in the form of carefully annotated </w:t>
      </w:r>
      <w:r>
        <w:rPr>
          <w:b/>
          <w:i/>
        </w:rPr>
        <w:t>VCF files</w:t>
      </w:r>
      <w:r>
        <w:t xml:space="preserve"> that include detailed filtering descriptions in the header (see </w:t>
      </w:r>
      <w:r w:rsidR="00367E56">
        <w:fldChar w:fldCharType="begin"/>
      </w:r>
      <w:r w:rsidR="00C16345">
        <w:instrText xml:space="preserve"> ADDIN ZOTERO_ITEM CSL_CITATION {"citationID":"NU7y3q6j","properties":{"formattedCitation":"\\super 97\\nosupersub{}","plainCitation":"97","noteIndex":0},"citationItems":[{"id":2339,"uris":["http://zotero.org/users/10196124/items/UIGGSGD8"],"itemData":{"id":2339,"type":"article-journal","abstract":"Summary: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00367E56">
        <w:fldChar w:fldCharType="separate"/>
      </w:r>
      <w:r w:rsidR="00C16345" w:rsidRPr="00C16345">
        <w:rPr>
          <w:vertAlign w:val="superscript"/>
        </w:rPr>
        <w:t>97</w:t>
      </w:r>
      <w:r w:rsidR="00367E56">
        <w:fldChar w:fldCharType="end"/>
      </w:r>
      <w:r>
        <w:t xml:space="preserve"> for a detailed description of VCF files).</w:t>
      </w:r>
    </w:p>
    <w:p w14:paraId="57DB62DD" w14:textId="049A64FD" w:rsidR="00AB68AB" w:rsidRDefault="00B167CE" w:rsidP="00AD7C49">
      <w:pPr>
        <w:spacing w:before="0" w:after="360"/>
      </w:pPr>
      <w:r>
        <w:t>We recognize that a proper and thorough examination of filtering will mean extra time and work for researchers. However, th</w:t>
      </w:r>
      <w:r w:rsidR="009B6A4D">
        <w:t>ese changes to current workflows are</w:t>
      </w:r>
      <w:r>
        <w:t xml:space="preserve"> generally necessary to achieve high-quality, reproducible research</w:t>
      </w:r>
      <w:r w:rsidR="0060295E">
        <w:t xml:space="preserve"> and</w:t>
      </w:r>
      <w:r w:rsidR="0047757E">
        <w:t xml:space="preserve"> a better understanding </w:t>
      </w:r>
      <w:r w:rsidR="003C3E1E">
        <w:t xml:space="preserve">and </w:t>
      </w:r>
      <w:r w:rsidR="0047757E">
        <w:t>quantification of filtering effects</w:t>
      </w:r>
      <w:r>
        <w:t xml:space="preserve">. Following reproducible research guidelines may </w:t>
      </w:r>
      <w:proofErr w:type="gramStart"/>
      <w:r>
        <w:t>help:</w:t>
      </w:r>
      <w:proofErr w:type="gramEnd"/>
      <w:r>
        <w:t xml:space="preserve"> reproducible research is reproducible not just for other researchers, but also for the investigators themselves. A reproduction-friendly pipeline script that runs a suite of analyses when given a dataset and a set of filtering parameters is also easy to re-run a second time with a new (re-filtered) dataset. For examples of studies with well-documented methods, easily accessible data, and that would be relatively straightforward to reproduce with new filters and thresholds, see</w:t>
      </w:r>
      <w:r w:rsidR="00367E56">
        <w:fldChar w:fldCharType="begin"/>
      </w:r>
      <w:r w:rsidR="00C16345">
        <w:instrText xml:space="preserve"> ADDIN ZOTERO_ITEM CSL_CITATION {"citationID":"peI8LNzo","properties":{"formattedCitation":"\\super 60,98,99\\nosupersub{}","plainCitation":"60,98,99","noteIndex":0},"citationItems":[{"id":5220,"uris":["http://zotero.org/users/10196124/items/WGHM5ZVD"],"itemData":{"id":5220,"type":"article-journal","abstract":"Abstract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J."}],"issued":{"date-parts":[["2019",5,1]]},"citation-key":"linckMinorAlleleFrequency2019"}},{"id":2597,"uris":["http://zotero.org/users/10196124/items/82EMPY34"],"itemData":{"id":2597,"type":"article-journal","abstract":"Abstract Plumage divergence can function as a strong premating barrier when species come into secondary contact. When it fails to do so, the results are often genome homogenization and phenotypic hybrids at the zone of contact. This is not the case in the largely sympatric masked woodswallow and white-browed woodswallow species (Passeriformes: Artamidae: Artamus spp) complex in Australia where phenotypic integrity is sustained despite no discernible mitochondrial structure in earlier work. This lack of structure may suggest recent divergence, ongoing gene flow or both, and phenotypic hybrids are reported albeit rarely. Here, we further assessed the population structure and differentiation across the species' nuclear genomes using ddRAD-seq. As found in the mitochondrial genome, no structure or divergence within or between the two species was detected in the nuclear genome. This coarse sampling of the genome nonetheless revealed peaks of differentiation around the genes SOX5 and AXIN1. Both are involved in the Wnt/?-catenin signalling pathway, which regulates feather development. Reconstruction of demographic history and estimation of parameters supports a scenario of secondary contact. Our study informs how divergent plumage morphs may arise and be sustained despite whole-genome homogenization and reveals new candidate genes potentially involved in plumage divergence.","container-title":"Molecular Ecology","DOI":"https://doi.org/10.1111/mec.16637","ISSN":"0962-1083","issue":"19","note":"publisher: John Wiley &amp; Sons, Ltd","page":"5060-5073","title":"Sustained plumage divergence despite weak genomic differentiation and broad sympatry in sister species of Australian woodswallows (Artamus spp.)","volume":"31","author":[{"family":"Peñalba","given":"Joshua V"},{"family":"Peters","given":"Jeffrey L"},{"family":"Joseph","given":"Leo"}],"issued":{"date-parts":[["2022",10,1]]},"citation-key":"penalbaSustainedPlumageDivergence2022"}},{"id":5482,"uris":["http://zotero.org/users/10196124/items/NEE4JIJC"],"itemData":{"id":5482,"type":"article-journal","abstract":"Chinook salmon are known to return to spawn at two distinct times of the year: spring and fall. Individuals that return during these times have generally been referred to as parts of distinct groups, or ecotypes, with traits specific to their timing and presumed divergence being caused by the lack of interbreeding. By looking at genomes across fish from both runs, Thompson et al. found that a single genomic region of interest was nearly perfectly associated with run timing but not with other traits such as maturity and fat reserves (see the Perspective by McKinney). Further, they conclude that the region operates as a Mendelian trait, with assortment dictating run timing and associated phenotypes being caused by the migration environment rather than genetics. Science, this issue p. 609; see also p. 526 A single genomic region is associated with run timing in Chinook salmon. Differentiation between ecotypes is usually presumed to be complex and polygenic. Seasonal patterns of life history in salmon are used to categorize them into ecotypes, which are often considered ?distinct? animals. Using whole-genome sequencing and tribal fishery sampling of Chinook salmon, we show that a single, small genomic region is nearly perfectly associated with spawning migration timing but not with adiposity or sexual maturity, traits long perceived as central to salmon ecotypes. Distinct migration timing does not prevent interbreeding between ecotypes, which are the result of a simple, ancient polymorphism segregating within a diverse population. Our finding that a complex migratory phenotype results from a single gene region will facilitate conservation and restoration of this iconic fish.","container-title":"Science","DOI":"10.1126/science.aba9059","issue":"6516","journalAbbreviation":"Science","note":"publisher: American Association for the Advancement of Science","page":"609-613","title":"A complex phenotype in salmon controlled by a simple change in migratory timing","volume":"370","author":[{"family":"Thompson","given":"Neil F."},{"family":"Anderson","given":"Eric C."},{"family":"Clemento","given":"Anthony J."},{"family":"Campbell","given":"Matthew A."},{"family":"Pearse","given":"Devon E."},{"family":"Hearsey","given":"James W."},{"family":"Kinziger","given":"Andrew P."},{"family":"Garza","given":"John Carlos"}],"issued":{"date-parts":[["2020",10,30]]},"citation-key":"thompsonComplexPhenotypeSalmon2020"}}],"schema":"https://github.com/citation-style-language/schema/raw/master/csl-citation.json"} </w:instrText>
      </w:r>
      <w:r w:rsidR="00367E56">
        <w:fldChar w:fldCharType="separate"/>
      </w:r>
      <w:r w:rsidR="00C16345" w:rsidRPr="00C16345">
        <w:rPr>
          <w:vertAlign w:val="superscript"/>
        </w:rPr>
        <w:t>60,98,99</w:t>
      </w:r>
      <w:r w:rsidR="00367E56">
        <w:fldChar w:fldCharType="end"/>
      </w:r>
      <w:r>
        <w:t>.</w:t>
      </w:r>
    </w:p>
    <w:p w14:paraId="166CAF59" w14:textId="77777777" w:rsidR="00AB68AB" w:rsidRDefault="00B167CE" w:rsidP="00CE50D0">
      <w:pPr>
        <w:keepNext/>
        <w:spacing w:before="0" w:after="0"/>
        <w:ind w:firstLine="0"/>
        <w:rPr>
          <w:b/>
        </w:rPr>
      </w:pPr>
      <w:r>
        <w:rPr>
          <w:b/>
        </w:rPr>
        <w:t>Conclusions and future directions:</w:t>
      </w:r>
    </w:p>
    <w:p w14:paraId="628FB4DC" w14:textId="5BA1BB1F" w:rsidR="00AB68AB" w:rsidRDefault="00B167CE" w:rsidP="00CE50D0">
      <w:pPr>
        <w:keepNext/>
        <w:spacing w:before="0"/>
        <w:ind w:firstLine="0"/>
      </w:pPr>
      <w:r>
        <w:t>In this new and exciting era of genomics, a systematic, thoughtful, and transparent approach to filtering sequence data should be an integral part of every publication and data analysis pipeline</w:t>
      </w:r>
      <w:r w:rsidR="00CE50D0">
        <w:t>. Investigators should strive to filter</w:t>
      </w:r>
      <w:r>
        <w:t xml:space="preserve"> with a focus on reproducibility</w:t>
      </w:r>
      <w:r w:rsidR="00CE50D0">
        <w:t xml:space="preserve"> and aim to match the filters they employ to the questions they hope to answer. </w:t>
      </w:r>
      <w:r>
        <w:t xml:space="preserve">While technological advances have </w:t>
      </w:r>
      <w:r>
        <w:lastRenderedPageBreak/>
        <w:t>exponentially increased sequencing quantities, advances in filtering and its subsequent documentation or reporting have not kept pace. Instead, many investigators are unfamiliar with or ignore filtering issues during the quality control and analysis of large genomic datasets, for example, using default program settings without critical thought or explanation of their filtering decisions.</w:t>
      </w:r>
    </w:p>
    <w:p w14:paraId="3E1A395C" w14:textId="6FE7B162" w:rsidR="00AB68AB" w:rsidRDefault="00B167CE" w:rsidP="00AD7C49">
      <w:pPr>
        <w:spacing w:before="0" w:after="360"/>
      </w:pPr>
      <w:r>
        <w:t xml:space="preserve">Here, we reviewed the different types of data filtering, illustrated the effects of divergent filtering </w:t>
      </w:r>
      <w:r w:rsidR="00695B80">
        <w:t>choices and thresholds</w:t>
      </w:r>
      <w:r>
        <w:t xml:space="preserve">, and presented a flow chart and checklist to simplify, streamline, and potentially standardize and improve the filtering process. Critically, we highlight that for the same dataset 1) </w:t>
      </w:r>
      <w:r w:rsidR="00695B80">
        <w:t>different</w:t>
      </w:r>
      <w:r>
        <w:t xml:space="preserve"> filtering thresholds can create different downstream results</w:t>
      </w:r>
      <w:r w:rsidR="00695B80">
        <w:t xml:space="preserve"> for the same dataset</w:t>
      </w:r>
      <w:r>
        <w:t xml:space="preserve">, and 2) most analyses should be run on </w:t>
      </w:r>
      <w:r w:rsidR="00695B80">
        <w:t xml:space="preserve">multiple </w:t>
      </w:r>
      <w:r>
        <w:t xml:space="preserve">datasets produced </w:t>
      </w:r>
      <w:r w:rsidR="00CE50D0">
        <w:t>with</w:t>
      </w:r>
      <w:r>
        <w:t xml:space="preserve"> different </w:t>
      </w:r>
      <w:r w:rsidR="00695B80">
        <w:t xml:space="preserve">filters and </w:t>
      </w:r>
      <w:r w:rsidR="00CE50D0">
        <w:t xml:space="preserve">thresholds </w:t>
      </w:r>
      <w:r>
        <w:t xml:space="preserve">to allow for the quantification of filtering effects on results and improve conclusion certainty. As </w:t>
      </w:r>
      <w:r w:rsidR="00695B80">
        <w:t xml:space="preserve">the </w:t>
      </w:r>
      <w:r>
        <w:t>technology behind genomic sequencing continues to advance, we will likely see longer, higher-quality reads, which, alongside improvements in reference quality</w:t>
      </w:r>
      <w:r w:rsidR="00367E56">
        <w:fldChar w:fldCharType="begin"/>
      </w:r>
      <w:r w:rsidR="00C16345">
        <w:instrText xml:space="preserve"> ADDIN ZOTERO_ITEM CSL_CITATION {"citationID":"aPJOK8Tc","properties":{"formattedCitation":"\\super 100\\uc0\\u8211{}102\\nosupersub{}","plainCitation":"100–102","noteIndex":0},"citationItems":[{"id":5470,"uris":["http://zotero.org/users/10196124/items/64RPZ9H9"],"itemData":{"id":5470,"type":"article-journal","abstract":"Genome sequence assemblies provide the basis for our understanding of biology. Generating error-free assemblies is therefore the ultimate, but sadly still unachieved goal of a multitude of research projects. Despite the ever-advancing improvements in data generation, assembly algorithms and pipelines, no automated approach has so far reliably generated near error-free genome assemblies for eukaryotes. Whilst working towards improved datasets and fully automated pipelines, assembly evaluation and curation is actively used to bridge this shortcoming and significantly reduce the number of assembly errors. In addition to this increase in product value, the insights gained from assembly curation are fed back into the automated assembly strategy and contribute to notable improvements in genome assembly quality. We describe our tried and tested approach for assembly curation using gEVAL, the genome evaluation browser. We outline the procedures applied to genome curation using gEVAL and also our recommendations for assembly curation in a gEVAL-independent context to facilitate the uptake of genome curation in the wider community.","container-title":"GigaScience","DOI":"10.1093/gigascience/giaa153","ISSN":"2047-217X","issue":"1","journalAbbreviation":"GigaScience","page":"giaa153","title":"Significantly improving the quality of genome assemblies through curation","volume":"10","author":[{"family":"Howe","given":"Kerstin"},{"family":"Chow","given":"William"},{"family":"Collins","given":"Joanna"},{"family":"Pelan","given":"Sarah"},{"family":"Pointon","given":"Damon-Lee"},{"family":"Sims","given":"Ying"},{"family":"Torrance","given":"James"},{"family":"Tracey","given":"Alan"},{"family":"Wood","given":"Jonathan"}],"issued":{"date-parts":[["2021",1,29]]},"citation-key":"howeSignificantlyImprovingQuality2021"}},{"id":5471,"uris":["http://zotero.org/users/10196124/items/73UUV99H"],"itemData":{"id":5471,"type":"article-journal","abstract":"Since its initial release in 2000, the human reference genome has covered only the euchromatic fraction of the genome, leaving important heterochromatic regions unfinished. Addressing the remaining 8% of the genome, the Telomere-to-Telomere (T2T) Consortium presents a complete 3.055 billion?base pair sequence of a human genome, T2T-CHM13, that includes gapless assemblies for all chromosomes except Y, corrects errors in the prior references, and introduces nearly 200 million base pairs of sequence containing 1956 gene predictions, 99 of which are predicted to be protein coding. The completed regions include all centromeric satellite arrays, recent segmental duplications, and the short arms of all five acrocentric chromosomes, unlocking these complex regions of the genome to variational and functional studies.","container-title":"Science","DOI":"10.1126/science.abj6987","issue":"6588","journalAbbreviation":"Science","note":"publisher: American Association for the Advancement of Science","page":"44-53","title":"The complete sequence of a human genome","volume":"376","author":[{"family":"Nurk","given":"Sergey"},{"family":"Koren","given":"Sergey"},{"family":"Rhie","given":"Arang"},{"family":"Rautiainen","given":"Mikko"},{"family":"Bzikadze","given":"Andrey V."},{"family":"Mikheenko","given":"Alla"},{"family":"Vollger","given":"Mitchell R."},{"family":"Altemose","given":"Nicolas"},{"family":"Uralsky","given":"Lev"},{"family":"Gershman","given":"Ariel"},{"family":"Aganezov","given":"Sergey"},{"family":"Hoyt","given":"Savannah J."},{"family":"Diekhans","given":"Mark"},{"family":"Logsdon","given":"Glennis A."},{"family":"Alonge","given":"Michael"},{"family":"Antonarakis","given":"Stylianos E."},{"family":"Borchers","given":"Matthew"},{"family":"Bouffard","given":"Gerard G."},{"family":"Brooks","given":"Shelise Y."},{"family":"Caldas","given":"Gina V."},{"family":"Chen","given":"Nae-Chyun"},{"family":"Cheng","given":"Haoyu"},{"family":"Chin","given":"Chen-Shan"},{"family":"Chow","given":"William"},{"family":"Lima","given":"Leonardo G.","non-dropping-particle":"de"},{"family":"Dishuck","given":"Philip C."},{"family":"Durbin","given":"Richard"},{"family":"Dvorkina","given":"Tatiana"},{"family":"Fiddes","given":"Ian T."},{"family":"Formenti","given":"Giulio"},{"family":"Fulton","given":"Robert S."},{"family":"Fungtammasan","given":"Arkarachai"},{"family":"Garrison","given":"Erik"},{"family":"Grady","given":"Patrick G. S."},{"family":"Graves-Lindsay","given":"Tina A."},{"family":"Hall","given":"Ira M."},{"family":"Hansen","given":"Nancy F."},{"family":"Hartley","given":"Gabrielle A."},{"family":"Haukness","given":"Marina"},{"family":"Howe","given":"Kerstin"},{"family":"Hunkapiller","given":"Michael W."},{"family":"Jain","given":"Chirag"},{"family":"Jain","given":"Miten"},{"family":"Jarvis","given":"Erich D."},{"family":"Kerpedjiev","given":"Peter"},{"family":"Kirsche","given":"Melanie"},{"family":"Kolmogorov","given":"Mikhail"},{"family":"Korlach","given":"Jonas"},{"family":"Kremitzki","given":"Milinn"},{"family":"Li","given":"Heng"},{"family":"Maduro","given":"Valerie V."},{"family":"Marschall","given":"Tobias"},{"family":"McCartney","given":"Ann M."},{"family":"McDaniel","given":"Jennifer"},{"family":"Miller","given":"Danny E."},{"family":"Mullikin","given":"James C."},{"family":"Myers","given":"Eugene W."},{"family":"Olson","given":"Nathan D."},{"family":"Paten","given":"Benedict"},{"family":"Peluso","given":"Paul"},{"family":"Pevzner","given":"Pavel A."},{"family":"Porubsky","given":"David"},{"family":"Potapova","given":"Tamara"},{"family":"Rogaev","given":"Evgeny I."},{"family":"Rosenfeld","given":"Jeffrey A."},{"family":"Salzberg","given":"Steven L."},{"family":"Schneider","given":"Valerie A."},{"family":"Sedlazeck","given":"Fritz J."},{"family":"Shafin","given":"Kishwar"},{"family":"Shew","given":"Colin J."},{"family":"Shumate","given":"Alaina"},{"family":"Sims","given":"Ying"},{"family":"Smit","given":"Arian F. A."},{"family":"Soto","given":"Daniela C."},{"family":"Sović","given":"Ivan"},{"family":"Storer","given":"Jessica M."},{"family":"Streets","given":"Aaron"},{"family":"Sullivan","given":"Beth A."},{"family":"Thibaud-Nissen","given":"Françoise"},{"family":"Torrance","given":"James"},{"family":"Wagner","given":"Justin"},{"family":"Walenz","given":"Brian P."},{"family":"Wenger","given":"Aaron"},{"family":"Wood","given":"Jonathan M. D."},{"family":"Xiao","given":"Chunlin"},{"family":"Yan","given":"Stephanie M."},{"family":"Young","given":"Alice C."},{"family":"Zarate","given":"Samantha"},{"family":"Surti","given":"Urvashi"},{"family":"McCoy","given":"Rajiv C."},{"family":"Dennis","given":"Megan Y."},{"family":"Alexandrov","given":"Ivan A."},{"family":"Gerton","given":"Jennifer L."},{"family":"O’Neill","given":"Rachel J."},{"family":"Timp","given":"Winston"},{"family":"Zook","given":"Justin M."},{"family":"Schatz","given":"Michael C."},{"family":"Eichler","given":"Evan E."},{"family":"Miga","given":"Karen H."},{"family":"Phillippy","given":"Adam M."}],"issued":{"date-parts":[["2022",4,1]]},"citation-key":"nurkCompleteSequenceHuman2022"}},{"id":5469,"uris":["http://zotero.org/users/10196124/items/I7M3QAMP"],"itemData":{"id":5469,"type":"article-journal","abstract":"Plant genomes span several orders of magnitude in size, vary in levels of ploidy and heterozygosity, and contain old and recent bursts of transposable elements, which render them challenging but interesting to assemble. Recent advances in single molecule sequencing and physical mapping technologies have enabled high-quality, chromosome scale assemblies of plant species with increasing complexity and size. Single molecule reads can now exceed megabases in length, providing unprecedented opportunities to untangle genomic regions missed by short read technologies. However, polyploid and heterozygous plant genomes are still difficult to assemble but provide opportunities for new tools and approaches. Haplotype phasing, structural variant analysis and de novo pan-genomics are the emerging frontiers in plant genome assembly.","container-title":"Genome studies and molecular genetics","DOI":"10.1016/j.pbi.2019.12.009","ISSN":"1369-5266","journalAbbreviation":"Current Opinion in Plant Biology","page":"26-33","title":"Building near-complete plant genomes","volume":"54","author":[{"family":"Michael","given":"Todd P"},{"family":"VanBuren","given":"Robert"}],"issued":{"date-parts":[["2020",4,1]]},"citation-key":"michaelBuildingNearcompletePlant2020"}}],"schema":"https://github.com/citation-style-language/schema/raw/master/csl-citation.json"} </w:instrText>
      </w:r>
      <w:r w:rsidR="00367E56">
        <w:fldChar w:fldCharType="separate"/>
      </w:r>
      <w:r w:rsidR="00C16345" w:rsidRPr="00C16345">
        <w:rPr>
          <w:vertAlign w:val="superscript"/>
        </w:rPr>
        <w:t>100–102</w:t>
      </w:r>
      <w:r w:rsidR="00367E56">
        <w:fldChar w:fldCharType="end"/>
      </w:r>
      <w:r>
        <w:t xml:space="preserve"> and the burgeoning field of pangenomics</w:t>
      </w:r>
      <w:r w:rsidR="00367E56">
        <w:fldChar w:fldCharType="begin"/>
      </w:r>
      <w:r w:rsidR="00C16345">
        <w:instrText xml:space="preserve"> ADDIN ZOTERO_ITEM CSL_CITATION {"citationID":"dLeLk3UF","properties":{"formattedCitation":"\\super 103,104\\nosupersub{}","plainCitation":"103,104","noteIndex":0},"citationItems":[{"id":5468,"uris":["http://zotero.org/users/10196124/items/NGE6ECEM"],"itemData":{"id":5468,"type":"article-journal","note":"publisher: Springer Nature","title":"The pangenome: Diversity, dynamics and evolution of genomes","author":[{"family":"Tettelin","given":"Hervé"},{"family":"Medini","given":"Duccio"}],"issued":{"date-parts":[["2020"]]},"citation-key":"tettelinPangenomeDiversityDynamics2020"}},{"id":5467,"uris":["http://zotero.org/users/10196124/items/RSHDNKXP"],"itemData":{"id":5467,"type":"article-journal","abstract":"The human reference genome is the most widely used resource in human genetics and is due for a major update. Its current structure is a linear composite of merged haplotypes from more than 20 people, with a single individual comprising most of the sequence. It contains biases and errors within a framework that does not represent global human genomic variation. A high-quality reference with global representation of common variants, including single-nucleotide variants, structural variants and functional elements, is needed. The Human Pangenome Reference Consortium aims to create a more sophisticated and complete human reference genome with a graph-based, telomere-to-telomere representation of global genomic diversity. Here we leverage innovations in technology, study design and global partnerships with the goal of constructing the highest-possible quality human pangenome reference. Our goal is to improve data representation and streamline analyses to enable routine assembly of complete diploid genomes. With attention to ethical frameworks, the human pangenome reference will contain a more accurate and diverse representation of global genomic variation, improve gene–disease association studies across populations, expand the scope of genomics research to the most repetitive and polymorphic regions of the genome, and serve as the ultimate genetic resource for future biomedical research and precision medicine.","container-title":"Nature","DOI":"10.1038/s41586-022-04601-8","ISSN":"1476-4687","issue":"7906","journalAbbreviation":"Nature","page":"437-446","title":"The Human Pangenome Project: a global resource to map genomic diversity","volume":"604","author":[{"family":"Wang","given":"Ting"},{"family":"Antonacci-Fulton","given":"Lucinda"},{"family":"Howe","given":"Kerstin"},{"family":"Lawson","given":"Heather A."},{"family":"Lucas","given":"Julian K."},{"family":"Phillippy","given":"Adam M."},{"family":"Popejoy","given":"Alice B."},{"family":"Asri","given":"Mobin"},{"family":"Carson","given":"Caryn"},{"family":"Chaisson","given":"Mark J. P."},{"family":"Chang","given":"Xian"},{"family":"Cook-Deegan","given":"Robert"},{"family":"Felsenfeld","given":"Adam L."},{"family":"Fulton","given":"Robert S."},{"family":"Garrison","given":"Erik P."},{"family":"Garrison","given":"Nanibaa’ A."},{"family":"Graves-Lindsay","given":"Tina A."},{"family":"Ji","given":"Hanlee"},{"family":"Kenny","given":"Eimear E."},{"family":"Koenig","given":"Barbara A."},{"family":"Li","given":"Daofeng"},{"family":"Marschall","given":"Tobias"},{"family":"McMichael","given":"Joshua F."},{"family":"Novak","given":"Adam M."},{"family":"Purushotham","given":"Deepak"},{"family":"Schneider","given":"Valerie A."},{"family":"Schultz","given":"Baergen I."},{"family":"Smith","given":"Michael W."},{"family":"Sofia","given":"Heidi J."},{"family":"Weissman","given":"Tsachy"},{"family":"Flicek","given":"Paul"},{"family":"Li","given":"Heng"},{"family":"Miga","given":"Karen H."},{"family":"Paten","given":"Benedict"},{"family":"Jarvis","given":"Erich D."},{"family":"Hall","given":"Ira M."},{"family":"Eichler","given":"Evan E."},{"family":"Haussler","given":"David"},{"literal":"the Human Pangenome Reference Consortium"}],"issued":{"date-parts":[["2022",4,1]]},"citation-key":"wangHumanPangenomeProject2022"}}],"schema":"https://github.com/citation-style-language/schema/raw/master/csl-citation.json"} </w:instrText>
      </w:r>
      <w:r w:rsidR="00367E56">
        <w:fldChar w:fldCharType="separate"/>
      </w:r>
      <w:r w:rsidR="00C16345" w:rsidRPr="00C16345">
        <w:rPr>
          <w:vertAlign w:val="superscript"/>
        </w:rPr>
        <w:t>103,104</w:t>
      </w:r>
      <w:r w:rsidR="00367E56">
        <w:fldChar w:fldCharType="end"/>
      </w:r>
      <w:r>
        <w:t>, will  increase the accuracy and power of genomic data analyses. Nonetheless, no genomic dataset will be error-free, and filtering will undoubtedly remain a central part of all genomic analyses for decades to come. We hope this review ushers a new era of next-generation filtering in genomic analyses that sparks improvements in our understanding and applications of filtering, data interpretation, reproducibility, and drives production of new data analysis tools to make it easier to re-filter and quantify filtering effects on questions across disciplines.</w:t>
      </w:r>
    </w:p>
    <w:p w14:paraId="0F17454F" w14:textId="77777777" w:rsidR="00AB68AB" w:rsidRDefault="00B167CE" w:rsidP="00207DE7">
      <w:pPr>
        <w:spacing w:after="0"/>
        <w:ind w:firstLine="0"/>
        <w:rPr>
          <w:b/>
        </w:rPr>
      </w:pPr>
      <w:r>
        <w:rPr>
          <w:b/>
        </w:rPr>
        <w:t>Acknowledgements:</w:t>
      </w:r>
    </w:p>
    <w:p w14:paraId="723B39E2" w14:textId="4B9612B9" w:rsidR="00997149" w:rsidRDefault="00207DE7" w:rsidP="00207DE7">
      <w:pPr>
        <w:spacing w:before="0"/>
        <w:ind w:firstLine="0"/>
      </w:pPr>
      <w:r w:rsidRPr="00B063A1">
        <w:lastRenderedPageBreak/>
        <w:t xml:space="preserve">We thank </w:t>
      </w:r>
      <w:proofErr w:type="spellStart"/>
      <w:r w:rsidRPr="00B063A1">
        <w:t>Xiaoshen</w:t>
      </w:r>
      <w:proofErr w:type="spellEnd"/>
      <w:r w:rsidRPr="00B063A1">
        <w:t xml:space="preserve"> Yin,</w:t>
      </w:r>
      <w:r w:rsidR="009A362C">
        <w:t xml:space="preserve"> Claire </w:t>
      </w:r>
      <w:proofErr w:type="spellStart"/>
      <w:r w:rsidR="009A362C">
        <w:t>Schraidt</w:t>
      </w:r>
      <w:proofErr w:type="spellEnd"/>
      <w:r w:rsidR="009A362C">
        <w:t xml:space="preserve">, </w:t>
      </w:r>
      <w:r w:rsidR="00CE50D0">
        <w:t xml:space="preserve">Micah Freedman, Helen </w:t>
      </w:r>
      <w:r w:rsidR="00CE50D0" w:rsidRPr="00CE50D0">
        <w:t>Neville</w:t>
      </w:r>
      <w:r w:rsidR="00CE50D0">
        <w:t>, and Michael Miller</w:t>
      </w:r>
      <w:r w:rsidRPr="00B063A1">
        <w:t>, for allowing us to re</w:t>
      </w:r>
      <w:r>
        <w:t>view and re-filter</w:t>
      </w:r>
      <w:r w:rsidRPr="00B063A1">
        <w:t xml:space="preserve"> their data</w:t>
      </w:r>
      <w:r>
        <w:t xml:space="preserve">. Mark </w:t>
      </w:r>
      <w:r w:rsidR="009A362C">
        <w:t xml:space="preserve">R. </w:t>
      </w:r>
      <w:r>
        <w:t xml:space="preserve">Christie was funded, in part, by NSF </w:t>
      </w:r>
      <w:r w:rsidRPr="00422BE2">
        <w:t>DEB-1856710</w:t>
      </w:r>
      <w:r>
        <w:t xml:space="preserve"> and</w:t>
      </w:r>
      <w:r w:rsidRPr="00B063A1">
        <w:t xml:space="preserve"> </w:t>
      </w:r>
      <w:r w:rsidRPr="00422BE2">
        <w:t>OCE-1924505</w:t>
      </w:r>
      <w:r>
        <w:t>.</w:t>
      </w:r>
      <w:r w:rsidRPr="00B063A1">
        <w:t xml:space="preserve"> </w:t>
      </w:r>
    </w:p>
    <w:p w14:paraId="5558767B" w14:textId="593D3AB9" w:rsidR="00997149" w:rsidRPr="00997149" w:rsidRDefault="00997149" w:rsidP="00207DE7">
      <w:pPr>
        <w:spacing w:before="0"/>
        <w:ind w:firstLine="0"/>
      </w:pPr>
      <w:r>
        <w:rPr>
          <w:b/>
          <w:bCs/>
        </w:rPr>
        <w:t xml:space="preserve">Competing Interests: </w:t>
      </w:r>
      <w:r>
        <w:t>The authors declare no competing interests.</w:t>
      </w:r>
    </w:p>
    <w:p w14:paraId="18B8AA25" w14:textId="77777777" w:rsidR="00AB68AB" w:rsidRDefault="00AB68AB" w:rsidP="003F76ED">
      <w:pPr>
        <w:pStyle w:val="Heading1"/>
        <w:suppressLineNumbers/>
        <w:rPr>
          <w:rFonts w:ascii="Times New Roman" w:eastAsia="Times New Roman" w:hAnsi="Times New Roman" w:cs="Times New Roman"/>
        </w:rPr>
      </w:pPr>
    </w:p>
    <w:p w14:paraId="7F64099B" w14:textId="77777777" w:rsidR="00AB68AB" w:rsidRDefault="00B167CE" w:rsidP="003F76ED">
      <w:pPr>
        <w:suppressLineNumbers/>
        <w:rPr>
          <w:color w:val="2F5496"/>
          <w:sz w:val="32"/>
          <w:szCs w:val="32"/>
        </w:rPr>
      </w:pPr>
      <w:r>
        <w:br w:type="page"/>
      </w:r>
    </w:p>
    <w:p w14:paraId="3BD17A0B" w14:textId="77777777" w:rsidR="00AB68AB" w:rsidRDefault="00B167CE">
      <w:pPr>
        <w:ind w:firstLine="0"/>
      </w:pPr>
      <w:r>
        <w:rPr>
          <w:b/>
        </w:rPr>
        <w:lastRenderedPageBreak/>
        <w:t>Literature cited:</w:t>
      </w:r>
    </w:p>
    <w:p w14:paraId="76858725" w14:textId="77777777" w:rsidR="00C16345" w:rsidRDefault="00367E56" w:rsidP="00C16345">
      <w:pPr>
        <w:pStyle w:val="Bibliography"/>
      </w:pPr>
      <w:r>
        <w:fldChar w:fldCharType="begin"/>
      </w:r>
      <w:r w:rsidR="00717BCE">
        <w:instrText xml:space="preserve"> ADDIN ZOTERO_BIBL {"uncited":[],"omitted":[],"custom":[]} CSL_BIBLIOGRAPHY </w:instrText>
      </w:r>
      <w:r>
        <w:fldChar w:fldCharType="separate"/>
      </w:r>
      <w:r w:rsidR="00C16345">
        <w:t>1.</w:t>
      </w:r>
      <w:r w:rsidR="00C16345">
        <w:tab/>
        <w:t xml:space="preserve">Allendorf, F. W., Hohenlohe, P. A. &amp; Luikart, G. Genomics and the future of conservation genetics. </w:t>
      </w:r>
      <w:r w:rsidR="00C16345">
        <w:rPr>
          <w:i/>
          <w:iCs/>
        </w:rPr>
        <w:t>Nat. Rev. Genet.</w:t>
      </w:r>
      <w:r w:rsidR="00C16345">
        <w:t xml:space="preserve"> </w:t>
      </w:r>
      <w:r w:rsidR="00C16345">
        <w:rPr>
          <w:b/>
          <w:bCs/>
        </w:rPr>
        <w:t>11</w:t>
      </w:r>
      <w:r w:rsidR="00C16345">
        <w:t>, 697–709 (2010).</w:t>
      </w:r>
    </w:p>
    <w:p w14:paraId="7B9E7C57" w14:textId="77777777" w:rsidR="00C16345" w:rsidRDefault="00C16345" w:rsidP="00C16345">
      <w:pPr>
        <w:pStyle w:val="Bibliography"/>
      </w:pPr>
      <w:r>
        <w:t>2.</w:t>
      </w:r>
      <w:r>
        <w:tab/>
        <w:t xml:space="preserve">Athanasopoulou, K., Boti, M. A., Adamopoulos, P. G., Skourou, P. C. &amp; Scorilas, A. Third-Generation Sequencing: The Spearhead towards the Radical Transformation of Modern Genomics. </w:t>
      </w:r>
      <w:r>
        <w:rPr>
          <w:i/>
          <w:iCs/>
        </w:rPr>
        <w:t>Life</w:t>
      </w:r>
      <w:r>
        <w:t xml:space="preserve"> </w:t>
      </w:r>
      <w:r>
        <w:rPr>
          <w:b/>
          <w:bCs/>
        </w:rPr>
        <w:t>12</w:t>
      </w:r>
      <w:r>
        <w:t>, (2022).</w:t>
      </w:r>
    </w:p>
    <w:p w14:paraId="0A151703" w14:textId="77777777" w:rsidR="00C16345" w:rsidRDefault="00C16345" w:rsidP="00C16345">
      <w:pPr>
        <w:pStyle w:val="Bibliography"/>
      </w:pPr>
      <w:r>
        <w:t>3.</w:t>
      </w:r>
      <w:r>
        <w:tab/>
        <w:t xml:space="preserve">Fiedler, P. L. </w:t>
      </w:r>
      <w:r>
        <w:rPr>
          <w:i/>
          <w:iCs/>
        </w:rPr>
        <w:t>et al.</w:t>
      </w:r>
      <w:r>
        <w:t xml:space="preserve"> Seizing the moment: The opportunity and relevance of the California Conservation Genomics Project to state and federal conservation policy. </w:t>
      </w:r>
      <w:r>
        <w:rPr>
          <w:i/>
          <w:iCs/>
        </w:rPr>
        <w:t>J. Hered.</w:t>
      </w:r>
      <w:r>
        <w:t xml:space="preserve"> </w:t>
      </w:r>
      <w:r>
        <w:rPr>
          <w:b/>
          <w:bCs/>
        </w:rPr>
        <w:t>113</w:t>
      </w:r>
      <w:r>
        <w:t>, 589–596 (2022).</w:t>
      </w:r>
    </w:p>
    <w:p w14:paraId="662075E0" w14:textId="77777777" w:rsidR="00C16345" w:rsidRDefault="00C16345" w:rsidP="00C16345">
      <w:pPr>
        <w:pStyle w:val="Bibliography"/>
      </w:pPr>
      <w:r>
        <w:t>4.</w:t>
      </w:r>
      <w:r>
        <w:tab/>
        <w:t xml:space="preserve">Hu, T., Chitnis, N., Monos, D. &amp; Dinh, A. Next-generation sequencing technologies: An overview. </w:t>
      </w:r>
      <w:r>
        <w:rPr>
          <w:i/>
          <w:iCs/>
        </w:rPr>
        <w:t>Gener. Seq. Its Appl. Med. Lab. Immunol.</w:t>
      </w:r>
      <w:r>
        <w:t xml:space="preserve"> </w:t>
      </w:r>
      <w:r>
        <w:rPr>
          <w:b/>
          <w:bCs/>
        </w:rPr>
        <w:t>82</w:t>
      </w:r>
      <w:r>
        <w:t>, 801–811 (2021).</w:t>
      </w:r>
    </w:p>
    <w:p w14:paraId="0656FD87" w14:textId="77777777" w:rsidR="00C16345" w:rsidRDefault="00C16345" w:rsidP="00C16345">
      <w:pPr>
        <w:pStyle w:val="Bibliography"/>
      </w:pPr>
      <w:r>
        <w:t>5.</w:t>
      </w:r>
      <w:r>
        <w:tab/>
        <w:t xml:space="preserve">Pompanon, F., Bonin, A., Bellemain, E. &amp; Taberlet, P. Genotyping errors: causes, consequences and solutions. </w:t>
      </w:r>
      <w:r>
        <w:rPr>
          <w:i/>
          <w:iCs/>
        </w:rPr>
        <w:t>Nat. Rev. Genet.</w:t>
      </w:r>
      <w:r>
        <w:t xml:space="preserve"> </w:t>
      </w:r>
      <w:r>
        <w:rPr>
          <w:b/>
          <w:bCs/>
        </w:rPr>
        <w:t>6</w:t>
      </w:r>
      <w:r>
        <w:t>, 847–859 (2005).</w:t>
      </w:r>
    </w:p>
    <w:p w14:paraId="5248CDC7" w14:textId="77777777" w:rsidR="00C16345" w:rsidRDefault="00C16345" w:rsidP="00C16345">
      <w:pPr>
        <w:pStyle w:val="Bibliography"/>
      </w:pPr>
      <w:r>
        <w:t>6.</w:t>
      </w:r>
      <w:r>
        <w:tab/>
        <w:t xml:space="preserve">Stoler, N. &amp; Nekrutenko, A. Sequencing error profiles of Illumina sequencing instruments. </w:t>
      </w:r>
      <w:r>
        <w:rPr>
          <w:i/>
          <w:iCs/>
        </w:rPr>
        <w:t>NAR Genomics Bioinforma.</w:t>
      </w:r>
      <w:r>
        <w:t xml:space="preserve"> </w:t>
      </w:r>
      <w:r>
        <w:rPr>
          <w:b/>
          <w:bCs/>
        </w:rPr>
        <w:t>3</w:t>
      </w:r>
      <w:r>
        <w:t>, lqab019 (2021).</w:t>
      </w:r>
    </w:p>
    <w:p w14:paraId="4E0B2BCD" w14:textId="77777777" w:rsidR="00C16345" w:rsidRDefault="00C16345" w:rsidP="00C16345">
      <w:pPr>
        <w:pStyle w:val="Bibliography"/>
      </w:pPr>
      <w:r>
        <w:t>7.</w:t>
      </w:r>
      <w:r>
        <w:tab/>
        <w:t xml:space="preserve">Fountain, E. D., Pauli, J. N., Reid, B. N., Palsbøll, P. J. &amp; Peery, M. Z. Finding the right coverage: the impact of coverage and sequence quality on single nucleotide polymorphism genotyping error rates. </w:t>
      </w:r>
      <w:r>
        <w:rPr>
          <w:i/>
          <w:iCs/>
        </w:rPr>
        <w:t>Mol. Ecol. Resour.</w:t>
      </w:r>
      <w:r>
        <w:t xml:space="preserve"> </w:t>
      </w:r>
      <w:r>
        <w:rPr>
          <w:b/>
          <w:bCs/>
        </w:rPr>
        <w:t>16</w:t>
      </w:r>
      <w:r>
        <w:t>, 966–978 (2016).</w:t>
      </w:r>
    </w:p>
    <w:p w14:paraId="1D9C2F84" w14:textId="77777777" w:rsidR="00C16345" w:rsidRDefault="00C16345" w:rsidP="00C16345">
      <w:pPr>
        <w:pStyle w:val="Bibliography"/>
      </w:pPr>
      <w:r>
        <w:lastRenderedPageBreak/>
        <w:t>8.</w:t>
      </w:r>
      <w:r>
        <w:tab/>
        <w:t xml:space="preserve">O’Leary, S. J., Puritz, J. B., Willis, S. C., Hollenbeck, C. M. &amp; Portnoy, D. S. These aren’t the loci you’e looking for: Principles of effective SNP filtering for molecular ecologists. </w:t>
      </w:r>
      <w:r>
        <w:rPr>
          <w:i/>
          <w:iCs/>
        </w:rPr>
        <w:t>Mol. Ecol.</w:t>
      </w:r>
      <w:r>
        <w:t xml:space="preserve"> </w:t>
      </w:r>
      <w:r>
        <w:rPr>
          <w:b/>
          <w:bCs/>
        </w:rPr>
        <w:t>27</w:t>
      </w:r>
      <w:r>
        <w:t>, 3193–3206 (2018).</w:t>
      </w:r>
    </w:p>
    <w:p w14:paraId="0BD79ED7" w14:textId="77777777" w:rsidR="00C16345" w:rsidRDefault="00C16345" w:rsidP="00C16345">
      <w:pPr>
        <w:pStyle w:val="Bibliography"/>
      </w:pPr>
      <w:r>
        <w:t>9.</w:t>
      </w:r>
      <w:r>
        <w:tab/>
        <w:t xml:space="preserve">Rochette, N. C., Rivera-Colón, A. G. &amp; Catchen, J. M. Stacks 2: Analytical methods for paired-end sequencing improve RADseq-based population genomics. </w:t>
      </w:r>
      <w:r>
        <w:rPr>
          <w:i/>
          <w:iCs/>
        </w:rPr>
        <w:t>Mol. Ecol.</w:t>
      </w:r>
      <w:r>
        <w:t xml:space="preserve"> </w:t>
      </w:r>
      <w:r>
        <w:rPr>
          <w:b/>
          <w:bCs/>
        </w:rPr>
        <w:t>28</w:t>
      </w:r>
      <w:r>
        <w:t>, 4737–4754 (2019).</w:t>
      </w:r>
    </w:p>
    <w:p w14:paraId="69F5674F" w14:textId="77777777" w:rsidR="00C16345" w:rsidRDefault="00C16345" w:rsidP="00C16345">
      <w:pPr>
        <w:pStyle w:val="Bibliography"/>
      </w:pPr>
      <w:r>
        <w:t>10.</w:t>
      </w:r>
      <w:r>
        <w:tab/>
        <w:t xml:space="preserve">Ahrens, C. W. </w:t>
      </w:r>
      <w:r>
        <w:rPr>
          <w:i/>
          <w:iCs/>
        </w:rPr>
        <w:t>et al.</w:t>
      </w:r>
      <w:r>
        <w:t xml:space="preserve"> Regarding the F-word: The effects of data filtering on inferred genotype-environment associations. </w:t>
      </w:r>
      <w:r>
        <w:rPr>
          <w:i/>
          <w:iCs/>
        </w:rPr>
        <w:t>Mol. Ecol. Resour.</w:t>
      </w:r>
      <w:r>
        <w:t xml:space="preserve"> </w:t>
      </w:r>
      <w:r>
        <w:rPr>
          <w:b/>
          <w:bCs/>
        </w:rPr>
        <w:t>21</w:t>
      </w:r>
      <w:r>
        <w:t>, 1460–1474 (2021).</w:t>
      </w:r>
    </w:p>
    <w:p w14:paraId="06892D4D" w14:textId="77777777" w:rsidR="00C16345" w:rsidRDefault="00C16345" w:rsidP="00C16345">
      <w:pPr>
        <w:pStyle w:val="Bibliography"/>
      </w:pPr>
      <w:r>
        <w:t>11.</w:t>
      </w:r>
      <w:r>
        <w:tab/>
        <w:t xml:space="preserve">Andrews, K. R. &amp; Luikart, G. Recent novel approaches for population genomics data analysis. </w:t>
      </w:r>
      <w:r>
        <w:rPr>
          <w:i/>
          <w:iCs/>
        </w:rPr>
        <w:t>Mol. Ecol.</w:t>
      </w:r>
      <w:r>
        <w:t xml:space="preserve"> </w:t>
      </w:r>
      <w:r>
        <w:rPr>
          <w:b/>
          <w:bCs/>
        </w:rPr>
        <w:t>23</w:t>
      </w:r>
      <w:r>
        <w:t>, 1661–1667 (2014).</w:t>
      </w:r>
    </w:p>
    <w:p w14:paraId="579B9027" w14:textId="77777777" w:rsidR="00C16345" w:rsidRDefault="00C16345" w:rsidP="00C16345">
      <w:pPr>
        <w:pStyle w:val="Bibliography"/>
      </w:pPr>
      <w:r>
        <w:t>12.</w:t>
      </w:r>
      <w:r>
        <w:tab/>
        <w:t xml:space="preserve">Larson, W. A., Isermann, D. A. &amp; Feiner, Z. S. Incomplete bioinformatic filtering and inadequate age and growth analysis lead to an incorrect inference of harvested-induced changes. </w:t>
      </w:r>
      <w:r>
        <w:rPr>
          <w:i/>
          <w:iCs/>
        </w:rPr>
        <w:t>Evol. Appl.</w:t>
      </w:r>
      <w:r>
        <w:t xml:space="preserve"> </w:t>
      </w:r>
      <w:r>
        <w:rPr>
          <w:b/>
          <w:bCs/>
        </w:rPr>
        <w:t>14</w:t>
      </w:r>
      <w:r>
        <w:t>, 278–289 (2021).</w:t>
      </w:r>
    </w:p>
    <w:p w14:paraId="05F61651" w14:textId="70AA46DD" w:rsidR="00C16345" w:rsidRDefault="00C16345" w:rsidP="00C16345">
      <w:pPr>
        <w:pStyle w:val="Bibliography"/>
      </w:pPr>
      <w:r>
        <w:t>13.</w:t>
      </w:r>
      <w:r>
        <w:tab/>
        <w:t xml:space="preserve">Nazareno, A. G. &amp; Knowles, L. L. There </w:t>
      </w:r>
      <w:r w:rsidR="001F0CF4">
        <w:t>is n</w:t>
      </w:r>
      <w:r>
        <w:t xml:space="preserve">o ‘Rule of Thumb’: Genomic </w:t>
      </w:r>
      <w:r w:rsidR="001F0CF4">
        <w:t>f</w:t>
      </w:r>
      <w:r>
        <w:t xml:space="preserve">ilter Settings for a Small Plant Population to Obtain Unbiased Gene Flow Estimates. </w:t>
      </w:r>
      <w:r>
        <w:rPr>
          <w:i/>
          <w:iCs/>
        </w:rPr>
        <w:t>Front. Plant Sci.</w:t>
      </w:r>
      <w:r>
        <w:t xml:space="preserve"> </w:t>
      </w:r>
      <w:r>
        <w:rPr>
          <w:b/>
          <w:bCs/>
        </w:rPr>
        <w:t>12</w:t>
      </w:r>
      <w:r>
        <w:t>, (2021).</w:t>
      </w:r>
    </w:p>
    <w:p w14:paraId="4CC2D55A" w14:textId="77777777" w:rsidR="00C16345" w:rsidRDefault="00C16345" w:rsidP="00C16345">
      <w:pPr>
        <w:pStyle w:val="Bibliography"/>
      </w:pPr>
      <w:r>
        <w:t>14.</w:t>
      </w:r>
      <w:r>
        <w:tab/>
        <w:t xml:space="preserve">Giani, A. M., Gallo, G. R., Gianfranceschi, L. &amp; Formenti, G. Long walk to genomics: History and current approaches to genome sequencing and assembly. </w:t>
      </w:r>
      <w:r>
        <w:rPr>
          <w:i/>
          <w:iCs/>
        </w:rPr>
        <w:t>Comput. Struct. Biotechnol. J.</w:t>
      </w:r>
      <w:r>
        <w:t xml:space="preserve"> </w:t>
      </w:r>
      <w:r>
        <w:rPr>
          <w:b/>
          <w:bCs/>
        </w:rPr>
        <w:t>18</w:t>
      </w:r>
      <w:r>
        <w:t>, 9–19 (2020).</w:t>
      </w:r>
    </w:p>
    <w:p w14:paraId="697FB2D0" w14:textId="77777777" w:rsidR="00C16345" w:rsidRDefault="00C16345" w:rsidP="00C16345">
      <w:pPr>
        <w:pStyle w:val="Bibliography"/>
      </w:pPr>
      <w:r>
        <w:lastRenderedPageBreak/>
        <w:t>15.</w:t>
      </w:r>
      <w:r>
        <w:tab/>
        <w:t xml:space="preserve">Kumar, K. R. ; C., Mark J. ;. Davis, Ryan L. Next-Generation Sequencing and Emerging Technologies. </w:t>
      </w:r>
      <w:r>
        <w:rPr>
          <w:i/>
          <w:iCs/>
        </w:rPr>
        <w:t>Semin. Thromb. Hemost.</w:t>
      </w:r>
      <w:r>
        <w:t xml:space="preserve"> </w:t>
      </w:r>
      <w:r>
        <w:rPr>
          <w:b/>
          <w:bCs/>
        </w:rPr>
        <w:t>45</w:t>
      </w:r>
      <w:r>
        <w:t>, 661–673 (2019).</w:t>
      </w:r>
    </w:p>
    <w:p w14:paraId="62FBBC96" w14:textId="77777777" w:rsidR="00C16345" w:rsidRDefault="00C16345" w:rsidP="00C16345">
      <w:pPr>
        <w:pStyle w:val="Bibliography"/>
      </w:pPr>
      <w:r>
        <w:t>16.</w:t>
      </w:r>
      <w:r>
        <w:tab/>
        <w:t xml:space="preserve">Shendure, J. </w:t>
      </w:r>
      <w:r>
        <w:rPr>
          <w:i/>
          <w:iCs/>
        </w:rPr>
        <w:t>et al.</w:t>
      </w:r>
      <w:r>
        <w:t xml:space="preserve"> DNA sequencing at 40: past, present and future. </w:t>
      </w:r>
      <w:r>
        <w:rPr>
          <w:i/>
          <w:iCs/>
        </w:rPr>
        <w:t>Nature</w:t>
      </w:r>
      <w:r>
        <w:t xml:space="preserve"> </w:t>
      </w:r>
      <w:r>
        <w:rPr>
          <w:b/>
          <w:bCs/>
        </w:rPr>
        <w:t>550</w:t>
      </w:r>
      <w:r>
        <w:t>, 345–353 (2017).</w:t>
      </w:r>
    </w:p>
    <w:p w14:paraId="6E7EBD53" w14:textId="77777777" w:rsidR="00C16345" w:rsidRDefault="00C16345" w:rsidP="00C16345">
      <w:pPr>
        <w:pStyle w:val="Bibliography"/>
      </w:pPr>
      <w:r>
        <w:t>17.</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0F321C81" w14:textId="77777777" w:rsidR="00C16345" w:rsidRDefault="00C16345" w:rsidP="00C16345">
      <w:pPr>
        <w:pStyle w:val="Bibliography"/>
      </w:pPr>
      <w:r>
        <w:t>18.</w:t>
      </w:r>
      <w:r>
        <w:tab/>
        <w:t xml:space="preserve">Olson, N. D. </w:t>
      </w:r>
      <w:r>
        <w:rPr>
          <w:i/>
          <w:iCs/>
        </w:rPr>
        <w:t>et al.</w:t>
      </w:r>
      <w:r>
        <w:t xml:space="preserve"> Variant calling and benchmarking in an era of complete human genome sequences. </w:t>
      </w:r>
      <w:r>
        <w:rPr>
          <w:i/>
          <w:iCs/>
        </w:rPr>
        <w:t>Nat. Rev. Genet.</w:t>
      </w:r>
      <w:r>
        <w:t xml:space="preserve"> </w:t>
      </w:r>
      <w:r>
        <w:rPr>
          <w:b/>
          <w:bCs/>
        </w:rPr>
        <w:t>24</w:t>
      </w:r>
      <w:r>
        <w:t>, 464–483 (2023).</w:t>
      </w:r>
    </w:p>
    <w:p w14:paraId="107C4460" w14:textId="77777777" w:rsidR="00C16345" w:rsidRDefault="00C16345" w:rsidP="00C16345">
      <w:pPr>
        <w:pStyle w:val="Bibliography"/>
      </w:pPr>
      <w:r>
        <w:t>19.</w:t>
      </w:r>
      <w:r>
        <w:tab/>
        <w:t xml:space="preserve">Ceballos, F. C., Joshi, P. K., Clark, D. W., Ramsay, M. &amp; Wilson, J. F. Runs of homozygosity: windows into population history and trait architecture. </w:t>
      </w:r>
      <w:r>
        <w:rPr>
          <w:i/>
          <w:iCs/>
        </w:rPr>
        <w:t>Nat. Rev. Genet.</w:t>
      </w:r>
      <w:r>
        <w:t xml:space="preserve"> </w:t>
      </w:r>
      <w:r>
        <w:rPr>
          <w:b/>
          <w:bCs/>
        </w:rPr>
        <w:t>19</w:t>
      </w:r>
      <w:r>
        <w:t>, 220–234 (2018).</w:t>
      </w:r>
    </w:p>
    <w:p w14:paraId="0A57E39B" w14:textId="77777777" w:rsidR="00C16345" w:rsidRDefault="00C16345" w:rsidP="00C16345">
      <w:pPr>
        <w:pStyle w:val="Bibliography"/>
      </w:pPr>
      <w:r>
        <w:t>20.</w:t>
      </w:r>
      <w:r>
        <w:tab/>
        <w:t xml:space="preserve">Heller, R. </w:t>
      </w:r>
      <w:r>
        <w:rPr>
          <w:i/>
          <w:iCs/>
        </w:rPr>
        <w:t>et al.</w:t>
      </w:r>
      <w:r>
        <w:t xml:space="preserve"> A reference-free approach to analyse RADseq data using standard next generation sequencing toolkits. </w:t>
      </w:r>
      <w:r>
        <w:rPr>
          <w:i/>
          <w:iCs/>
        </w:rPr>
        <w:t>Mol. Ecol. Resour.</w:t>
      </w:r>
      <w:r>
        <w:t xml:space="preserve"> </w:t>
      </w:r>
      <w:r>
        <w:rPr>
          <w:b/>
          <w:bCs/>
        </w:rPr>
        <w:t>21</w:t>
      </w:r>
      <w:r>
        <w:t>, 1085–1097 (2021).</w:t>
      </w:r>
    </w:p>
    <w:p w14:paraId="68C364C8" w14:textId="77777777" w:rsidR="00C16345" w:rsidRDefault="00C16345" w:rsidP="00C16345">
      <w:pPr>
        <w:pStyle w:val="Bibliography"/>
      </w:pPr>
      <w:r>
        <w:t>21.</w:t>
      </w:r>
      <w:r>
        <w:tab/>
        <w:t xml:space="preserve">Gihawi, A., Cardenas, R., Hurst, R. &amp; Brewer, D. S. Quality Control in Metagenomics Data. in </w:t>
      </w:r>
      <w:r>
        <w:rPr>
          <w:i/>
          <w:iCs/>
        </w:rPr>
        <w:t>Metagenomic Data Analysis</w:t>
      </w:r>
      <w:r>
        <w:t xml:space="preserve"> (ed. Mitra, S.) 21–54 (Springer US, 2023). doi:10.1007/978-1-0716-3072-3_2.</w:t>
      </w:r>
    </w:p>
    <w:p w14:paraId="2AFE44B1" w14:textId="77777777" w:rsidR="00C16345" w:rsidRDefault="00C16345" w:rsidP="00C16345">
      <w:pPr>
        <w:pStyle w:val="Bibliography"/>
      </w:pPr>
      <w:r>
        <w:t>22.</w:t>
      </w:r>
      <w:r>
        <w:tab/>
        <w:t xml:space="preserve">Ruppert, K. M., Kline, R. J. &amp; Rahman, M. S. Past, present, and future perspectives of environmental DNA (eDNA) metabarcoding: A systematic review in methods, monitoring, and applications of global eDNA. </w:t>
      </w:r>
      <w:r>
        <w:rPr>
          <w:i/>
          <w:iCs/>
        </w:rPr>
        <w:t>Glob. Ecol. Conserv.</w:t>
      </w:r>
      <w:r>
        <w:t xml:space="preserve"> </w:t>
      </w:r>
      <w:r>
        <w:rPr>
          <w:b/>
          <w:bCs/>
        </w:rPr>
        <w:t>17</w:t>
      </w:r>
      <w:r>
        <w:t>, e00547 (2019).</w:t>
      </w:r>
    </w:p>
    <w:p w14:paraId="779E13B0" w14:textId="77777777" w:rsidR="00C16345" w:rsidRDefault="00C16345" w:rsidP="00C16345">
      <w:pPr>
        <w:pStyle w:val="Bibliography"/>
      </w:pPr>
      <w:r>
        <w:lastRenderedPageBreak/>
        <w:t>23.</w:t>
      </w:r>
      <w:r>
        <w:tab/>
        <w:t xml:space="preserve">da Fonseca, R. R. </w:t>
      </w:r>
      <w:r>
        <w:rPr>
          <w:i/>
          <w:iCs/>
        </w:rPr>
        <w:t>et al.</w:t>
      </w:r>
      <w:r>
        <w:t xml:space="preserve"> Next-generation biology: Sequencing and data analysis approaches for non-model organisms. </w:t>
      </w:r>
      <w:r>
        <w:rPr>
          <w:i/>
          <w:iCs/>
        </w:rPr>
        <w:t>Mar. Genomics</w:t>
      </w:r>
      <w:r>
        <w:t xml:space="preserve"> </w:t>
      </w:r>
      <w:r>
        <w:rPr>
          <w:b/>
          <w:bCs/>
        </w:rPr>
        <w:t>30</w:t>
      </w:r>
      <w:r>
        <w:t>, 3–13 (2016).</w:t>
      </w:r>
    </w:p>
    <w:p w14:paraId="06663B88" w14:textId="77777777" w:rsidR="00C16345" w:rsidRDefault="00C16345" w:rsidP="00C16345">
      <w:pPr>
        <w:pStyle w:val="Bibliography"/>
      </w:pPr>
      <w:r>
        <w:t>24.</w:t>
      </w:r>
      <w:r>
        <w:tab/>
        <w:t xml:space="preserve">Bohling, J. Evaluating the effect of reference genome divergence on the analysis of empirical RADseq datasets. </w:t>
      </w:r>
      <w:r>
        <w:rPr>
          <w:i/>
          <w:iCs/>
        </w:rPr>
        <w:t>Ecol. Evol.</w:t>
      </w:r>
      <w:r>
        <w:t xml:space="preserve"> </w:t>
      </w:r>
      <w:r>
        <w:rPr>
          <w:b/>
          <w:bCs/>
        </w:rPr>
        <w:t>10</w:t>
      </w:r>
      <w:r>
        <w:t>, 7585–7601 (2020).</w:t>
      </w:r>
    </w:p>
    <w:p w14:paraId="1B0675CC" w14:textId="77777777" w:rsidR="00C16345" w:rsidRDefault="00C16345" w:rsidP="00C16345">
      <w:pPr>
        <w:pStyle w:val="Bibliography"/>
      </w:pPr>
      <w:r>
        <w:t>25.</w:t>
      </w:r>
      <w:r>
        <w:tab/>
        <w:t xml:space="preserve">Valiente-Mullor, C. </w:t>
      </w:r>
      <w:r>
        <w:rPr>
          <w:i/>
          <w:iCs/>
        </w:rPr>
        <w:t>et al.</w:t>
      </w:r>
      <w:r>
        <w:t xml:space="preserve"> One is not enough: On the effects of reference genome for the mapping and subsequent analyses of short-reads. </w:t>
      </w:r>
      <w:r>
        <w:rPr>
          <w:i/>
          <w:iCs/>
        </w:rPr>
        <w:t>PLOS Comput. Biol.</w:t>
      </w:r>
      <w:r>
        <w:t xml:space="preserve"> </w:t>
      </w:r>
      <w:r>
        <w:rPr>
          <w:b/>
          <w:bCs/>
        </w:rPr>
        <w:t>17</w:t>
      </w:r>
      <w:r>
        <w:t>, e1008678 (2021).</w:t>
      </w:r>
    </w:p>
    <w:p w14:paraId="61E1DF16" w14:textId="77777777" w:rsidR="00C16345" w:rsidRDefault="00C16345" w:rsidP="00C16345">
      <w:pPr>
        <w:pStyle w:val="Bibliography"/>
      </w:pPr>
      <w:r>
        <w:t>26.</w:t>
      </w:r>
      <w:r>
        <w:tab/>
        <w:t xml:space="preserve">Vaux, F., Dutoit, L., Fraser, C. I. &amp; Waters, J. M. Genotyping-by-sequencing for biogeography. </w:t>
      </w:r>
      <w:r>
        <w:rPr>
          <w:i/>
          <w:iCs/>
        </w:rPr>
        <w:t>J. Biogeogr.</w:t>
      </w:r>
      <w:r>
        <w:t xml:space="preserve"> </w:t>
      </w:r>
      <w:r>
        <w:rPr>
          <w:b/>
          <w:bCs/>
        </w:rPr>
        <w:t>50</w:t>
      </w:r>
      <w:r>
        <w:t>, 262–281 (2023).</w:t>
      </w:r>
    </w:p>
    <w:p w14:paraId="31382FE0" w14:textId="77777777" w:rsidR="00C16345" w:rsidRDefault="00C16345" w:rsidP="00C16345">
      <w:pPr>
        <w:pStyle w:val="Bibliography"/>
      </w:pPr>
      <w:r>
        <w:t>27.</w:t>
      </w:r>
      <w:r>
        <w:tab/>
        <w:t xml:space="preserve">Jackson, B. C., Campos, J. L. &amp; Zeng, K. The effects of purifying selection on patterns of genetic differentiation between Drosophila melanogaster populations. </w:t>
      </w:r>
      <w:r>
        <w:rPr>
          <w:i/>
          <w:iCs/>
        </w:rPr>
        <w:t>Heredity</w:t>
      </w:r>
      <w:r>
        <w:t xml:space="preserve"> </w:t>
      </w:r>
      <w:r>
        <w:rPr>
          <w:b/>
          <w:bCs/>
        </w:rPr>
        <w:t>114</w:t>
      </w:r>
      <w:r>
        <w:t>, 163–174 (2015).</w:t>
      </w:r>
    </w:p>
    <w:p w14:paraId="539178E5" w14:textId="77777777" w:rsidR="00C16345" w:rsidRDefault="00C16345" w:rsidP="00C16345">
      <w:pPr>
        <w:pStyle w:val="Bibliography"/>
      </w:pPr>
      <w:r>
        <w:t>28.</w:t>
      </w:r>
      <w:r>
        <w:tab/>
        <w:t xml:space="preserve">Luikart, G., England, P. R., Tallmon, D., Jordan, S. &amp; Taberlet, P. The power and promise of population genomics: from genotyping to genome typing. </w:t>
      </w:r>
      <w:r>
        <w:rPr>
          <w:i/>
          <w:iCs/>
        </w:rPr>
        <w:t>Nat. Rev. Genet.</w:t>
      </w:r>
      <w:r>
        <w:t xml:space="preserve"> </w:t>
      </w:r>
      <w:r>
        <w:rPr>
          <w:b/>
          <w:bCs/>
        </w:rPr>
        <w:t>4</w:t>
      </w:r>
      <w:r>
        <w:t>, 981–994 (2003).</w:t>
      </w:r>
    </w:p>
    <w:p w14:paraId="0ED7BED6" w14:textId="77777777" w:rsidR="00C16345" w:rsidRDefault="00C16345" w:rsidP="00C16345">
      <w:pPr>
        <w:pStyle w:val="Bibliography"/>
      </w:pPr>
      <w:r>
        <w:t>29.</w:t>
      </w:r>
      <w:r>
        <w:tab/>
        <w:t xml:space="preserve">Langmead, B. &amp; Salzberg, S. L. Fast gapped-read alignment with Bowtie 2. </w:t>
      </w:r>
      <w:r>
        <w:rPr>
          <w:i/>
          <w:iCs/>
        </w:rPr>
        <w:t>Nat. Methods</w:t>
      </w:r>
      <w:r>
        <w:t xml:space="preserve"> </w:t>
      </w:r>
      <w:r>
        <w:rPr>
          <w:b/>
          <w:bCs/>
        </w:rPr>
        <w:t>9</w:t>
      </w:r>
      <w:r>
        <w:t>, 357–359 (2012).</w:t>
      </w:r>
    </w:p>
    <w:p w14:paraId="05C0E2D3" w14:textId="77777777" w:rsidR="00C16345" w:rsidRDefault="00C16345" w:rsidP="00C16345">
      <w:pPr>
        <w:pStyle w:val="Bibliography"/>
      </w:pPr>
      <w:r>
        <w:t>30.</w:t>
      </w:r>
      <w:r>
        <w:tab/>
        <w:t xml:space="preserve">Li, H. &amp; Durbin, R. Fast and accurate short read alignment with Burrows-Wheeler transform. </w:t>
      </w:r>
      <w:r>
        <w:rPr>
          <w:i/>
          <w:iCs/>
        </w:rPr>
        <w:t>Bioinforma. Oxf. Engl.</w:t>
      </w:r>
      <w:r>
        <w:t xml:space="preserve"> </w:t>
      </w:r>
      <w:r>
        <w:rPr>
          <w:b/>
          <w:bCs/>
        </w:rPr>
        <w:t>25</w:t>
      </w:r>
      <w:r>
        <w:t>, 1754–1760 (2009).</w:t>
      </w:r>
    </w:p>
    <w:p w14:paraId="53CA6C47" w14:textId="77777777" w:rsidR="00C16345" w:rsidRDefault="00C16345" w:rsidP="00C16345">
      <w:pPr>
        <w:pStyle w:val="Bibliography"/>
      </w:pPr>
      <w:r>
        <w:lastRenderedPageBreak/>
        <w:t>31.</w:t>
      </w:r>
      <w:r>
        <w:tab/>
        <w:t xml:space="preserve">Pfeifer, S. P. From next-generation resequencing reads to a high-quality variant data set. </w:t>
      </w:r>
      <w:r>
        <w:rPr>
          <w:i/>
          <w:iCs/>
        </w:rPr>
        <w:t>Heredity</w:t>
      </w:r>
      <w:r>
        <w:t xml:space="preserve"> </w:t>
      </w:r>
      <w:r>
        <w:rPr>
          <w:b/>
          <w:bCs/>
        </w:rPr>
        <w:t>118</w:t>
      </w:r>
      <w:r>
        <w:t>, 111–124 (2017).</w:t>
      </w:r>
    </w:p>
    <w:p w14:paraId="17A8BF67" w14:textId="77777777" w:rsidR="00C16345" w:rsidRDefault="00C16345" w:rsidP="00C16345">
      <w:pPr>
        <w:pStyle w:val="Bibliography"/>
      </w:pPr>
      <w:r>
        <w:t>32.</w:t>
      </w:r>
      <w:r>
        <w:tab/>
        <w:t xml:space="preserve">Chen, N.-C., Solomon, B., Mun, T., Iyer, S. &amp; Langmead, B. Reference flow: reducing reference bias using multiple population genomes. </w:t>
      </w:r>
      <w:r>
        <w:rPr>
          <w:i/>
          <w:iCs/>
        </w:rPr>
        <w:t>Genome Biol.</w:t>
      </w:r>
      <w:r>
        <w:t xml:space="preserve"> </w:t>
      </w:r>
      <w:r>
        <w:rPr>
          <w:b/>
          <w:bCs/>
        </w:rPr>
        <w:t>22</w:t>
      </w:r>
      <w:r>
        <w:t>, 8 (2021).</w:t>
      </w:r>
    </w:p>
    <w:p w14:paraId="3FC3A391" w14:textId="77777777" w:rsidR="00C16345" w:rsidRDefault="00C16345" w:rsidP="00C16345">
      <w:pPr>
        <w:pStyle w:val="Bibliography"/>
      </w:pPr>
      <w:r>
        <w:t>33.</w:t>
      </w:r>
      <w:r>
        <w:tab/>
        <w:t xml:space="preserve">Rhie, A. </w:t>
      </w:r>
      <w:r>
        <w:rPr>
          <w:i/>
          <w:iCs/>
        </w:rPr>
        <w:t>et al.</w:t>
      </w:r>
      <w:r>
        <w:t xml:space="preserve"> Towards complete and error-free genome assemblies of all vertebrate species. </w:t>
      </w:r>
      <w:r>
        <w:rPr>
          <w:i/>
          <w:iCs/>
        </w:rPr>
        <w:t>Nature</w:t>
      </w:r>
      <w:r>
        <w:t xml:space="preserve"> </w:t>
      </w:r>
      <w:r>
        <w:rPr>
          <w:b/>
          <w:bCs/>
        </w:rPr>
        <w:t>592</w:t>
      </w:r>
      <w:r>
        <w:t>, 737–746 (2021).</w:t>
      </w:r>
    </w:p>
    <w:p w14:paraId="4F66C0A6" w14:textId="77777777" w:rsidR="00C16345" w:rsidRDefault="00C16345" w:rsidP="00C16345">
      <w:pPr>
        <w:pStyle w:val="Bibliography"/>
      </w:pPr>
      <w:r>
        <w:t>34.</w:t>
      </w:r>
      <w:r>
        <w:tab/>
        <w:t xml:space="preserve">Ho, S. S., Urban, A. E. &amp; Mills, R. E. Structural variation in the sequencing era. </w:t>
      </w:r>
      <w:r>
        <w:rPr>
          <w:i/>
          <w:iCs/>
        </w:rPr>
        <w:t>Nat. Rev. Genet.</w:t>
      </w:r>
      <w:r>
        <w:t xml:space="preserve"> </w:t>
      </w:r>
      <w:r>
        <w:rPr>
          <w:b/>
          <w:bCs/>
        </w:rPr>
        <w:t>21</w:t>
      </w:r>
      <w:r>
        <w:t>, 171–189 (2020).</w:t>
      </w:r>
    </w:p>
    <w:p w14:paraId="33F98B61" w14:textId="77777777" w:rsidR="00C16345" w:rsidRDefault="00C16345" w:rsidP="00C16345">
      <w:pPr>
        <w:pStyle w:val="Bibliography"/>
      </w:pPr>
      <w:r>
        <w:t>35.</w:t>
      </w:r>
      <w:r>
        <w:tab/>
        <w:t xml:space="preserve">Ou, S. </w:t>
      </w:r>
      <w:r>
        <w:rPr>
          <w:i/>
          <w:iCs/>
        </w:rPr>
        <w:t>et al.</w:t>
      </w:r>
      <w:r>
        <w:t xml:space="preserve"> Benchmarking transposable element annotation methods for creation of a streamlined, comprehensive pipeline. </w:t>
      </w:r>
      <w:r>
        <w:rPr>
          <w:i/>
          <w:iCs/>
        </w:rPr>
        <w:t>Genome Biol.</w:t>
      </w:r>
      <w:r>
        <w:t xml:space="preserve"> </w:t>
      </w:r>
      <w:r>
        <w:rPr>
          <w:b/>
          <w:bCs/>
        </w:rPr>
        <w:t>20</w:t>
      </w:r>
      <w:r>
        <w:t>, 275 (2019).</w:t>
      </w:r>
    </w:p>
    <w:p w14:paraId="0764D15F" w14:textId="77777777" w:rsidR="00C16345" w:rsidRDefault="00C16345" w:rsidP="00C16345">
      <w:pPr>
        <w:pStyle w:val="Bibliography"/>
      </w:pPr>
      <w:r>
        <w:t>36.</w:t>
      </w:r>
      <w:r>
        <w:tab/>
        <w:t xml:space="preserve">Rochette, N. C. </w:t>
      </w:r>
      <w:r>
        <w:rPr>
          <w:i/>
          <w:iCs/>
        </w:rPr>
        <w:t>et al.</w:t>
      </w:r>
      <w:r>
        <w:t xml:space="preserve"> On the causes, consequences, and avoidance of PCR duplicates: Towards a theory of library complexity. </w:t>
      </w:r>
      <w:r>
        <w:rPr>
          <w:i/>
          <w:iCs/>
        </w:rPr>
        <w:t>Mol. Ecol. Resour.</w:t>
      </w:r>
      <w:r>
        <w:t xml:space="preserve"> </w:t>
      </w:r>
      <w:r>
        <w:rPr>
          <w:b/>
          <w:bCs/>
        </w:rPr>
        <w:t>n/a</w:t>
      </w:r>
      <w:r>
        <w:t>, (2023).</w:t>
      </w:r>
    </w:p>
    <w:p w14:paraId="41C0E7C7" w14:textId="77777777" w:rsidR="00C16345" w:rsidRDefault="00C16345" w:rsidP="00C16345">
      <w:pPr>
        <w:pStyle w:val="Bibliography"/>
      </w:pPr>
      <w:r>
        <w:t>37.</w:t>
      </w:r>
      <w:r>
        <w:tab/>
        <w:t xml:space="preserve">Singh, A. K. </w:t>
      </w:r>
      <w:r>
        <w:rPr>
          <w:i/>
          <w:iCs/>
        </w:rPr>
        <w:t>et al.</w:t>
      </w:r>
      <w:r>
        <w:t xml:space="preserve"> Detecting copy number variation in next generation sequencing data from diagnostic gene panels. </w:t>
      </w:r>
      <w:r>
        <w:rPr>
          <w:i/>
          <w:iCs/>
        </w:rPr>
        <w:t>BMC Med. Genomics</w:t>
      </w:r>
      <w:r>
        <w:t xml:space="preserve"> </w:t>
      </w:r>
      <w:r>
        <w:rPr>
          <w:b/>
          <w:bCs/>
        </w:rPr>
        <w:t>14</w:t>
      </w:r>
      <w:r>
        <w:t>, 214 (2021).</w:t>
      </w:r>
    </w:p>
    <w:p w14:paraId="208894F6" w14:textId="77777777" w:rsidR="00C16345" w:rsidRDefault="00C16345" w:rsidP="00C16345">
      <w:pPr>
        <w:pStyle w:val="Bibliography"/>
      </w:pPr>
      <w:r>
        <w:t>38.</w:t>
      </w:r>
      <w:r>
        <w:tab/>
        <w:t xml:space="preserve">Van der Auwera, G. A. &amp; O’Connor, B. D. </w:t>
      </w:r>
      <w:r>
        <w:rPr>
          <w:i/>
          <w:iCs/>
        </w:rPr>
        <w:t>Genomics in the cloud: using Docker, GATK, and WDL in Terra</w:t>
      </w:r>
      <w:r>
        <w:t>. (O’Reilly Media, 2020).</w:t>
      </w:r>
    </w:p>
    <w:p w14:paraId="32C768C6" w14:textId="77777777" w:rsidR="00C16345" w:rsidRDefault="00C16345" w:rsidP="00C16345">
      <w:pPr>
        <w:pStyle w:val="Bibliography"/>
      </w:pPr>
      <w:r>
        <w:t>39.</w:t>
      </w:r>
      <w:r>
        <w:tab/>
        <w:t xml:space="preserve">Korneliussen, T. S., Albrechtsen, A. &amp; Nielsen, R. ANGSD: Analysis of Next Generation Sequencing Data. </w:t>
      </w:r>
      <w:r>
        <w:rPr>
          <w:i/>
          <w:iCs/>
        </w:rPr>
        <w:t>BMC Bioinformatics</w:t>
      </w:r>
      <w:r>
        <w:t xml:space="preserve"> </w:t>
      </w:r>
      <w:r>
        <w:rPr>
          <w:b/>
          <w:bCs/>
        </w:rPr>
        <w:t>15</w:t>
      </w:r>
      <w:r>
        <w:t>, 356 (2014).</w:t>
      </w:r>
    </w:p>
    <w:p w14:paraId="270B51BE" w14:textId="77777777" w:rsidR="00C16345" w:rsidRDefault="00C16345" w:rsidP="00C16345">
      <w:pPr>
        <w:pStyle w:val="Bibliography"/>
      </w:pPr>
      <w:r>
        <w:lastRenderedPageBreak/>
        <w:t>40.</w:t>
      </w:r>
      <w:r>
        <w:tab/>
        <w:t xml:space="preserve">Eaton, D. A. R. &amp; Overcast, I. ipyrad: Interactive assembly and analysis of RADseq datasets. </w:t>
      </w:r>
      <w:r>
        <w:rPr>
          <w:i/>
          <w:iCs/>
        </w:rPr>
        <w:t>Bioinformatics</w:t>
      </w:r>
      <w:r>
        <w:t xml:space="preserve"> </w:t>
      </w:r>
      <w:r>
        <w:rPr>
          <w:b/>
          <w:bCs/>
        </w:rPr>
        <w:t>36</w:t>
      </w:r>
      <w:r>
        <w:t>, 2592–2594 (2020).</w:t>
      </w:r>
    </w:p>
    <w:p w14:paraId="784BA962" w14:textId="77777777" w:rsidR="00C16345" w:rsidRDefault="00C16345" w:rsidP="00C16345">
      <w:pPr>
        <w:pStyle w:val="Bibliography"/>
      </w:pPr>
      <w:r>
        <w:t>41.</w:t>
      </w:r>
      <w:r>
        <w:tab/>
        <w:t xml:space="preserve">Layer, R. M., Chiang, C., Quinlan, A. R. &amp; Hall, I. M. LUMPY: a probabilistic framework for structural variant discovery. </w:t>
      </w:r>
      <w:r>
        <w:rPr>
          <w:i/>
          <w:iCs/>
        </w:rPr>
        <w:t>Genome Biol.</w:t>
      </w:r>
      <w:r>
        <w:t xml:space="preserve"> </w:t>
      </w:r>
      <w:r>
        <w:rPr>
          <w:b/>
          <w:bCs/>
        </w:rPr>
        <w:t>15</w:t>
      </w:r>
      <w:r>
        <w:t>, R84 (2014).</w:t>
      </w:r>
    </w:p>
    <w:p w14:paraId="09ADF9C2" w14:textId="77777777" w:rsidR="00C16345" w:rsidRDefault="00C16345" w:rsidP="00C16345">
      <w:pPr>
        <w:pStyle w:val="Bibliography"/>
      </w:pPr>
      <w:r>
        <w:t>42.</w:t>
      </w:r>
      <w:r>
        <w:tab/>
        <w:t>Mona, S., Benazzo, A., Delrieu-Trottin, E. &amp; Lesturgie, P. Population genetics using low coverage RADseq data in non-model organisms: biases and solutions. (2023) doi:10.22541/au.168252801.19878064/v1.</w:t>
      </w:r>
    </w:p>
    <w:p w14:paraId="72534357" w14:textId="77777777" w:rsidR="00C16345" w:rsidRDefault="00C16345" w:rsidP="00C16345">
      <w:pPr>
        <w:pStyle w:val="Bibliography"/>
      </w:pPr>
      <w:r>
        <w:t>43.</w:t>
      </w:r>
      <w:r>
        <w:tab/>
        <w:t xml:space="preserve">Wright, B. </w:t>
      </w:r>
      <w:r>
        <w:rPr>
          <w:i/>
          <w:iCs/>
        </w:rPr>
        <w:t>et al.</w:t>
      </w:r>
      <w:r>
        <w:t xml:space="preserve"> From reference genomes to population genomics: comparing three reference-aligned reduced-representation sequencing pipelines in two wildlife species. </w:t>
      </w:r>
      <w:r>
        <w:rPr>
          <w:i/>
          <w:iCs/>
        </w:rPr>
        <w:t>BMC Genomics</w:t>
      </w:r>
      <w:r>
        <w:t xml:space="preserve"> </w:t>
      </w:r>
      <w:r>
        <w:rPr>
          <w:b/>
          <w:bCs/>
        </w:rPr>
        <w:t>20</w:t>
      </w:r>
      <w:r>
        <w:t>, 453 (2019).</w:t>
      </w:r>
    </w:p>
    <w:p w14:paraId="7F4B65D3" w14:textId="77777777" w:rsidR="00C16345" w:rsidRDefault="00C16345" w:rsidP="00C16345">
      <w:pPr>
        <w:pStyle w:val="Bibliography"/>
      </w:pPr>
      <w:r>
        <w:t>44.</w:t>
      </w:r>
      <w:r>
        <w:tab/>
        <w:t xml:space="preserve">Pritchard, J. K., Stephens, M. &amp; Donnelly, P. Inference of Population Structure Using Multilocus Genotype Data. </w:t>
      </w:r>
      <w:r>
        <w:rPr>
          <w:i/>
          <w:iCs/>
        </w:rPr>
        <w:t>Genetics</w:t>
      </w:r>
      <w:r>
        <w:t xml:space="preserve"> </w:t>
      </w:r>
      <w:r>
        <w:rPr>
          <w:b/>
          <w:bCs/>
        </w:rPr>
        <w:t>155</w:t>
      </w:r>
      <w:r>
        <w:t>, 945–959 (2000).</w:t>
      </w:r>
    </w:p>
    <w:p w14:paraId="0A8E4E5C" w14:textId="77777777" w:rsidR="00C16345" w:rsidRDefault="00C16345" w:rsidP="00C16345">
      <w:pPr>
        <w:pStyle w:val="Bibliography"/>
      </w:pPr>
      <w:r>
        <w:t>45.</w:t>
      </w:r>
      <w:r>
        <w:tab/>
        <w:t xml:space="preserve">Waples, R. S. Testing for Hardy–Weinberg Proportions: Have We Lost the Plot? </w:t>
      </w:r>
      <w:r>
        <w:rPr>
          <w:i/>
          <w:iCs/>
        </w:rPr>
        <w:t>J. Hered.</w:t>
      </w:r>
      <w:r>
        <w:t xml:space="preserve"> </w:t>
      </w:r>
      <w:r>
        <w:rPr>
          <w:b/>
          <w:bCs/>
        </w:rPr>
        <w:t>106</w:t>
      </w:r>
      <w:r>
        <w:t>, 1–19 (2015).</w:t>
      </w:r>
    </w:p>
    <w:p w14:paraId="1060D8E5" w14:textId="77777777" w:rsidR="00C16345" w:rsidRDefault="00C16345" w:rsidP="00C16345">
      <w:pPr>
        <w:pStyle w:val="Bibliography"/>
      </w:pPr>
      <w:r>
        <w:t>46.</w:t>
      </w:r>
      <w:r>
        <w:tab/>
        <w:t xml:space="preserve">Sethuraman, A. </w:t>
      </w:r>
      <w:r>
        <w:rPr>
          <w:i/>
          <w:iCs/>
        </w:rPr>
        <w:t>et al.</w:t>
      </w:r>
      <w:r>
        <w:t xml:space="preserve"> Continued misuse of multiple testing correction methods in population genetics-A wake-up call? </w:t>
      </w:r>
      <w:r>
        <w:rPr>
          <w:i/>
          <w:iCs/>
        </w:rPr>
        <w:t>Mol. Ecol. Resour.</w:t>
      </w:r>
      <w:r>
        <w:t xml:space="preserve"> </w:t>
      </w:r>
      <w:r>
        <w:rPr>
          <w:b/>
          <w:bCs/>
        </w:rPr>
        <w:t>19</w:t>
      </w:r>
      <w:r>
        <w:t>, 23–26 (2019).</w:t>
      </w:r>
    </w:p>
    <w:p w14:paraId="6E6D88E1" w14:textId="77777777" w:rsidR="00C16345" w:rsidRDefault="00C16345" w:rsidP="00C16345">
      <w:pPr>
        <w:pStyle w:val="Bibliography"/>
      </w:pPr>
      <w:r>
        <w:t>47.</w:t>
      </w:r>
      <w:r>
        <w:tab/>
        <w:t xml:space="preserve">Benjamini, Y. &amp; Hochberg, Y. Controlling the False Discovery Rate: A Practical and Powerful Approach to Multiple Testing. </w:t>
      </w:r>
      <w:r>
        <w:rPr>
          <w:i/>
          <w:iCs/>
        </w:rPr>
        <w:t>J. R. Stat. Soc. Ser. B Methodol.</w:t>
      </w:r>
      <w:r>
        <w:t xml:space="preserve"> </w:t>
      </w:r>
      <w:r>
        <w:rPr>
          <w:b/>
          <w:bCs/>
        </w:rPr>
        <w:t>57</w:t>
      </w:r>
      <w:r>
        <w:t>, 289–300 (1995).</w:t>
      </w:r>
    </w:p>
    <w:p w14:paraId="7B2908B6" w14:textId="77777777" w:rsidR="00C16345" w:rsidRDefault="00C16345" w:rsidP="00C16345">
      <w:pPr>
        <w:pStyle w:val="Bibliography"/>
      </w:pPr>
      <w:r>
        <w:lastRenderedPageBreak/>
        <w:t>48.</w:t>
      </w:r>
      <w:r>
        <w:tab/>
        <w:t xml:space="preserve">Holm, S. A Simple Sequentially Rejective Multiple Test Procedure. </w:t>
      </w:r>
      <w:r>
        <w:rPr>
          <w:i/>
          <w:iCs/>
        </w:rPr>
        <w:t>Scand. J. Stat.</w:t>
      </w:r>
      <w:r>
        <w:t xml:space="preserve"> </w:t>
      </w:r>
      <w:r>
        <w:rPr>
          <w:b/>
          <w:bCs/>
        </w:rPr>
        <w:t>6</w:t>
      </w:r>
      <w:r>
        <w:t>, 65–70 (1979).</w:t>
      </w:r>
    </w:p>
    <w:p w14:paraId="70401A63" w14:textId="77777777" w:rsidR="00C16345" w:rsidRDefault="00C16345" w:rsidP="00C16345">
      <w:pPr>
        <w:pStyle w:val="Bibliography"/>
      </w:pPr>
      <w:r>
        <w:t>49.</w:t>
      </w:r>
      <w:r>
        <w:tab/>
        <w:t xml:space="preserve">Allendorf, F. W. </w:t>
      </w:r>
      <w:r>
        <w:rPr>
          <w:i/>
          <w:iCs/>
        </w:rPr>
        <w:t>et al.</w:t>
      </w:r>
      <w:r>
        <w:t xml:space="preserve"> </w:t>
      </w:r>
      <w:r>
        <w:rPr>
          <w:i/>
          <w:iCs/>
        </w:rPr>
        <w:t>Conservation and the Genomics of Populations</w:t>
      </w:r>
      <w:r>
        <w:t>. (Oxford University Press, 2022). doi:10.1093/oso/9780198856566.001.0001.</w:t>
      </w:r>
    </w:p>
    <w:p w14:paraId="664133EF" w14:textId="77777777" w:rsidR="00C16345" w:rsidRDefault="00C16345" w:rsidP="00C16345">
      <w:pPr>
        <w:pStyle w:val="Bibliography"/>
      </w:pPr>
      <w:r>
        <w:t>50.</w:t>
      </w:r>
      <w:r>
        <w:tab/>
        <w:t xml:space="preserve">Gautier, M. </w:t>
      </w:r>
      <w:r>
        <w:rPr>
          <w:i/>
          <w:iCs/>
        </w:rPr>
        <w:t>et al.</w:t>
      </w:r>
      <w:r>
        <w:t xml:space="preserve"> The effect of RAD allele dropout on the estimation of genetic variation within and between populations. </w:t>
      </w:r>
      <w:r>
        <w:rPr>
          <w:i/>
          <w:iCs/>
        </w:rPr>
        <w:t>Mol. Ecol.</w:t>
      </w:r>
      <w:r>
        <w:t xml:space="preserve"> </w:t>
      </w:r>
      <w:r>
        <w:rPr>
          <w:b/>
          <w:bCs/>
        </w:rPr>
        <w:t>22</w:t>
      </w:r>
      <w:r>
        <w:t>, 3165–3178 (2013).</w:t>
      </w:r>
    </w:p>
    <w:p w14:paraId="6E724E49" w14:textId="77777777" w:rsidR="00C16345" w:rsidRDefault="00C16345" w:rsidP="00C16345">
      <w:pPr>
        <w:pStyle w:val="Bibliography"/>
      </w:pPr>
      <w:r>
        <w:t>51.</w:t>
      </w:r>
      <w:r>
        <w:tab/>
        <w:t xml:space="preserve">Günther, T. &amp; Nettelblad, C. The presence and impact of reference bias on population genomic studies of prehistoric human populations. </w:t>
      </w:r>
      <w:r>
        <w:rPr>
          <w:i/>
          <w:iCs/>
        </w:rPr>
        <w:t>PLOS Genet.</w:t>
      </w:r>
      <w:r>
        <w:t xml:space="preserve"> </w:t>
      </w:r>
      <w:r>
        <w:rPr>
          <w:b/>
          <w:bCs/>
        </w:rPr>
        <w:t>15</w:t>
      </w:r>
      <w:r>
        <w:t>, e1008302 (2019).</w:t>
      </w:r>
    </w:p>
    <w:p w14:paraId="32322707" w14:textId="77777777" w:rsidR="00C16345" w:rsidRDefault="00C16345" w:rsidP="00C16345">
      <w:pPr>
        <w:pStyle w:val="Bibliography"/>
      </w:pPr>
      <w:r>
        <w:t>52.</w:t>
      </w:r>
      <w:r>
        <w:tab/>
        <w:t xml:space="preserve">McKinney, G. J., Waples, R. K., Seeb, L. W. &amp; Seeb, J. E. Paralogs are revealed by proportion of heterozygotes and deviations in read ratios in genotyping-by-sequencing data from natural populations. </w:t>
      </w:r>
      <w:r>
        <w:rPr>
          <w:i/>
          <w:iCs/>
        </w:rPr>
        <w:t>Mol. Ecol. Resour.</w:t>
      </w:r>
      <w:r>
        <w:t xml:space="preserve"> </w:t>
      </w:r>
      <w:r>
        <w:rPr>
          <w:b/>
          <w:bCs/>
        </w:rPr>
        <w:t>17</w:t>
      </w:r>
      <w:r>
        <w:t>, 656–669 (2017).</w:t>
      </w:r>
    </w:p>
    <w:p w14:paraId="49100F95" w14:textId="77777777" w:rsidR="00C16345" w:rsidRDefault="00C16345" w:rsidP="00C16345">
      <w:pPr>
        <w:pStyle w:val="Bibliography"/>
      </w:pPr>
      <w:r>
        <w:t>53.</w:t>
      </w:r>
      <w:r>
        <w:tab/>
        <w:t xml:space="preserve">Pearman, W. S., Urban, L. &amp; Alexander, A. Commonly used Hardy–Weinberg equilibrium filtering schemes impact population structure inferences using RADseq data. </w:t>
      </w:r>
      <w:r>
        <w:rPr>
          <w:i/>
          <w:iCs/>
        </w:rPr>
        <w:t>Mol. Ecol. Resour.</w:t>
      </w:r>
      <w:r>
        <w:t xml:space="preserve"> </w:t>
      </w:r>
      <w:r>
        <w:rPr>
          <w:b/>
          <w:bCs/>
        </w:rPr>
        <w:t>22</w:t>
      </w:r>
      <w:r>
        <w:t>, 2599–2613 (2022).</w:t>
      </w:r>
    </w:p>
    <w:p w14:paraId="0832B162" w14:textId="77777777" w:rsidR="00C16345" w:rsidRDefault="00C16345" w:rsidP="00C16345">
      <w:pPr>
        <w:pStyle w:val="Bibliography"/>
      </w:pPr>
      <w:r>
        <w:t>54.</w:t>
      </w:r>
      <w:r>
        <w:tab/>
        <w:t xml:space="preserve">Larson, W. A. </w:t>
      </w:r>
      <w:r>
        <w:rPr>
          <w:i/>
          <w:iCs/>
        </w:rPr>
        <w:t>et al.</w:t>
      </w:r>
      <w:r>
        <w:t xml:space="preserve"> Genotyping by sequencing resolves shallow population structure to inform conservation of Chinook salmon (Oncorhynchus tshawytscha). </w:t>
      </w:r>
      <w:r>
        <w:rPr>
          <w:i/>
          <w:iCs/>
        </w:rPr>
        <w:t>Evol. Appl.</w:t>
      </w:r>
      <w:r>
        <w:t xml:space="preserve"> </w:t>
      </w:r>
      <w:r>
        <w:rPr>
          <w:b/>
          <w:bCs/>
        </w:rPr>
        <w:t>7</w:t>
      </w:r>
      <w:r>
        <w:t>, 355–369 (2014).</w:t>
      </w:r>
    </w:p>
    <w:p w14:paraId="1BCB9F72" w14:textId="77777777" w:rsidR="00C16345" w:rsidRDefault="00C16345" w:rsidP="00C16345">
      <w:pPr>
        <w:pStyle w:val="Bibliography"/>
      </w:pPr>
      <w:r>
        <w:t>55.</w:t>
      </w:r>
      <w:r>
        <w:tab/>
        <w:t xml:space="preserve">Waples, R. K., Larson, W. A. &amp; Waples, R. S. Estimating contemporary effective population size in non-model species using linkage disequilibrium across thousands of loci. </w:t>
      </w:r>
      <w:r>
        <w:rPr>
          <w:i/>
          <w:iCs/>
        </w:rPr>
        <w:t>Heredity</w:t>
      </w:r>
      <w:r>
        <w:t xml:space="preserve"> </w:t>
      </w:r>
      <w:r>
        <w:rPr>
          <w:b/>
          <w:bCs/>
        </w:rPr>
        <w:t>117</w:t>
      </w:r>
      <w:r>
        <w:t>, 233 (2016).</w:t>
      </w:r>
    </w:p>
    <w:p w14:paraId="6DB09DA5" w14:textId="77777777" w:rsidR="00C16345" w:rsidRDefault="00C16345" w:rsidP="00C16345">
      <w:pPr>
        <w:pStyle w:val="Bibliography"/>
      </w:pPr>
      <w:r>
        <w:lastRenderedPageBreak/>
        <w:t>56.</w:t>
      </w:r>
      <w:r>
        <w:tab/>
        <w:t xml:space="preserve">Gattepaille, L. M., Jakobsson, M. &amp; Blum, M. G. Inferring population size changes with sequence and SNP data: lessons from human bottlenecks. </w:t>
      </w:r>
      <w:r>
        <w:rPr>
          <w:i/>
          <w:iCs/>
        </w:rPr>
        <w:t>Heredity</w:t>
      </w:r>
      <w:r>
        <w:t xml:space="preserve"> </w:t>
      </w:r>
      <w:r>
        <w:rPr>
          <w:b/>
          <w:bCs/>
        </w:rPr>
        <w:t>110</w:t>
      </w:r>
      <w:r>
        <w:t>, 409–419 (2013).</w:t>
      </w:r>
    </w:p>
    <w:p w14:paraId="2B9CBCDA" w14:textId="77777777" w:rsidR="00C16345" w:rsidRDefault="00C16345" w:rsidP="00C16345">
      <w:pPr>
        <w:pStyle w:val="Bibliography"/>
      </w:pPr>
      <w:r>
        <w:t>57.</w:t>
      </w:r>
      <w:r>
        <w:tab/>
        <w:t xml:space="preserve">Tajima, F. Statistical method for testing the neutral mutation hypothesis by DNA polymorphism. </w:t>
      </w:r>
      <w:r>
        <w:rPr>
          <w:i/>
          <w:iCs/>
        </w:rPr>
        <w:t>Genetics</w:t>
      </w:r>
      <w:r>
        <w:t xml:space="preserve"> </w:t>
      </w:r>
      <w:r>
        <w:rPr>
          <w:b/>
          <w:bCs/>
        </w:rPr>
        <w:t>123</w:t>
      </w:r>
      <w:r>
        <w:t>, 585 LP – 595 (1989).</w:t>
      </w:r>
    </w:p>
    <w:p w14:paraId="3705BF0D" w14:textId="77777777" w:rsidR="00C16345" w:rsidRDefault="00C16345" w:rsidP="00C16345">
      <w:pPr>
        <w:pStyle w:val="Bibliography"/>
      </w:pPr>
      <w:r>
        <w:t>58.</w:t>
      </w:r>
      <w:r>
        <w:tab/>
        <w:t xml:space="preserve">Cubry, P., Vigouroux, Y. &amp; François, O. The Empirical Distribution of Singletons for Geographic Samples of DNA Sequences. </w:t>
      </w:r>
      <w:r>
        <w:rPr>
          <w:i/>
          <w:iCs/>
        </w:rPr>
        <w:t>Front. Genet.</w:t>
      </w:r>
      <w:r>
        <w:t xml:space="preserve"> </w:t>
      </w:r>
      <w:r>
        <w:rPr>
          <w:b/>
          <w:bCs/>
        </w:rPr>
        <w:t>8</w:t>
      </w:r>
      <w:r>
        <w:t>, (2017).</w:t>
      </w:r>
    </w:p>
    <w:p w14:paraId="727F36FA" w14:textId="77777777" w:rsidR="00C16345" w:rsidRDefault="00C16345" w:rsidP="00C16345">
      <w:pPr>
        <w:pStyle w:val="Bibliography"/>
      </w:pPr>
      <w:r>
        <w:t>59.</w:t>
      </w:r>
      <w:r>
        <w:tab/>
        <w:t xml:space="preserve">Shafer, A. B. A. </w:t>
      </w:r>
      <w:r>
        <w:rPr>
          <w:i/>
          <w:iCs/>
        </w:rPr>
        <w:t>et al.</w:t>
      </w:r>
      <w:r>
        <w:t xml:space="preserve"> Bioinformatic processing of RAD-seq data dramatically impacts downstream population genetic inference. </w:t>
      </w:r>
      <w:r>
        <w:rPr>
          <w:i/>
          <w:iCs/>
        </w:rPr>
        <w:t>Methods Ecol. Evol.</w:t>
      </w:r>
      <w:r>
        <w:t xml:space="preserve"> </w:t>
      </w:r>
      <w:r>
        <w:rPr>
          <w:b/>
          <w:bCs/>
        </w:rPr>
        <w:t>8</w:t>
      </w:r>
      <w:r>
        <w:t>, 907–917 (2017).</w:t>
      </w:r>
    </w:p>
    <w:p w14:paraId="156D0C2F" w14:textId="77777777" w:rsidR="00C16345" w:rsidRDefault="00C16345" w:rsidP="00C16345">
      <w:pPr>
        <w:pStyle w:val="Bibliography"/>
      </w:pPr>
      <w:r>
        <w:t>60.</w:t>
      </w:r>
      <w:r>
        <w:tab/>
        <w:t xml:space="preserve">Linck, E. &amp; Battey, C. J. Minor allele frequency thresholds strongly affect population structure inference with genomic data sets. </w:t>
      </w:r>
      <w:r>
        <w:rPr>
          <w:i/>
          <w:iCs/>
        </w:rPr>
        <w:t>Mol. Ecol. Resour.</w:t>
      </w:r>
      <w:r>
        <w:t xml:space="preserve"> </w:t>
      </w:r>
      <w:r>
        <w:rPr>
          <w:b/>
          <w:bCs/>
        </w:rPr>
        <w:t>19</w:t>
      </w:r>
      <w:r>
        <w:t>, 639–647 (2019).</w:t>
      </w:r>
    </w:p>
    <w:p w14:paraId="13792831" w14:textId="77777777" w:rsidR="00C16345" w:rsidRDefault="00C16345" w:rsidP="00C16345">
      <w:pPr>
        <w:pStyle w:val="Bibliography"/>
      </w:pPr>
      <w:r>
        <w:t>61.</w:t>
      </w:r>
      <w:r>
        <w:tab/>
        <w:t xml:space="preserve">Andersson, B. A., Zhao, W., Haller, B. C., Brännström, Å. &amp; Wang, X.-R. Inference of the distribution of fitness effects of mutations is affected by single nucleotide polymorphism filtering methods, sample size and population structure. </w:t>
      </w:r>
      <w:r>
        <w:rPr>
          <w:i/>
          <w:iCs/>
        </w:rPr>
        <w:t>Mol. Ecol. Resour.</w:t>
      </w:r>
      <w:r>
        <w:t xml:space="preserve"> </w:t>
      </w:r>
      <w:r>
        <w:rPr>
          <w:b/>
          <w:bCs/>
        </w:rPr>
        <w:t>n/a</w:t>
      </w:r>
      <w:r>
        <w:t>, (2023).</w:t>
      </w:r>
    </w:p>
    <w:p w14:paraId="2A078D5C" w14:textId="77777777" w:rsidR="00C16345" w:rsidRDefault="00C16345" w:rsidP="00C16345">
      <w:pPr>
        <w:pStyle w:val="Bibliography"/>
      </w:pPr>
      <w:r>
        <w:t>62.</w:t>
      </w:r>
      <w:r>
        <w:tab/>
        <w:t xml:space="preserve">Díaz-Arce, N. &amp; Rodríguez-Ezpeleta, N. Selecting RAD-Seq Data Analysis Parameters for Population Genetics: The More the Better? </w:t>
      </w:r>
      <w:r>
        <w:rPr>
          <w:i/>
          <w:iCs/>
        </w:rPr>
        <w:t>Front. Genet.</w:t>
      </w:r>
      <w:r>
        <w:t xml:space="preserve"> </w:t>
      </w:r>
      <w:r>
        <w:rPr>
          <w:b/>
          <w:bCs/>
        </w:rPr>
        <w:t>10</w:t>
      </w:r>
      <w:r>
        <w:t>, (2019).</w:t>
      </w:r>
    </w:p>
    <w:p w14:paraId="7EC6C6AE" w14:textId="77777777" w:rsidR="00C16345" w:rsidRDefault="00C16345" w:rsidP="00C16345">
      <w:pPr>
        <w:pStyle w:val="Bibliography"/>
      </w:pPr>
      <w:r>
        <w:t>63.</w:t>
      </w:r>
      <w:r>
        <w:tab/>
        <w:t xml:space="preserve">Hendricks, S. </w:t>
      </w:r>
      <w:r>
        <w:rPr>
          <w:i/>
          <w:iCs/>
        </w:rPr>
        <w:t>et al.</w:t>
      </w:r>
      <w:r>
        <w:t xml:space="preserve"> Recent advances in conservation and population genomics data analysis. </w:t>
      </w:r>
      <w:r>
        <w:rPr>
          <w:i/>
          <w:iCs/>
        </w:rPr>
        <w:t>Evol. Appl.</w:t>
      </w:r>
      <w:r>
        <w:t xml:space="preserve"> </w:t>
      </w:r>
      <w:r>
        <w:rPr>
          <w:b/>
          <w:bCs/>
        </w:rPr>
        <w:t>11</w:t>
      </w:r>
      <w:r>
        <w:t>, 1197–1211 (2018).</w:t>
      </w:r>
    </w:p>
    <w:p w14:paraId="2AC0ED42" w14:textId="77777777" w:rsidR="00C16345" w:rsidRDefault="00C16345" w:rsidP="00C16345">
      <w:pPr>
        <w:pStyle w:val="Bibliography"/>
      </w:pPr>
      <w:r>
        <w:t>64.</w:t>
      </w:r>
      <w:r>
        <w:tab/>
        <w:t xml:space="preserve">Holsinger, K. E. &amp; Weir, B. S. Genetics in geographically structured populations: defining, estimating and interpreting FST. </w:t>
      </w:r>
      <w:r>
        <w:rPr>
          <w:i/>
          <w:iCs/>
        </w:rPr>
        <w:t>Nat. Rev. Genet.</w:t>
      </w:r>
      <w:r>
        <w:t xml:space="preserve"> </w:t>
      </w:r>
      <w:r>
        <w:rPr>
          <w:b/>
          <w:bCs/>
        </w:rPr>
        <w:t>10</w:t>
      </w:r>
      <w:r>
        <w:t>, 639–650 (2009).</w:t>
      </w:r>
    </w:p>
    <w:p w14:paraId="465AD41E" w14:textId="77777777" w:rsidR="00C16345" w:rsidRDefault="00C16345" w:rsidP="00C16345">
      <w:pPr>
        <w:pStyle w:val="Bibliography"/>
      </w:pPr>
      <w:r>
        <w:lastRenderedPageBreak/>
        <w:t>65.</w:t>
      </w:r>
      <w:r>
        <w:tab/>
        <w:t xml:space="preserve">Roesti, M., Salzburger, W. &amp; Berner, D. Uninformative polymorphisms bias genome scans for signatures of selection. </w:t>
      </w:r>
      <w:r>
        <w:rPr>
          <w:i/>
          <w:iCs/>
        </w:rPr>
        <w:t>BMC Evol. Biol.</w:t>
      </w:r>
      <w:r>
        <w:t xml:space="preserve"> </w:t>
      </w:r>
      <w:r>
        <w:rPr>
          <w:b/>
          <w:bCs/>
        </w:rPr>
        <w:t>12</w:t>
      </w:r>
      <w:r>
        <w:t>, 94 (2012).</w:t>
      </w:r>
    </w:p>
    <w:p w14:paraId="25886641" w14:textId="77777777" w:rsidR="00C16345" w:rsidRDefault="00C16345" w:rsidP="00C16345">
      <w:pPr>
        <w:pStyle w:val="Bibliography"/>
      </w:pPr>
      <w:r>
        <w:t>66.</w:t>
      </w:r>
      <w:r>
        <w:tab/>
        <w:t xml:space="preserve">Zhang, H., Yin, L., Wang, M., Yuan, X. &amp; Liu, X. Factors Affecting the Accuracy of Genomic Selection for Agricultural Economic Traits in Maize, Cattle, and Pig Populations. </w:t>
      </w:r>
      <w:r>
        <w:rPr>
          <w:i/>
          <w:iCs/>
        </w:rPr>
        <w:t>Front. Genet.</w:t>
      </w:r>
      <w:r>
        <w:t xml:space="preserve"> </w:t>
      </w:r>
      <w:r>
        <w:rPr>
          <w:b/>
          <w:bCs/>
        </w:rPr>
        <w:t>10</w:t>
      </w:r>
      <w:r>
        <w:t>, (2019).</w:t>
      </w:r>
    </w:p>
    <w:p w14:paraId="7CC79FE7" w14:textId="77777777" w:rsidR="00C16345" w:rsidRDefault="00C16345" w:rsidP="00C16345">
      <w:pPr>
        <w:pStyle w:val="Bibliography"/>
      </w:pPr>
      <w:r>
        <w:t>67.</w:t>
      </w:r>
      <w:r>
        <w:tab/>
        <w:t xml:space="preserve">Anderson, E. C. &amp; Garza, J. C. The Power of Single-Nucleotide Polymorphisms for Large-Scale Parentage Inference. </w:t>
      </w:r>
      <w:r>
        <w:rPr>
          <w:i/>
          <w:iCs/>
        </w:rPr>
        <w:t>Genetics</w:t>
      </w:r>
      <w:r>
        <w:t xml:space="preserve"> </w:t>
      </w:r>
      <w:r>
        <w:rPr>
          <w:b/>
          <w:bCs/>
        </w:rPr>
        <w:t>172</w:t>
      </w:r>
      <w:r>
        <w:t>, 2567–2582 (2006).</w:t>
      </w:r>
    </w:p>
    <w:p w14:paraId="114E6E63" w14:textId="77777777" w:rsidR="00C16345" w:rsidRDefault="00C16345" w:rsidP="00C16345">
      <w:pPr>
        <w:pStyle w:val="Bibliography"/>
      </w:pPr>
      <w:r>
        <w:t>68.</w:t>
      </w:r>
      <w:r>
        <w:tab/>
        <w:t xml:space="preserve">Dussault, F. M. &amp; Boulding, E. G. Effect of minor allele frequency on the number of single nucleotide polymorphisms needed for accurate parentage assignment: A methodology illustrated using Atlantic salmon. </w:t>
      </w:r>
      <w:r>
        <w:rPr>
          <w:i/>
          <w:iCs/>
        </w:rPr>
        <w:t>Aquac. Res.</w:t>
      </w:r>
      <w:r>
        <w:t xml:space="preserve"> </w:t>
      </w:r>
      <w:r>
        <w:rPr>
          <w:b/>
          <w:bCs/>
        </w:rPr>
        <w:t>49</w:t>
      </w:r>
      <w:r>
        <w:t>, 1368–1372 (2018).</w:t>
      </w:r>
    </w:p>
    <w:p w14:paraId="08ED7D0C" w14:textId="77777777" w:rsidR="00C16345" w:rsidRDefault="00C16345" w:rsidP="00C16345">
      <w:pPr>
        <w:pStyle w:val="Bibliography"/>
      </w:pPr>
      <w:r>
        <w:t>69.</w:t>
      </w:r>
      <w:r>
        <w:tab/>
        <w:t xml:space="preserve">Thompson, E. The estimation of pairwise relationships. </w:t>
      </w:r>
      <w:r>
        <w:rPr>
          <w:i/>
          <w:iCs/>
        </w:rPr>
        <w:t>Ann Hum Genet</w:t>
      </w:r>
      <w:r>
        <w:t xml:space="preserve"> </w:t>
      </w:r>
      <w:r>
        <w:rPr>
          <w:b/>
          <w:bCs/>
        </w:rPr>
        <w:t>39</w:t>
      </w:r>
      <w:r>
        <w:t>, 173–188 (1975).</w:t>
      </w:r>
    </w:p>
    <w:p w14:paraId="19E2E7DD" w14:textId="77777777" w:rsidR="00C16345" w:rsidRDefault="00C16345" w:rsidP="00C16345">
      <w:pPr>
        <w:pStyle w:val="Bibliography"/>
      </w:pPr>
      <w:r>
        <w:t>70.</w:t>
      </w:r>
      <w:r>
        <w:tab/>
        <w:t xml:space="preserve">Schraidt, C. E. </w:t>
      </w:r>
      <w:r>
        <w:rPr>
          <w:i/>
          <w:iCs/>
        </w:rPr>
        <w:t>et al.</w:t>
      </w:r>
      <w:r>
        <w:t xml:space="preserve"> Dispersive currents explain patterns of population connectivity in an ecologically and economically important fish. </w:t>
      </w:r>
      <w:r>
        <w:rPr>
          <w:i/>
          <w:iCs/>
        </w:rPr>
        <w:t>Evol. Appl.</w:t>
      </w:r>
      <w:r>
        <w:t xml:space="preserve"> </w:t>
      </w:r>
      <w:r>
        <w:rPr>
          <w:b/>
          <w:bCs/>
        </w:rPr>
        <w:t>n/a</w:t>
      </w:r>
      <w:r>
        <w:t>, (2023).</w:t>
      </w:r>
    </w:p>
    <w:p w14:paraId="30E5CD19" w14:textId="77777777" w:rsidR="00C16345" w:rsidRDefault="00C16345" w:rsidP="00C16345">
      <w:pPr>
        <w:pStyle w:val="Bibliography"/>
      </w:pPr>
      <w:r>
        <w:t>71.</w:t>
      </w:r>
      <w:r>
        <w:tab/>
        <w:t xml:space="preserve">Visscher, P. M. </w:t>
      </w:r>
      <w:r>
        <w:rPr>
          <w:i/>
          <w:iCs/>
        </w:rPr>
        <w:t>et al.</w:t>
      </w:r>
      <w:r>
        <w:t xml:space="preserve"> 10 Years of GWAS Discovery: Biology, Function, and Translation. </w:t>
      </w:r>
      <w:r>
        <w:rPr>
          <w:i/>
          <w:iCs/>
        </w:rPr>
        <w:t>Am. J. Hum. Genet.</w:t>
      </w:r>
      <w:r>
        <w:t xml:space="preserve"> </w:t>
      </w:r>
      <w:r>
        <w:rPr>
          <w:b/>
          <w:bCs/>
        </w:rPr>
        <w:t>101</w:t>
      </w:r>
      <w:r>
        <w:t>, 5–22 (2017).</w:t>
      </w:r>
    </w:p>
    <w:p w14:paraId="7AF9FA51" w14:textId="77777777" w:rsidR="00C16345" w:rsidRDefault="00C16345" w:rsidP="00C16345">
      <w:pPr>
        <w:pStyle w:val="Bibliography"/>
      </w:pPr>
      <w:r>
        <w:t>72.</w:t>
      </w:r>
      <w:r>
        <w:tab/>
        <w:t xml:space="preserve">Tennessen, J. A. </w:t>
      </w:r>
      <w:r>
        <w:rPr>
          <w:i/>
          <w:iCs/>
        </w:rPr>
        <w:t>et al.</w:t>
      </w:r>
      <w:r>
        <w:t xml:space="preserve"> Evolution and Functional Impact of Rare Coding Variation from Deep Sequencing of Human Exomes. </w:t>
      </w:r>
      <w:r>
        <w:rPr>
          <w:i/>
          <w:iCs/>
        </w:rPr>
        <w:t>Science</w:t>
      </w:r>
      <w:r>
        <w:t xml:space="preserve"> </w:t>
      </w:r>
      <w:r>
        <w:rPr>
          <w:b/>
          <w:bCs/>
        </w:rPr>
        <w:t>337</w:t>
      </w:r>
      <w:r>
        <w:t>, 64–69 (2012).</w:t>
      </w:r>
    </w:p>
    <w:p w14:paraId="6304E524" w14:textId="77777777" w:rsidR="00C16345" w:rsidRDefault="00C16345" w:rsidP="00C16345">
      <w:pPr>
        <w:pStyle w:val="Bibliography"/>
      </w:pPr>
      <w:r>
        <w:lastRenderedPageBreak/>
        <w:t>73.</w:t>
      </w:r>
      <w:r>
        <w:tab/>
        <w:t xml:space="preserve">Dementieva, N. V. </w:t>
      </w:r>
      <w:r>
        <w:rPr>
          <w:i/>
          <w:iCs/>
        </w:rPr>
        <w:t>et al.</w:t>
      </w:r>
      <w:r>
        <w:t xml:space="preserve"> Assessing the effects of rare alleles and linkage disequilibrium on estimates of genetic diversity in the chicken populations. </w:t>
      </w:r>
      <w:r>
        <w:rPr>
          <w:i/>
          <w:iCs/>
        </w:rPr>
        <w:t>Animal</w:t>
      </w:r>
      <w:r>
        <w:t xml:space="preserve"> </w:t>
      </w:r>
      <w:r>
        <w:rPr>
          <w:b/>
          <w:bCs/>
        </w:rPr>
        <w:t>15</w:t>
      </w:r>
      <w:r>
        <w:t>, 100171 (2021).</w:t>
      </w:r>
    </w:p>
    <w:p w14:paraId="4DD78FB0" w14:textId="77777777" w:rsidR="00C16345" w:rsidRDefault="00C16345" w:rsidP="00C16345">
      <w:pPr>
        <w:pStyle w:val="Bibliography"/>
      </w:pPr>
      <w:r>
        <w:t>74.</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61B02535" w14:textId="77777777" w:rsidR="00C16345" w:rsidRDefault="00C16345" w:rsidP="00C16345">
      <w:pPr>
        <w:pStyle w:val="Bibliography"/>
      </w:pPr>
      <w:r>
        <w:t>75.</w:t>
      </w:r>
      <w:r>
        <w:tab/>
        <w:t xml:space="preserve">De Meeûs, T. Revisiting F IS, F ST, Wahlund effects, and null alleles. </w:t>
      </w:r>
      <w:r>
        <w:rPr>
          <w:i/>
          <w:iCs/>
        </w:rPr>
        <w:t>J. Hered.</w:t>
      </w:r>
      <w:r>
        <w:t xml:space="preserve"> </w:t>
      </w:r>
      <w:r>
        <w:rPr>
          <w:b/>
          <w:bCs/>
        </w:rPr>
        <w:t>109</w:t>
      </w:r>
      <w:r>
        <w:t>, 446–456 (2018).</w:t>
      </w:r>
    </w:p>
    <w:p w14:paraId="3D904D07" w14:textId="77777777" w:rsidR="00C16345" w:rsidRDefault="00C16345" w:rsidP="00C16345">
      <w:pPr>
        <w:pStyle w:val="Bibliography"/>
      </w:pPr>
      <w:r>
        <w:t>76.</w:t>
      </w:r>
      <w:r>
        <w:tab/>
        <w:t xml:space="preserve">Graffelman, J., Jain, D. &amp; Weir, B. A genome-wide study of Hardy–Weinberg equilibrium with next generation sequence data. </w:t>
      </w:r>
      <w:r>
        <w:rPr>
          <w:i/>
          <w:iCs/>
        </w:rPr>
        <w:t>Hum. Genet.</w:t>
      </w:r>
      <w:r>
        <w:t xml:space="preserve"> </w:t>
      </w:r>
      <w:r>
        <w:rPr>
          <w:b/>
          <w:bCs/>
        </w:rPr>
        <w:t>136</w:t>
      </w:r>
      <w:r>
        <w:t>, 727–741 (2017).</w:t>
      </w:r>
    </w:p>
    <w:p w14:paraId="63E7D929" w14:textId="77777777" w:rsidR="00C16345" w:rsidRDefault="00C16345" w:rsidP="00C16345">
      <w:pPr>
        <w:pStyle w:val="Bibliography"/>
      </w:pPr>
      <w:r>
        <w:t>77.</w:t>
      </w:r>
      <w:r>
        <w:tab/>
        <w:t xml:space="preserve">Levy-Sakin, M. </w:t>
      </w:r>
      <w:r>
        <w:rPr>
          <w:i/>
          <w:iCs/>
        </w:rPr>
        <w:t>et al.</w:t>
      </w:r>
      <w:r>
        <w:t xml:space="preserve"> Genome maps across 26 human populations reveal population-specific patterns of structural variation. </w:t>
      </w:r>
      <w:r>
        <w:rPr>
          <w:i/>
          <w:iCs/>
        </w:rPr>
        <w:t>Nat. Commun.</w:t>
      </w:r>
      <w:r>
        <w:t xml:space="preserve"> </w:t>
      </w:r>
      <w:r>
        <w:rPr>
          <w:b/>
          <w:bCs/>
        </w:rPr>
        <w:t>10</w:t>
      </w:r>
      <w:r>
        <w:t>, 1025 (2019).</w:t>
      </w:r>
    </w:p>
    <w:p w14:paraId="5082EF02" w14:textId="77777777" w:rsidR="00C16345" w:rsidRDefault="00C16345" w:rsidP="00C16345">
      <w:pPr>
        <w:pStyle w:val="Bibliography"/>
      </w:pPr>
      <w:r>
        <w:t>78.</w:t>
      </w:r>
      <w:r>
        <w:tab/>
        <w:t xml:space="preserve">Van Etten, J., Stephens, T. G. &amp; Bhattacharya, D. A k-mer-based approach for phylogenetic classification of taxa in environmental genomic data. </w:t>
      </w:r>
      <w:r>
        <w:rPr>
          <w:i/>
          <w:iCs/>
        </w:rPr>
        <w:t>Syst. Biol.</w:t>
      </w:r>
      <w:r>
        <w:t xml:space="preserve"> syad037 (2023) doi:10.1093/sysbio/syad037.</w:t>
      </w:r>
    </w:p>
    <w:p w14:paraId="4A17F5E5" w14:textId="77777777" w:rsidR="00C16345" w:rsidRDefault="00C16345" w:rsidP="00C16345">
      <w:pPr>
        <w:pStyle w:val="Bibliography"/>
      </w:pPr>
      <w:r>
        <w:t>79.</w:t>
      </w:r>
      <w:r>
        <w:tab/>
        <w:t xml:space="preserve">Todd, E. V., Black, M. A. &amp; Gemmell, N. J. The power and promise of RNA-seq in ecology and evolution. </w:t>
      </w:r>
      <w:r>
        <w:rPr>
          <w:i/>
          <w:iCs/>
        </w:rPr>
        <w:t>Mol. Ecol.</w:t>
      </w:r>
      <w:r>
        <w:t xml:space="preserve"> </w:t>
      </w:r>
      <w:r>
        <w:rPr>
          <w:b/>
          <w:bCs/>
        </w:rPr>
        <w:t>25</w:t>
      </w:r>
      <w:r>
        <w:t>, 1224–1241 (2016).</w:t>
      </w:r>
    </w:p>
    <w:p w14:paraId="144127B0" w14:textId="77777777" w:rsidR="00C16345" w:rsidRDefault="00C16345" w:rsidP="00C16345">
      <w:pPr>
        <w:pStyle w:val="Bibliography"/>
      </w:pPr>
      <w:r>
        <w:t>80.</w:t>
      </w:r>
      <w:r>
        <w:tab/>
        <w:t xml:space="preserve">Conesa, A. </w:t>
      </w:r>
      <w:r>
        <w:rPr>
          <w:i/>
          <w:iCs/>
        </w:rPr>
        <w:t>et al.</w:t>
      </w:r>
      <w:r>
        <w:t xml:space="preserve"> A survey of best practices for RNA-seq data analysis. </w:t>
      </w:r>
      <w:r>
        <w:rPr>
          <w:i/>
          <w:iCs/>
        </w:rPr>
        <w:t>Genome Biol.</w:t>
      </w:r>
      <w:r>
        <w:t xml:space="preserve"> </w:t>
      </w:r>
      <w:r>
        <w:rPr>
          <w:b/>
          <w:bCs/>
        </w:rPr>
        <w:t>17</w:t>
      </w:r>
      <w:r>
        <w:t>, 13 (2016).</w:t>
      </w:r>
    </w:p>
    <w:p w14:paraId="229C4815" w14:textId="77777777" w:rsidR="00C16345" w:rsidRDefault="00C16345" w:rsidP="00C16345">
      <w:pPr>
        <w:pStyle w:val="Bibliography"/>
      </w:pPr>
      <w:r>
        <w:lastRenderedPageBreak/>
        <w:t>81.</w:t>
      </w:r>
      <w:r>
        <w:tab/>
        <w:t xml:space="preserve">Brown, A. V. </w:t>
      </w:r>
      <w:r>
        <w:rPr>
          <w:i/>
          <w:iCs/>
        </w:rPr>
        <w:t>et al.</w:t>
      </w:r>
      <w:r>
        <w:t xml:space="preserve"> Ten quick tips for sharing open genomic data. </w:t>
      </w:r>
      <w:r>
        <w:rPr>
          <w:i/>
          <w:iCs/>
        </w:rPr>
        <w:t>PLOS Comput. Biol.</w:t>
      </w:r>
      <w:r>
        <w:t xml:space="preserve"> </w:t>
      </w:r>
      <w:r>
        <w:rPr>
          <w:b/>
          <w:bCs/>
        </w:rPr>
        <w:t>14</w:t>
      </w:r>
      <w:r>
        <w:t>, e1006472 (2018).</w:t>
      </w:r>
    </w:p>
    <w:p w14:paraId="6086097F" w14:textId="77777777" w:rsidR="00C16345" w:rsidRDefault="00C16345" w:rsidP="00C16345">
      <w:pPr>
        <w:pStyle w:val="Bibliography"/>
      </w:pPr>
      <w:r>
        <w:t>82.</w:t>
      </w:r>
      <w:r>
        <w:tab/>
        <w:t xml:space="preserve">Zhang, D. </w:t>
      </w:r>
      <w:r>
        <w:rPr>
          <w:i/>
          <w:iCs/>
        </w:rPr>
        <w:t>et al.</w:t>
      </w:r>
      <w:r>
        <w:t xml:space="preserve"> PhyloSuite: An integrated and scalable desktop platform for streamlined molecular sequence data management and evolutionary phylogenetics studies. </w:t>
      </w:r>
      <w:r>
        <w:rPr>
          <w:i/>
          <w:iCs/>
        </w:rPr>
        <w:t>Mol. Ecol. Resour.</w:t>
      </w:r>
      <w:r>
        <w:t xml:space="preserve"> </w:t>
      </w:r>
      <w:r>
        <w:rPr>
          <w:b/>
          <w:bCs/>
        </w:rPr>
        <w:t>20</w:t>
      </w:r>
      <w:r>
        <w:t>, 348–355 (2020).</w:t>
      </w:r>
    </w:p>
    <w:p w14:paraId="11272C00" w14:textId="77777777" w:rsidR="00C16345" w:rsidRDefault="00C16345" w:rsidP="00C16345">
      <w:pPr>
        <w:pStyle w:val="Bibliography"/>
      </w:pPr>
      <w:r>
        <w:t>83.</w:t>
      </w:r>
      <w:r>
        <w:tab/>
        <w:t xml:space="preserve">Tanjo, T., Kawai, Y., Tokunaga, K., Ogasawara, O. &amp; Nagasaki, M. Practical guide for managing large-scale human genome data in research. </w:t>
      </w:r>
      <w:r>
        <w:rPr>
          <w:i/>
          <w:iCs/>
        </w:rPr>
        <w:t>J. Hum. Genet.</w:t>
      </w:r>
      <w:r>
        <w:t xml:space="preserve"> </w:t>
      </w:r>
      <w:r>
        <w:rPr>
          <w:b/>
          <w:bCs/>
        </w:rPr>
        <w:t>66</w:t>
      </w:r>
      <w:r>
        <w:t>, 39–52 (2021).</w:t>
      </w:r>
    </w:p>
    <w:p w14:paraId="26CFADD4" w14:textId="77777777" w:rsidR="00C16345" w:rsidRDefault="00C16345" w:rsidP="00C16345">
      <w:pPr>
        <w:pStyle w:val="Bibliography"/>
      </w:pPr>
      <w:r>
        <w:t>84.</w:t>
      </w:r>
      <w:r>
        <w:tab/>
        <w:t xml:space="preserve">Del Fabbro, C., Scalabrin, S., Morgante, M. &amp; Giorgi, F. M. An Extensive Evaluation of Read Trimming Effects on Illumina NGS Data Analysis. </w:t>
      </w:r>
      <w:r>
        <w:rPr>
          <w:i/>
          <w:iCs/>
        </w:rPr>
        <w:t>PLOS ONE</w:t>
      </w:r>
      <w:r>
        <w:t xml:space="preserve"> </w:t>
      </w:r>
      <w:r>
        <w:rPr>
          <w:b/>
          <w:bCs/>
        </w:rPr>
        <w:t>8</w:t>
      </w:r>
      <w:r>
        <w:t>, e85024 (2013).</w:t>
      </w:r>
    </w:p>
    <w:p w14:paraId="084C6FD7" w14:textId="77777777" w:rsidR="00C16345" w:rsidRDefault="00C16345" w:rsidP="00C16345">
      <w:pPr>
        <w:pStyle w:val="Bibliography"/>
      </w:pPr>
      <w:r>
        <w:t>85.</w:t>
      </w:r>
      <w:r>
        <w:tab/>
        <w:t xml:space="preserve">Yang, S.-F., Lu, C.-W., Yao, C.-T. &amp; Hung, C.-M. To Trim or Not to Trim: Effects of Read Trimming on the De Novo Genome Assembly of a Widespread East Asian Passerine, the Rufous-Capped Babbler (Cyanoderma ruficeps Blyth). </w:t>
      </w:r>
      <w:r>
        <w:rPr>
          <w:i/>
          <w:iCs/>
        </w:rPr>
        <w:t>Genes</w:t>
      </w:r>
      <w:r>
        <w:t xml:space="preserve"> </w:t>
      </w:r>
      <w:r>
        <w:rPr>
          <w:b/>
          <w:bCs/>
        </w:rPr>
        <w:t>10</w:t>
      </w:r>
      <w:r>
        <w:t>, (2019).</w:t>
      </w:r>
    </w:p>
    <w:p w14:paraId="776B4C11" w14:textId="77777777" w:rsidR="00C16345" w:rsidRDefault="00C16345" w:rsidP="00C16345">
      <w:pPr>
        <w:pStyle w:val="Bibliography"/>
      </w:pPr>
      <w:r>
        <w:t>86.</w:t>
      </w:r>
      <w:r>
        <w:tab/>
        <w:t xml:space="preserve">Cumer, T. </w:t>
      </w:r>
      <w:r>
        <w:rPr>
          <w:i/>
          <w:iCs/>
        </w:rPr>
        <w:t>et al.</w:t>
      </w:r>
      <w:r>
        <w:t xml:space="preserve"> Double-digest RAD-sequencing: do pre- and post-sequencing protocol parameters impact biological results? </w:t>
      </w:r>
      <w:r>
        <w:rPr>
          <w:i/>
          <w:iCs/>
        </w:rPr>
        <w:t>Mol. Genet. Genomics</w:t>
      </w:r>
      <w:r>
        <w:t xml:space="preserve"> </w:t>
      </w:r>
      <w:r>
        <w:rPr>
          <w:b/>
          <w:bCs/>
        </w:rPr>
        <w:t>296</w:t>
      </w:r>
      <w:r>
        <w:t>, 457–471 (2021).</w:t>
      </w:r>
    </w:p>
    <w:p w14:paraId="6A521485" w14:textId="77777777" w:rsidR="00C16345" w:rsidRDefault="00C16345" w:rsidP="00C16345">
      <w:pPr>
        <w:pStyle w:val="Bibliography"/>
      </w:pPr>
      <w:r>
        <w:t>87.</w:t>
      </w:r>
      <w:r>
        <w:tab/>
        <w:t xml:space="preserve">Mastretta-Yanes, A. </w:t>
      </w:r>
      <w:r>
        <w:rPr>
          <w:i/>
          <w:iCs/>
        </w:rPr>
        <w:t>et al.</w:t>
      </w:r>
      <w:r>
        <w:t xml:space="preserve"> Restriction site-associated DNA sequencing, genotyping error estimation and de novo assembly optimization for population genetic inference. </w:t>
      </w:r>
      <w:r>
        <w:rPr>
          <w:i/>
          <w:iCs/>
        </w:rPr>
        <w:t>Mol. Ecol. Resour.</w:t>
      </w:r>
      <w:r>
        <w:t xml:space="preserve"> </w:t>
      </w:r>
      <w:r>
        <w:rPr>
          <w:b/>
          <w:bCs/>
        </w:rPr>
        <w:t>15</w:t>
      </w:r>
      <w:r>
        <w:t>, 28–41 (2015).</w:t>
      </w:r>
    </w:p>
    <w:p w14:paraId="69EA2554" w14:textId="77777777" w:rsidR="00C16345" w:rsidRDefault="00C16345" w:rsidP="00C16345">
      <w:pPr>
        <w:pStyle w:val="Bibliography"/>
      </w:pPr>
      <w:r>
        <w:t>88.</w:t>
      </w:r>
      <w:r>
        <w:tab/>
        <w:t xml:space="preserve">Paris, J. R., Stevens, J. R. &amp; Catchen, J. M. Lost in parameter space: a road map for stacks. </w:t>
      </w:r>
      <w:r>
        <w:rPr>
          <w:i/>
          <w:iCs/>
        </w:rPr>
        <w:t>Methods Ecol. Evol.</w:t>
      </w:r>
      <w:r>
        <w:t xml:space="preserve"> </w:t>
      </w:r>
      <w:r>
        <w:rPr>
          <w:b/>
          <w:bCs/>
        </w:rPr>
        <w:t>8</w:t>
      </w:r>
      <w:r>
        <w:t>, 1360–1373 (2017).</w:t>
      </w:r>
    </w:p>
    <w:p w14:paraId="56A700C0" w14:textId="77777777" w:rsidR="00C16345" w:rsidRDefault="00C16345" w:rsidP="00C16345">
      <w:pPr>
        <w:pStyle w:val="Bibliography"/>
      </w:pPr>
      <w:r>
        <w:lastRenderedPageBreak/>
        <w:t>89.</w:t>
      </w:r>
      <w:r>
        <w:tab/>
        <w:t xml:space="preserve">Rochette, N. C. &amp; Catchen, J. M. Deriving genotypes from RAD-seq short-read data using Stacks. </w:t>
      </w:r>
      <w:r>
        <w:rPr>
          <w:i/>
          <w:iCs/>
        </w:rPr>
        <w:t>Nat. Protoc.</w:t>
      </w:r>
      <w:r>
        <w:t xml:space="preserve"> </w:t>
      </w:r>
      <w:r>
        <w:rPr>
          <w:b/>
          <w:bCs/>
        </w:rPr>
        <w:t>12</w:t>
      </w:r>
      <w:r>
        <w:t>, 2640–2659 (2017).</w:t>
      </w:r>
    </w:p>
    <w:p w14:paraId="5FD49B8B" w14:textId="77777777" w:rsidR="00C16345" w:rsidRDefault="00C16345" w:rsidP="00C16345">
      <w:pPr>
        <w:pStyle w:val="Bibliography"/>
      </w:pPr>
      <w:r>
        <w:t>90.</w:t>
      </w:r>
      <w:r>
        <w:tab/>
        <w:t xml:space="preserve">Ebbert, M. T. W. </w:t>
      </w:r>
      <w:r>
        <w:rPr>
          <w:i/>
          <w:iCs/>
        </w:rPr>
        <w:t>et al.</w:t>
      </w:r>
      <w:r>
        <w:t xml:space="preserve"> Evaluating the necessity of PCR duplicate removal from next-generation sequencing data and a comparison of approaches. </w:t>
      </w:r>
      <w:r>
        <w:rPr>
          <w:i/>
          <w:iCs/>
        </w:rPr>
        <w:t>BMC Bioinformatics</w:t>
      </w:r>
      <w:r>
        <w:t xml:space="preserve"> </w:t>
      </w:r>
      <w:r>
        <w:rPr>
          <w:b/>
          <w:bCs/>
        </w:rPr>
        <w:t>17</w:t>
      </w:r>
      <w:r>
        <w:t>, 239 (2016).</w:t>
      </w:r>
    </w:p>
    <w:p w14:paraId="7A5FFC82" w14:textId="77777777" w:rsidR="00C16345" w:rsidRDefault="00C16345" w:rsidP="00C16345">
      <w:pPr>
        <w:pStyle w:val="Bibliography"/>
      </w:pPr>
      <w:r>
        <w:t>91.</w:t>
      </w:r>
      <w:r>
        <w:tab/>
        <w:t xml:space="preserve">Euclide, P. T. </w:t>
      </w:r>
      <w:r>
        <w:rPr>
          <w:i/>
          <w:iCs/>
        </w:rPr>
        <w:t>et al.</w:t>
      </w:r>
      <w:r>
        <w:t xml:space="preserve"> Attack of the PCR clones: Rates of clonality have little effect on RAD-seq genotype calls. </w:t>
      </w:r>
      <w:r>
        <w:rPr>
          <w:i/>
          <w:iCs/>
        </w:rPr>
        <w:t>Mol. Ecol. Resour.</w:t>
      </w:r>
      <w:r>
        <w:t xml:space="preserve"> </w:t>
      </w:r>
      <w:r>
        <w:rPr>
          <w:b/>
          <w:bCs/>
        </w:rPr>
        <w:t>20</w:t>
      </w:r>
      <w:r>
        <w:t>, 66–78 (2020).</w:t>
      </w:r>
    </w:p>
    <w:p w14:paraId="4F66FF56" w14:textId="77777777" w:rsidR="00C16345" w:rsidRDefault="00C16345" w:rsidP="00C16345">
      <w:pPr>
        <w:pStyle w:val="Bibliography"/>
      </w:pPr>
      <w:r>
        <w:t>92.</w:t>
      </w:r>
      <w:r>
        <w:tab/>
        <w:t xml:space="preserve">Flanagan, S. P. &amp; Jones, A. G. Substantial differences in bias between single-digest and double-digest RAD-seq libraries: A case study. </w:t>
      </w:r>
      <w:r>
        <w:rPr>
          <w:i/>
          <w:iCs/>
        </w:rPr>
        <w:t>Mol. Ecol. Resour.</w:t>
      </w:r>
      <w:r>
        <w:t xml:space="preserve"> </w:t>
      </w:r>
      <w:r>
        <w:rPr>
          <w:b/>
          <w:bCs/>
        </w:rPr>
        <w:t>18</w:t>
      </w:r>
      <w:r>
        <w:t>, 264–280 (2018).</w:t>
      </w:r>
    </w:p>
    <w:p w14:paraId="3D5E66AD" w14:textId="77777777" w:rsidR="00C16345" w:rsidRDefault="00C16345" w:rsidP="00C16345">
      <w:pPr>
        <w:pStyle w:val="Bibliography"/>
      </w:pPr>
      <w:r>
        <w:t>93.</w:t>
      </w:r>
      <w:r>
        <w:tab/>
        <w:t xml:space="preserve">Goubert, C. </w:t>
      </w:r>
      <w:r>
        <w:rPr>
          <w:i/>
          <w:iCs/>
        </w:rPr>
        <w:t>et al.</w:t>
      </w:r>
      <w:r>
        <w:t xml:space="preserve"> A beginner’s guide to manual curation of transposable elements. </w:t>
      </w:r>
      <w:r>
        <w:rPr>
          <w:i/>
          <w:iCs/>
        </w:rPr>
        <w:t>Mob. DNA</w:t>
      </w:r>
      <w:r>
        <w:t xml:space="preserve"> </w:t>
      </w:r>
      <w:r>
        <w:rPr>
          <w:b/>
          <w:bCs/>
        </w:rPr>
        <w:t>13</w:t>
      </w:r>
      <w:r>
        <w:t>, 7 (2022).</w:t>
      </w:r>
    </w:p>
    <w:p w14:paraId="6995CBEB" w14:textId="77777777" w:rsidR="00C16345" w:rsidRDefault="00C16345" w:rsidP="00C16345">
      <w:pPr>
        <w:pStyle w:val="Bibliography"/>
      </w:pPr>
      <w:r>
        <w:t>94.</w:t>
      </w:r>
      <w:r>
        <w:tab/>
        <w:t xml:space="preserve">Storer, J. M., Hubley, R., Rosen, J. &amp; Smit, A. F. A. Curation Guidelines for de novo Generated Transposable Element Families. </w:t>
      </w:r>
      <w:r>
        <w:rPr>
          <w:i/>
          <w:iCs/>
        </w:rPr>
        <w:t>Curr. Protoc.</w:t>
      </w:r>
      <w:r>
        <w:t xml:space="preserve"> </w:t>
      </w:r>
      <w:r>
        <w:rPr>
          <w:b/>
          <w:bCs/>
        </w:rPr>
        <w:t>1</w:t>
      </w:r>
      <w:r>
        <w:t>, e154 (2021).</w:t>
      </w:r>
    </w:p>
    <w:p w14:paraId="32BCE4BE" w14:textId="77777777" w:rsidR="00C16345" w:rsidRDefault="00C16345" w:rsidP="00C16345">
      <w:pPr>
        <w:pStyle w:val="Bibliography"/>
      </w:pPr>
      <w:r>
        <w:t>95.</w:t>
      </w:r>
      <w:r>
        <w:tab/>
        <w:t xml:space="preserve">Hemstrom, W. B., Freedman, M. G., Zalucki, M. P., Ramírez, S. R. &amp; Miller, M. R. Population genetics of a recent range expansion and subsequent loss of migration in monarch butterflies. </w:t>
      </w:r>
      <w:r>
        <w:rPr>
          <w:i/>
          <w:iCs/>
        </w:rPr>
        <w:t>Mol. Ecol.</w:t>
      </w:r>
      <w:r>
        <w:t xml:space="preserve"> </w:t>
      </w:r>
      <w:r>
        <w:rPr>
          <w:b/>
          <w:bCs/>
        </w:rPr>
        <w:t>31</w:t>
      </w:r>
      <w:r>
        <w:t>, 4544–4557 (2022).</w:t>
      </w:r>
    </w:p>
    <w:p w14:paraId="13A015DB" w14:textId="77777777" w:rsidR="00C16345" w:rsidRDefault="00C16345" w:rsidP="00C16345">
      <w:pPr>
        <w:pStyle w:val="Bibliography"/>
      </w:pPr>
      <w:r>
        <w:t>96.</w:t>
      </w:r>
      <w:r>
        <w:tab/>
        <w:t xml:space="preserve">Escoda, L., González-Esteban, J., Gómez, A. &amp; Castresana, J. Using relatedness networks to infer contemporary dispersal: Application to the endangered mammal </w:t>
      </w:r>
      <w:r w:rsidRPr="0060295E">
        <w:rPr>
          <w:i/>
        </w:rPr>
        <w:t>Galemys pyrenaicus</w:t>
      </w:r>
      <w:r>
        <w:t xml:space="preserve">. </w:t>
      </w:r>
      <w:r>
        <w:rPr>
          <w:i/>
          <w:iCs/>
        </w:rPr>
        <w:t>Mol. Ecol.</w:t>
      </w:r>
      <w:r>
        <w:t xml:space="preserve"> </w:t>
      </w:r>
      <w:r>
        <w:rPr>
          <w:b/>
          <w:bCs/>
        </w:rPr>
        <w:t>26</w:t>
      </w:r>
      <w:r>
        <w:t>, 3343–3357 (2017).</w:t>
      </w:r>
    </w:p>
    <w:p w14:paraId="7F733B4F" w14:textId="77777777" w:rsidR="00C16345" w:rsidRDefault="00C16345" w:rsidP="00C16345">
      <w:pPr>
        <w:pStyle w:val="Bibliography"/>
      </w:pPr>
      <w:r>
        <w:lastRenderedPageBreak/>
        <w:t>97.</w:t>
      </w:r>
      <w:r>
        <w:tab/>
        <w:t xml:space="preserve">Danecek, P. </w:t>
      </w:r>
      <w:r>
        <w:rPr>
          <w:i/>
          <w:iCs/>
        </w:rPr>
        <w:t>et al.</w:t>
      </w:r>
      <w:r>
        <w:t xml:space="preserve"> The variant call format and VCFtools. </w:t>
      </w:r>
      <w:r>
        <w:rPr>
          <w:i/>
          <w:iCs/>
        </w:rPr>
        <w:t>Bioinformatics</w:t>
      </w:r>
      <w:r>
        <w:t xml:space="preserve"> </w:t>
      </w:r>
      <w:r>
        <w:rPr>
          <w:b/>
          <w:bCs/>
        </w:rPr>
        <w:t>27</w:t>
      </w:r>
      <w:r>
        <w:t>, 2156–2158 (2011).</w:t>
      </w:r>
    </w:p>
    <w:p w14:paraId="02B75438" w14:textId="77777777" w:rsidR="00C16345" w:rsidRDefault="00C16345" w:rsidP="00C16345">
      <w:pPr>
        <w:pStyle w:val="Bibliography"/>
      </w:pPr>
      <w:r>
        <w:t>98.</w:t>
      </w:r>
      <w:r>
        <w:tab/>
        <w:t xml:space="preserve">Peñalba, J. V., Peters, J. L. &amp; Joseph, L. Sustained plumage divergence despite weak genomic differentiation and broad sympatry in sister species of Australian woodswallows (Artamus spp.). </w:t>
      </w:r>
      <w:r>
        <w:rPr>
          <w:i/>
          <w:iCs/>
        </w:rPr>
        <w:t>Mol. Ecol.</w:t>
      </w:r>
      <w:r>
        <w:t xml:space="preserve"> </w:t>
      </w:r>
      <w:r>
        <w:rPr>
          <w:b/>
          <w:bCs/>
        </w:rPr>
        <w:t>31</w:t>
      </w:r>
      <w:r>
        <w:t>, 5060–5073 (2022).</w:t>
      </w:r>
    </w:p>
    <w:p w14:paraId="4E26880A" w14:textId="77777777" w:rsidR="00C16345" w:rsidRDefault="00C16345" w:rsidP="00C16345">
      <w:pPr>
        <w:pStyle w:val="Bibliography"/>
      </w:pPr>
      <w:r>
        <w:t>99.</w:t>
      </w:r>
      <w:r>
        <w:tab/>
        <w:t xml:space="preserve">Thompson, N. F. </w:t>
      </w:r>
      <w:r>
        <w:rPr>
          <w:i/>
          <w:iCs/>
        </w:rPr>
        <w:t>et al.</w:t>
      </w:r>
      <w:r>
        <w:t xml:space="preserve"> A complex phenotype in salmon controlled by a simple change in migratory timing. </w:t>
      </w:r>
      <w:r>
        <w:rPr>
          <w:i/>
          <w:iCs/>
        </w:rPr>
        <w:t>Science</w:t>
      </w:r>
      <w:r>
        <w:t xml:space="preserve"> </w:t>
      </w:r>
      <w:r>
        <w:rPr>
          <w:b/>
          <w:bCs/>
        </w:rPr>
        <w:t>370</w:t>
      </w:r>
      <w:r>
        <w:t>, 609–613 (2020).</w:t>
      </w:r>
    </w:p>
    <w:p w14:paraId="373DBB1B" w14:textId="77777777" w:rsidR="00C16345" w:rsidRDefault="00C16345" w:rsidP="00C16345">
      <w:pPr>
        <w:pStyle w:val="Bibliography"/>
      </w:pPr>
      <w:r>
        <w:t>100.</w:t>
      </w:r>
      <w:r>
        <w:tab/>
        <w:t xml:space="preserve">Howe, K. </w:t>
      </w:r>
      <w:r>
        <w:rPr>
          <w:i/>
          <w:iCs/>
        </w:rPr>
        <w:t>et al.</w:t>
      </w:r>
      <w:r>
        <w:t xml:space="preserve"> Significantly improving the quality of genome assemblies through curation. </w:t>
      </w:r>
      <w:r>
        <w:rPr>
          <w:i/>
          <w:iCs/>
        </w:rPr>
        <w:t>GigaScience</w:t>
      </w:r>
      <w:r>
        <w:t xml:space="preserve"> </w:t>
      </w:r>
      <w:r>
        <w:rPr>
          <w:b/>
          <w:bCs/>
        </w:rPr>
        <w:t>10</w:t>
      </w:r>
      <w:r>
        <w:t>, giaa153 (2021).</w:t>
      </w:r>
    </w:p>
    <w:p w14:paraId="563FD2A0" w14:textId="77777777" w:rsidR="00C16345" w:rsidRDefault="00C16345" w:rsidP="00C16345">
      <w:pPr>
        <w:pStyle w:val="Bibliography"/>
      </w:pPr>
      <w:r>
        <w:t>101.</w:t>
      </w:r>
      <w:r>
        <w:tab/>
        <w:t xml:space="preserve">Nurk, S. </w:t>
      </w:r>
      <w:r>
        <w:rPr>
          <w:i/>
          <w:iCs/>
        </w:rPr>
        <w:t>et al.</w:t>
      </w:r>
      <w:r>
        <w:t xml:space="preserve"> The complete sequence of a human genome. </w:t>
      </w:r>
      <w:r>
        <w:rPr>
          <w:i/>
          <w:iCs/>
        </w:rPr>
        <w:t>Science</w:t>
      </w:r>
      <w:r>
        <w:t xml:space="preserve"> </w:t>
      </w:r>
      <w:r>
        <w:rPr>
          <w:b/>
          <w:bCs/>
        </w:rPr>
        <w:t>376</w:t>
      </w:r>
      <w:r>
        <w:t>, 44–53 (2022).</w:t>
      </w:r>
    </w:p>
    <w:p w14:paraId="69801977" w14:textId="77777777" w:rsidR="00C16345" w:rsidRDefault="00C16345" w:rsidP="00C16345">
      <w:pPr>
        <w:pStyle w:val="Bibliography"/>
      </w:pPr>
      <w:r>
        <w:t>102.</w:t>
      </w:r>
      <w:r>
        <w:tab/>
        <w:t xml:space="preserve">Michael, T. P. &amp; VanBuren, R. Building near-complete plant genomes. </w:t>
      </w:r>
      <w:r>
        <w:rPr>
          <w:i/>
          <w:iCs/>
        </w:rPr>
        <w:t>Genome Stud. Mol. Genet.</w:t>
      </w:r>
      <w:r>
        <w:t xml:space="preserve"> </w:t>
      </w:r>
      <w:r>
        <w:rPr>
          <w:b/>
          <w:bCs/>
        </w:rPr>
        <w:t>54</w:t>
      </w:r>
      <w:r>
        <w:t>, 26–33 (2020).</w:t>
      </w:r>
    </w:p>
    <w:p w14:paraId="725DE629" w14:textId="77777777" w:rsidR="00C16345" w:rsidRDefault="00C16345" w:rsidP="00C16345">
      <w:pPr>
        <w:pStyle w:val="Bibliography"/>
      </w:pPr>
      <w:r>
        <w:t>103.</w:t>
      </w:r>
      <w:r>
        <w:tab/>
        <w:t>Tettelin, H. &amp; Medini, D. The pangenome: Diversity, dynamics and evolution of genomes. (2020).</w:t>
      </w:r>
    </w:p>
    <w:p w14:paraId="17539D5F" w14:textId="77777777" w:rsidR="00C16345" w:rsidRDefault="00C16345" w:rsidP="00C16345">
      <w:pPr>
        <w:pStyle w:val="Bibliography"/>
      </w:pPr>
      <w:r>
        <w:t>104.</w:t>
      </w:r>
      <w:r>
        <w:tab/>
        <w:t xml:space="preserve">Wang, T. </w:t>
      </w:r>
      <w:r>
        <w:rPr>
          <w:i/>
          <w:iCs/>
        </w:rPr>
        <w:t>et al.</w:t>
      </w:r>
      <w:r>
        <w:t xml:space="preserve"> The Human Pangenome Project: a global resource to map genomic diversity. </w:t>
      </w:r>
      <w:r>
        <w:rPr>
          <w:i/>
          <w:iCs/>
        </w:rPr>
        <w:t>Nature</w:t>
      </w:r>
      <w:r>
        <w:t xml:space="preserve"> </w:t>
      </w:r>
      <w:r>
        <w:rPr>
          <w:b/>
          <w:bCs/>
        </w:rPr>
        <w:t>604</w:t>
      </w:r>
      <w:r>
        <w:t>, 437–446 (2022).</w:t>
      </w:r>
    </w:p>
    <w:p w14:paraId="7DC8FD54" w14:textId="77777777" w:rsidR="00C16345" w:rsidRDefault="00C16345" w:rsidP="00C16345">
      <w:pPr>
        <w:pStyle w:val="Bibliography"/>
      </w:pPr>
      <w:r>
        <w:t>105.</w:t>
      </w:r>
      <w:r>
        <w:tab/>
        <w:t>Hemstrom, W. Thirty-four Kilometers and Fifteen Years: Rapid Adaptation at a Novel Chromosomal Inversion in Recently Introduced Deschutes River Three-spined Stickleback. (2016).</w:t>
      </w:r>
    </w:p>
    <w:p w14:paraId="22AB8C15" w14:textId="77777777" w:rsidR="00C16345" w:rsidRDefault="00C16345" w:rsidP="00C16345">
      <w:pPr>
        <w:pStyle w:val="Bibliography"/>
      </w:pPr>
      <w:r>
        <w:lastRenderedPageBreak/>
        <w:t>106.</w:t>
      </w:r>
      <w:r>
        <w:tab/>
        <w:t xml:space="preserve">Hemstrom, W. </w:t>
      </w:r>
      <w:r>
        <w:rPr>
          <w:i/>
          <w:iCs/>
        </w:rPr>
        <w:t>et al.</w:t>
      </w:r>
      <w:r>
        <w:t xml:space="preserve"> Population genomic monitoring provides insight into conservation status but no correlation with demographic estimates of extinction risk in a threatened trout. </w:t>
      </w:r>
      <w:r>
        <w:rPr>
          <w:i/>
          <w:iCs/>
        </w:rPr>
        <w:t>Evol. Appl.</w:t>
      </w:r>
      <w:r>
        <w:t xml:space="preserve"> </w:t>
      </w:r>
      <w:r>
        <w:rPr>
          <w:b/>
          <w:bCs/>
        </w:rPr>
        <w:t>15</w:t>
      </w:r>
      <w:r>
        <w:t>, 1449–1468 (2022).</w:t>
      </w:r>
    </w:p>
    <w:p w14:paraId="2A29D22E" w14:textId="77777777" w:rsidR="00C16345" w:rsidRDefault="00C16345" w:rsidP="00C16345">
      <w:pPr>
        <w:pStyle w:val="Bibliography"/>
      </w:pPr>
      <w:r>
        <w:t>107.</w:t>
      </w:r>
      <w:r>
        <w:tab/>
        <w:t xml:space="preserve">Hemstrom, W. &amp; Jones, M. snpR: User friendly population genomics for SNP data sets with categorical metadata. </w:t>
      </w:r>
      <w:r>
        <w:rPr>
          <w:i/>
          <w:iCs/>
        </w:rPr>
        <w:t>Mol. Ecol. Resour.</w:t>
      </w:r>
      <w:r>
        <w:t xml:space="preserve"> </w:t>
      </w:r>
      <w:r>
        <w:rPr>
          <w:b/>
          <w:bCs/>
        </w:rPr>
        <w:t>23</w:t>
      </w:r>
      <w:r>
        <w:t>, 962–973 (2023).</w:t>
      </w:r>
    </w:p>
    <w:p w14:paraId="2170EC4E" w14:textId="77777777" w:rsidR="00C16345" w:rsidRDefault="00C16345" w:rsidP="00C16345">
      <w:pPr>
        <w:pStyle w:val="Bibliography"/>
      </w:pPr>
      <w:r>
        <w:t>108.</w:t>
      </w:r>
      <w:r>
        <w:tab/>
        <w:t xml:space="preserve">Francis, R. M. pophelper: an R package and web app to analyse and visualize population structure. </w:t>
      </w:r>
      <w:r>
        <w:rPr>
          <w:i/>
          <w:iCs/>
        </w:rPr>
        <w:t>Mol. Ecol. Resour.</w:t>
      </w:r>
      <w:r>
        <w:t xml:space="preserve"> </w:t>
      </w:r>
      <w:r>
        <w:rPr>
          <w:b/>
          <w:bCs/>
        </w:rPr>
        <w:t>17</w:t>
      </w:r>
      <w:r>
        <w:t>, 27–32 (2017).</w:t>
      </w:r>
    </w:p>
    <w:p w14:paraId="04262BA8" w14:textId="77777777" w:rsidR="00C16345" w:rsidRDefault="00C16345" w:rsidP="00C16345">
      <w:pPr>
        <w:pStyle w:val="Bibliography"/>
      </w:pPr>
      <w:r>
        <w:t>109.</w:t>
      </w:r>
      <w:r>
        <w:tab/>
        <w:t xml:space="preserve">Waples, R. S. &amp; Do, C. Linkage disequilibrium estimates of contemporary Ne using highly variable genetic markers: a largely untapped resource for applied conservation and evolution. </w:t>
      </w:r>
      <w:r>
        <w:rPr>
          <w:i/>
          <w:iCs/>
        </w:rPr>
        <w:t>Evol. Appl.</w:t>
      </w:r>
      <w:r>
        <w:t xml:space="preserve"> </w:t>
      </w:r>
      <w:r>
        <w:rPr>
          <w:b/>
          <w:bCs/>
        </w:rPr>
        <w:t>3</w:t>
      </w:r>
      <w:r>
        <w:t>, 244–262 (2010).</w:t>
      </w:r>
    </w:p>
    <w:p w14:paraId="47656BCD" w14:textId="77777777" w:rsidR="00C16345" w:rsidRDefault="00C16345" w:rsidP="00C16345">
      <w:pPr>
        <w:pStyle w:val="Bibliography"/>
      </w:pPr>
      <w:r>
        <w:t>110.</w:t>
      </w:r>
      <w:r>
        <w:tab/>
        <w:t xml:space="preserve">Hotaling, S. </w:t>
      </w:r>
      <w:r>
        <w:rPr>
          <w:i/>
          <w:iCs/>
        </w:rPr>
        <w:t>et al.</w:t>
      </w:r>
      <w:r>
        <w:t xml:space="preserve"> Demographic modelling reveals a history of divergence with gene flow for a glacially tied stonefly in a changing post-Pleistocene landscape. </w:t>
      </w:r>
      <w:r>
        <w:rPr>
          <w:i/>
          <w:iCs/>
        </w:rPr>
        <w:t>J. Biogeogr.</w:t>
      </w:r>
      <w:r>
        <w:t xml:space="preserve"> </w:t>
      </w:r>
      <w:r>
        <w:rPr>
          <w:b/>
          <w:bCs/>
        </w:rPr>
        <w:t>45</w:t>
      </w:r>
      <w:r>
        <w:t>, 304–317 (2018).</w:t>
      </w:r>
    </w:p>
    <w:p w14:paraId="18E571EA" w14:textId="77777777" w:rsidR="00C16345" w:rsidRDefault="00C16345" w:rsidP="00C16345">
      <w:pPr>
        <w:pStyle w:val="Bibliography"/>
      </w:pPr>
      <w:r>
        <w:t>111.</w:t>
      </w:r>
      <w:r>
        <w:tab/>
        <w:t xml:space="preserve">Whitlock, M. C. &amp; Lotterhos, K. E. Reliable Detection of Loci Responsible for Local Adaptation: Inference of a Null Model through Trimming the Distribution of FST. </w:t>
      </w:r>
      <w:r>
        <w:rPr>
          <w:i/>
          <w:iCs/>
        </w:rPr>
        <w:t>Am. Nat.</w:t>
      </w:r>
      <w:r>
        <w:t xml:space="preserve"> </w:t>
      </w:r>
      <w:r>
        <w:rPr>
          <w:b/>
          <w:bCs/>
        </w:rPr>
        <w:t>186</w:t>
      </w:r>
      <w:r>
        <w:t>, S24–S36 (2015).</w:t>
      </w:r>
    </w:p>
    <w:p w14:paraId="354FDAB3" w14:textId="77777777" w:rsidR="00C16345" w:rsidRDefault="00C16345" w:rsidP="00C16345">
      <w:pPr>
        <w:pStyle w:val="Bibliography"/>
      </w:pPr>
      <w:r>
        <w:t>112.</w:t>
      </w:r>
      <w:r>
        <w:tab/>
        <w:t xml:space="preserve">Asif, H. </w:t>
      </w:r>
      <w:r>
        <w:rPr>
          <w:i/>
          <w:iCs/>
        </w:rPr>
        <w:t>et al.</w:t>
      </w:r>
      <w:r>
        <w:t xml:space="preserve"> GWAS significance thresholds for deep phenotyping studies can depend upon minor allele frequencies and sample size. </w:t>
      </w:r>
      <w:r>
        <w:rPr>
          <w:i/>
          <w:iCs/>
        </w:rPr>
        <w:t>Mol. Psychiatry</w:t>
      </w:r>
      <w:r>
        <w:t xml:space="preserve"> </w:t>
      </w:r>
      <w:r>
        <w:rPr>
          <w:b/>
          <w:bCs/>
        </w:rPr>
        <w:t>26</w:t>
      </w:r>
      <w:r>
        <w:t>, 2048–2055 (2021).</w:t>
      </w:r>
    </w:p>
    <w:p w14:paraId="5385E3D0" w14:textId="77777777" w:rsidR="00C16345" w:rsidRDefault="00C16345" w:rsidP="00C16345">
      <w:pPr>
        <w:pStyle w:val="Bibliography"/>
      </w:pPr>
      <w:r>
        <w:t>113.</w:t>
      </w:r>
      <w:r>
        <w:tab/>
        <w:t xml:space="preserve">Roorkiwal, M. </w:t>
      </w:r>
      <w:r>
        <w:rPr>
          <w:i/>
          <w:iCs/>
        </w:rPr>
        <w:t>et al.</w:t>
      </w:r>
      <w:r>
        <w:t xml:space="preserve"> Genome-wide association mapping of nutritional traits for designing superior chickpea varieties. </w:t>
      </w:r>
      <w:r>
        <w:rPr>
          <w:i/>
          <w:iCs/>
        </w:rPr>
        <w:t>Front. Plant Sci.</w:t>
      </w:r>
      <w:r>
        <w:t xml:space="preserve"> </w:t>
      </w:r>
      <w:r>
        <w:rPr>
          <w:b/>
          <w:bCs/>
        </w:rPr>
        <w:t>13</w:t>
      </w:r>
      <w:r>
        <w:t>, (2022).</w:t>
      </w:r>
    </w:p>
    <w:p w14:paraId="528173C9" w14:textId="77777777" w:rsidR="00C16345" w:rsidRDefault="00C16345" w:rsidP="00C16345">
      <w:pPr>
        <w:pStyle w:val="Bibliography"/>
      </w:pPr>
      <w:r>
        <w:lastRenderedPageBreak/>
        <w:t>114.</w:t>
      </w:r>
      <w:r>
        <w:tab/>
        <w:t xml:space="preserve">Halvorsen, S., Korslund, L., Mattingsdal, M. &amp; Slettan, A. Estimating number of European eel (Anguilla anguilla) individuals using environmental DNA and haplotype count in small rivers. </w:t>
      </w:r>
      <w:r>
        <w:rPr>
          <w:i/>
          <w:iCs/>
        </w:rPr>
        <w:t>Ecol. Evol.</w:t>
      </w:r>
      <w:r>
        <w:t xml:space="preserve"> </w:t>
      </w:r>
      <w:r>
        <w:rPr>
          <w:b/>
          <w:bCs/>
        </w:rPr>
        <w:t>13</w:t>
      </w:r>
      <w:r>
        <w:t>, e9785 (2023).</w:t>
      </w:r>
    </w:p>
    <w:p w14:paraId="6E43BFDA" w14:textId="008EB353" w:rsidR="00AB68AB" w:rsidRDefault="00367E56" w:rsidP="00717BCE">
      <w:pPr>
        <w:widowControl w:val="0"/>
        <w:pBdr>
          <w:top w:val="nil"/>
          <w:left w:val="nil"/>
          <w:bottom w:val="nil"/>
          <w:right w:val="nil"/>
          <w:between w:val="nil"/>
        </w:pBdr>
        <w:spacing w:before="0" w:after="0" w:line="240" w:lineRule="auto"/>
        <w:ind w:left="384" w:hanging="384"/>
      </w:pPr>
      <w:r>
        <w:fldChar w:fldCharType="end"/>
      </w:r>
    </w:p>
    <w:p w14:paraId="3823EF74" w14:textId="77777777" w:rsidR="00AB68AB" w:rsidRDefault="00B167CE">
      <w:pPr>
        <w:rPr>
          <w:color w:val="2F5496"/>
          <w:sz w:val="32"/>
          <w:szCs w:val="32"/>
        </w:rPr>
      </w:pPr>
      <w:r>
        <w:br w:type="page"/>
      </w:r>
    </w:p>
    <w:p w14:paraId="6E827839" w14:textId="77777777" w:rsidR="00367E56" w:rsidRDefault="00367E56" w:rsidP="004D7166">
      <w:pPr>
        <w:pStyle w:val="Heading1"/>
        <w:spacing w:line="360" w:lineRule="auto"/>
        <w:ind w:firstLine="0"/>
      </w:pPr>
      <w:r>
        <w:rPr>
          <w:rFonts w:ascii="Times New Roman" w:eastAsia="Times New Roman" w:hAnsi="Times New Roman" w:cs="Times New Roman"/>
        </w:rPr>
        <w:lastRenderedPageBreak/>
        <w:t>Figure Legends:</w:t>
      </w:r>
    </w:p>
    <w:p w14:paraId="1E4B0C0F" w14:textId="5770FCF8" w:rsidR="00367E56" w:rsidRDefault="00367E56" w:rsidP="004D7166">
      <w:pPr>
        <w:spacing w:before="0" w:line="360" w:lineRule="auto"/>
        <w:ind w:firstLine="0"/>
      </w:pPr>
      <w:r w:rsidRPr="008E75E6">
        <w:rPr>
          <w:b/>
          <w:bCs/>
        </w:rPr>
        <w:t>Figure 1</w:t>
      </w:r>
      <w:r>
        <w:rPr>
          <w:b/>
          <w:bCs/>
        </w:rPr>
        <w:t xml:space="preserve">: </w:t>
      </w:r>
      <w:r>
        <w:t>Challenges and potential solutions related to filtering that occurs prior to variant calling (“pre-</w:t>
      </w:r>
      <w:r w:rsidR="009F7E8C">
        <w:t>variant</w:t>
      </w:r>
      <w:r>
        <w:t xml:space="preserve">” filtering). In the first row, individual 1 has both sufficient read depth (here illustrated with 9 reads, but a higher read depth would be better) and read alignment quality (“quality scores”) to allow for successful variant calling (a SNP is circled in orange). Despite this seemingly successful read alignment, challenges still exist; genome assembly errors (such as misplaced scaffolds on reference genomes), and structural variants (such as inversions) can cause issues downstream. Filtering for linkage disequilibrium can resolve some of these concerns. Individual 2 has a weak alignment both across an entire read and at a single base pair position across all reads, both of which should be filtered out prior to variant calling. Individual 3 has too few reads; this individual should be removed, re-sequenced, or, if this </w:t>
      </w:r>
      <w:r w:rsidR="009F7E8C">
        <w:t xml:space="preserve">low-quality is expected and </w:t>
      </w:r>
      <w:r>
        <w:t>occurs across all individuals in a study, genotype likelihoods could be calculated. Individual 4 has too many reads, which can be caused by paralogs, copy number variants (CNVs), or technical (</w:t>
      </w:r>
      <w:r w:rsidRPr="00057B96">
        <w:rPr>
          <w:i/>
          <w:iCs/>
        </w:rPr>
        <w:t>e.g.</w:t>
      </w:r>
      <w:r>
        <w:t>, PCR) duplicates. These excess reads should be filtered out and then analyzed carefully to determine the underlying causes and to facilitate answering questions of interest.</w:t>
      </w:r>
    </w:p>
    <w:p w14:paraId="401A5DE9" w14:textId="36BCD6E9" w:rsidR="00367E56" w:rsidRDefault="00367E56" w:rsidP="004D7166">
      <w:pPr>
        <w:spacing w:line="360" w:lineRule="auto"/>
        <w:ind w:firstLine="0"/>
      </w:pPr>
      <w:r w:rsidRPr="008E75E6">
        <w:rPr>
          <w:b/>
          <w:bCs/>
        </w:rPr>
        <w:t xml:space="preserve">Figure </w:t>
      </w:r>
      <w:r>
        <w:rPr>
          <w:b/>
          <w:bCs/>
        </w:rPr>
        <w:t xml:space="preserve">2: </w:t>
      </w:r>
      <w:r>
        <w:t>Challenges associated with four common filters that can occur after variant discovery (“post-</w:t>
      </w:r>
      <w:r w:rsidR="009F7E8C">
        <w:t>variant</w:t>
      </w:r>
      <w:r>
        <w:t xml:space="preserve">” filtering). </w:t>
      </w:r>
      <w:r w:rsidR="00B37301">
        <w:t>Panel</w:t>
      </w:r>
      <w:r>
        <w:t xml:space="preserve"> A</w:t>
      </w:r>
      <w:r w:rsidR="00B37301">
        <w:t xml:space="preserve"> illustrates</w:t>
      </w:r>
      <w:r>
        <w:t xml:space="preserve"> missing data, which can occur across loci </w:t>
      </w:r>
      <w:r w:rsidR="00CE50D0">
        <w:t>and individuals</w:t>
      </w:r>
      <w:r w:rsidR="003C6FDD">
        <w:t xml:space="preserve">. </w:t>
      </w:r>
      <w:r>
        <w:t>Data from</w:t>
      </w:r>
      <w:r w:rsidR="003C6FDD">
        <w:t xml:space="preserve"> </w:t>
      </w:r>
      <w:r>
        <w:t>monarch butterfl</w:t>
      </w:r>
      <w:r w:rsidR="003C6FDD">
        <w:t>ies</w:t>
      </w:r>
      <w:r w:rsidR="00CE50D0">
        <w:fldChar w:fldCharType="begin"/>
      </w:r>
      <w:r w:rsidR="00C16345">
        <w:instrText xml:space="preserve"> ADDIN ZOTERO_ITEM CSL_CITATION {"citationID":"sVinaR6w","properties":{"formattedCitation":"\\super 95\\nosupersub{}","plainCitation":"95","noteIndex":0},"citationItems":[{"id":2536,"uris":["http://zotero.org/users/10196124/items/L2KYM4TL"],"itemData":{"id":2536,"type":"article-journal","abstract":"Abstract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CE50D0">
        <w:fldChar w:fldCharType="separate"/>
      </w:r>
      <w:r w:rsidR="00C16345" w:rsidRPr="00C16345">
        <w:rPr>
          <w:vertAlign w:val="superscript"/>
        </w:rPr>
        <w:t>95</w:t>
      </w:r>
      <w:r w:rsidR="00CE50D0">
        <w:fldChar w:fldCharType="end"/>
      </w:r>
      <w:r w:rsidR="00CE50D0">
        <w:t xml:space="preserve"> </w:t>
      </w:r>
      <w:r>
        <w:t xml:space="preserve">are used to </w:t>
      </w:r>
      <w:r w:rsidR="00B37301">
        <w:t>show</w:t>
      </w:r>
      <w:r>
        <w:t xml:space="preserve"> that when </w:t>
      </w:r>
      <w:r w:rsidR="00B37301">
        <w:t xml:space="preserve">missing data filtering </w:t>
      </w:r>
      <w:r>
        <w:t>occurs within sample-groups the percentage of missing data can be high</w:t>
      </w:r>
      <w:r w:rsidR="003C6FDD">
        <w:t xml:space="preserve"> (</w:t>
      </w:r>
      <w:r>
        <w:t>21</w:t>
      </w:r>
      <w:r w:rsidR="003C6FDD">
        <w:t>-</w:t>
      </w:r>
      <w:r>
        <w:t>100%</w:t>
      </w:r>
      <w:r w:rsidR="003C6FDD">
        <w:t xml:space="preserve"> per locus)</w:t>
      </w:r>
      <w:r w:rsidR="00B37301">
        <w:t>, but</w:t>
      </w:r>
      <w:r>
        <w:t xml:space="preserve"> </w:t>
      </w:r>
      <w:r w:rsidR="00B37301">
        <w:t>i</w:t>
      </w:r>
      <w:r>
        <w:t xml:space="preserve">f filtering is performed across all </w:t>
      </w:r>
      <w:r w:rsidR="00B37301">
        <w:t>samples</w:t>
      </w:r>
      <w:r>
        <w:t xml:space="preserve"> the proportion of missing data per locus is much lower (19</w:t>
      </w:r>
      <w:r w:rsidR="003C6FDD">
        <w:t>-</w:t>
      </w:r>
      <w:r>
        <w:t>56%)</w:t>
      </w:r>
      <w:r w:rsidR="00A230AC">
        <w:t xml:space="preserve"> and quality differences between populations is obscured</w:t>
      </w:r>
      <w:r>
        <w:t>. In panel B, we illustrate different minor allele frequencies</w:t>
      </w:r>
      <w:r w:rsidR="003C6FDD">
        <w:t xml:space="preserve"> and</w:t>
      </w:r>
      <w:r>
        <w:t xml:space="preserve"> use a perch study</w:t>
      </w:r>
      <w:r w:rsidR="004D4CC4">
        <w:fldChar w:fldCharType="begin"/>
      </w:r>
      <w:r w:rsidR="004D4CC4">
        <w:instrText xml:space="preserve"> ADDIN ZOTERO_ITEM CSL_CITATION {"citationID":"VrMqlYO0","properties":{"formattedCitation":"\\super 70\\nosupersub{}","plainCitation":"70","noteIndex":0},"citationItems":[{"id":5534,"uris":["http://zotero.org/users/10196124/items/XGGCK56L"],"itemData":{"id":5534,"type":"article-journal","abstract":"Abstract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D4CC4">
        <w:fldChar w:fldCharType="separate"/>
      </w:r>
      <w:r w:rsidR="004D4CC4" w:rsidRPr="004D4CC4">
        <w:rPr>
          <w:vertAlign w:val="superscript"/>
        </w:rPr>
        <w:t>70</w:t>
      </w:r>
      <w:r w:rsidR="004D4CC4">
        <w:fldChar w:fldCharType="end"/>
      </w:r>
      <w:r>
        <w:t xml:space="preserve"> to </w:t>
      </w:r>
      <w:r w:rsidR="00B37301">
        <w:t>show</w:t>
      </w:r>
      <w:r>
        <w:t xml:space="preserve"> that if a MAF filter of 0.01 is </w:t>
      </w:r>
      <w:r w:rsidR="00B37301">
        <w:t>applied</w:t>
      </w:r>
      <w:r>
        <w:t xml:space="preserve"> within sample grou</w:t>
      </w:r>
      <w:r w:rsidR="00B37301">
        <w:t>ps</w:t>
      </w:r>
      <w:r w:rsidR="00A230AC">
        <w:t>—but not study-wide—</w:t>
      </w:r>
      <w:r>
        <w:t xml:space="preserve">the number of SNPs can vary </w:t>
      </w:r>
      <w:r w:rsidR="00AC7C23">
        <w:t>3</w:t>
      </w:r>
      <w:r>
        <w:t>-fold</w:t>
      </w:r>
      <w:r w:rsidR="003C6FDD" w:rsidRPr="003C6FDD">
        <w:t xml:space="preserve"> </w:t>
      </w:r>
      <w:r w:rsidR="003C6FDD">
        <w:t>among populations</w:t>
      </w:r>
      <w:r>
        <w:t xml:space="preserve">. In panel C, </w:t>
      </w:r>
      <w:r w:rsidR="00B37301">
        <w:t>we</w:t>
      </w:r>
      <w:r>
        <w:t xml:space="preserve"> illustrate </w:t>
      </w:r>
      <w:r w:rsidR="00B37301">
        <w:t xml:space="preserve">how loci can be out of </w:t>
      </w:r>
      <w:r>
        <w:t>Hardy-Weinberg Equilibrium (HWE) due</w:t>
      </w:r>
      <w:r w:rsidR="00B37301">
        <w:t xml:space="preserve"> to</w:t>
      </w:r>
      <w:r>
        <w:t xml:space="preserve"> </w:t>
      </w:r>
      <w:r w:rsidR="00B37301">
        <w:t>homozygote or heterozygote excesses</w:t>
      </w:r>
      <w:r>
        <w:t xml:space="preserve">. Using the same monarch dataset, we </w:t>
      </w:r>
      <w:r w:rsidR="00B37301">
        <w:t>show that</w:t>
      </w:r>
      <w:r>
        <w:t xml:space="preserve"> </w:t>
      </w:r>
      <w:r w:rsidR="00B37301">
        <w:t>combining</w:t>
      </w:r>
      <w:r w:rsidR="003C6FDD">
        <w:t xml:space="preserve"> </w:t>
      </w:r>
      <w:r w:rsidR="00A230AC">
        <w:t xml:space="preserve">two divergent </w:t>
      </w:r>
      <w:r w:rsidR="003C6FDD">
        <w:t>sample-groups</w:t>
      </w:r>
      <w:r>
        <w:t xml:space="preserve"> </w:t>
      </w:r>
      <w:r w:rsidR="00B37301">
        <w:t>results in higher</w:t>
      </w:r>
      <w:r>
        <w:t xml:space="preserve"> </w:t>
      </w:r>
      <w:r w:rsidRPr="006F402F">
        <w:rPr>
          <w:i/>
          <w:iCs/>
        </w:rPr>
        <w:t>F</w:t>
      </w:r>
      <w:r w:rsidRPr="00B80623">
        <w:rPr>
          <w:vertAlign w:val="subscript"/>
        </w:rPr>
        <w:t>IS</w:t>
      </w:r>
      <w:r w:rsidRPr="006F402F">
        <w:rPr>
          <w:vertAlign w:val="subscript"/>
        </w:rPr>
        <w:t xml:space="preserve"> </w:t>
      </w:r>
      <w:r>
        <w:t xml:space="preserve">and </w:t>
      </w:r>
      <w:r w:rsidR="003C6FDD">
        <w:t>many</w:t>
      </w:r>
      <w:r>
        <w:t xml:space="preserve"> more</w:t>
      </w:r>
      <w:r w:rsidR="00B37301">
        <w:t xml:space="preserve"> loci out of</w:t>
      </w:r>
      <w:r>
        <w:t xml:space="preserve"> HWE. </w:t>
      </w:r>
      <w:r w:rsidR="00B37301">
        <w:t xml:space="preserve">Filtering study-wide would </w:t>
      </w:r>
      <w:r w:rsidR="00A230AC">
        <w:t xml:space="preserve">therefore </w:t>
      </w:r>
      <w:r w:rsidR="00B37301">
        <w:t xml:space="preserve">cause the </w:t>
      </w:r>
      <w:r w:rsidR="00A230AC">
        <w:t xml:space="preserve">erroneous </w:t>
      </w:r>
      <w:r w:rsidR="00B37301">
        <w:t>removal of loci due to</w:t>
      </w:r>
      <w:r>
        <w:t xml:space="preserve"> Wahlund </w:t>
      </w:r>
      <w:r w:rsidR="00A230AC">
        <w:t xml:space="preserve">effects </w:t>
      </w:r>
      <w:r>
        <w:t>(see</w:t>
      </w:r>
      <w:r w:rsidR="004D4CC4">
        <w:fldChar w:fldCharType="begin"/>
      </w:r>
      <w:r w:rsidR="004D4CC4">
        <w:instrText xml:space="preserve"> ADDIN ZOTERO_ITEM CSL_CITATION {"citationID":"XvO6wEXW","properties":{"formattedCitation":"\\super 74\\nosupersub{}","plainCitation":"74","noteIndex":0},"citationItems":[{"id":5484,"uris":["http://zotero.org/users/10196124/items/5VM5QXQ9"],"itemData":{"id":5484,"type":"article-journal","abstract":"Abstract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4D4CC4">
        <w:fldChar w:fldCharType="separate"/>
      </w:r>
      <w:r w:rsidR="004D4CC4" w:rsidRPr="004D4CC4">
        <w:rPr>
          <w:vertAlign w:val="superscript"/>
        </w:rPr>
        <w:t>74</w:t>
      </w:r>
      <w:r w:rsidR="004D4CC4">
        <w:fldChar w:fldCharType="end"/>
      </w:r>
      <w:r>
        <w:t>). Lastly, in panel D, we illustrate linkage disequilibrium (LD)</w:t>
      </w:r>
      <w:r w:rsidR="00A230AC">
        <w:t xml:space="preserve"> with</w:t>
      </w:r>
      <w:r>
        <w:t xml:space="preserve"> </w:t>
      </w:r>
      <w:r w:rsidR="00A230AC">
        <w:lastRenderedPageBreak/>
        <w:t>haplotypes that are perfectly correlated across individuals</w:t>
      </w:r>
      <w:r>
        <w:t xml:space="preserve">. </w:t>
      </w:r>
      <w:r w:rsidR="00B37301">
        <w:t xml:space="preserve">We </w:t>
      </w:r>
      <w:r>
        <w:t>use a stickleback dataset</w:t>
      </w:r>
      <w:r w:rsidR="004D4CC4">
        <w:fldChar w:fldCharType="begin"/>
      </w:r>
      <w:r w:rsidR="00C16345">
        <w:instrText xml:space="preserve"> ADDIN ZOTERO_ITEM CSL_CITATION {"citationID":"kSm2hc5Q","properties":{"formattedCitation":"\\super 105\\nosupersub{}","plainCitation":"105","noteIndex":0},"citationItems":[{"id":2346,"uris":["http://zotero.org/users/10196124/items/IZGSJUFH"],"itemData":{"id":2346,"type":"article-journal","note":"Citation Key: Hemstrom2016","title":"Thirty-four Kilometers and Fifteen Years: Rapid Adaptation at a Novel Chromosomal Inversion in Recently Introduced Deschutes River Three-spined Stickleback","author":[{"family":"Hemstrom","given":"William"}],"issued":{"date-parts":[["2016"]]},"citation-key":"Hemstrom2016"}}],"schema":"https://github.com/citation-style-language/schema/raw/master/csl-citation.json"} </w:instrText>
      </w:r>
      <w:r w:rsidR="004D4CC4">
        <w:fldChar w:fldCharType="separate"/>
      </w:r>
      <w:r w:rsidR="00C16345" w:rsidRPr="00C16345">
        <w:rPr>
          <w:vertAlign w:val="superscript"/>
        </w:rPr>
        <w:t>105</w:t>
      </w:r>
      <w:r w:rsidR="004D4CC4">
        <w:fldChar w:fldCharType="end"/>
      </w:r>
      <w:r w:rsidR="004D4CC4">
        <w:t xml:space="preserve"> </w:t>
      </w:r>
      <w:r>
        <w:t>to illustrate that LD thinning (orange points)</w:t>
      </w:r>
      <w:r w:rsidR="00A230AC">
        <w:t xml:space="preserve"> obscures an </w:t>
      </w:r>
      <w:r>
        <w:t>inversion (blue points)</w:t>
      </w:r>
      <w:r w:rsidR="00A230AC">
        <w:t>.</w:t>
      </w:r>
    </w:p>
    <w:p w14:paraId="614F96C8" w14:textId="1DCE3981" w:rsidR="00367E56" w:rsidRPr="008E75E6" w:rsidRDefault="00367E56" w:rsidP="004D7166">
      <w:pPr>
        <w:spacing w:line="360" w:lineRule="auto"/>
        <w:ind w:firstLine="0"/>
      </w:pPr>
      <w:r w:rsidRPr="008E75E6">
        <w:rPr>
          <w:b/>
          <w:bCs/>
        </w:rPr>
        <w:t xml:space="preserve">Figure </w:t>
      </w:r>
      <w:r>
        <w:rPr>
          <w:b/>
          <w:bCs/>
        </w:rPr>
        <w:t>3:</w:t>
      </w:r>
      <w:r>
        <w:t xml:space="preserve"> Flow chart to facilitate thoughtful, systematic, and reproducible filtering. Typical filtering proceeds through raw sequence QC filtering, alignment, mapped-read filtering, and variant discovery. After variant discovery, investigators must decide whether to apply filters study-wide or within sample-groups and whether to filter first by locus or individuals (see main text for recommendations). Regardless of the study objectives, multiple datasets should be constructed to examine the effects of various filtering decisions. Data should be carefully archived before filtering, and all filtering methods and results carefully reported. See Table 1 for a complete list of filters, Table 2 for a simplified example of how to report filtering results, and Box 4 for a checklist.</w:t>
      </w:r>
    </w:p>
    <w:p w14:paraId="45585AFC" w14:textId="77777777" w:rsidR="00367E56" w:rsidRDefault="00367E56" w:rsidP="003F76ED">
      <w:pPr>
        <w:suppressLineNumbers/>
        <w:rPr>
          <w:color w:val="2F5496"/>
          <w:sz w:val="32"/>
          <w:szCs w:val="32"/>
        </w:rPr>
      </w:pPr>
      <w:r>
        <w:br w:type="page"/>
      </w:r>
    </w:p>
    <w:p w14:paraId="7130656E" w14:textId="77777777" w:rsidR="006A6885" w:rsidRPr="006A6885" w:rsidRDefault="006A6885" w:rsidP="001F6002">
      <w:pPr>
        <w:keepNext/>
        <w:keepLines/>
        <w:spacing w:after="0" w:line="360" w:lineRule="auto"/>
        <w:ind w:firstLine="0"/>
        <w:outlineLvl w:val="0"/>
        <w:rPr>
          <w:rFonts w:ascii="Calibri" w:eastAsia="Calibri" w:hAnsi="Calibri" w:cs="Calibri"/>
          <w:color w:val="2F5496"/>
          <w:sz w:val="32"/>
          <w:szCs w:val="32"/>
        </w:rPr>
      </w:pPr>
      <w:r w:rsidRPr="006A6885">
        <w:rPr>
          <w:rFonts w:ascii="Calibri" w:eastAsia="Calibri" w:hAnsi="Calibri" w:cs="Calibri"/>
          <w:color w:val="2F5496"/>
          <w:sz w:val="32"/>
          <w:szCs w:val="32"/>
        </w:rPr>
        <w:lastRenderedPageBreak/>
        <w:t>Glossary</w:t>
      </w:r>
    </w:p>
    <w:p w14:paraId="68B02B10" w14:textId="77777777" w:rsidR="006A6885" w:rsidRPr="006A6885" w:rsidRDefault="006A6885" w:rsidP="00115B42">
      <w:pPr>
        <w:spacing w:before="0" w:after="0" w:line="360" w:lineRule="auto"/>
        <w:ind w:firstLine="0"/>
        <w:rPr>
          <w:rFonts w:eastAsia="Calibri"/>
        </w:rPr>
      </w:pPr>
      <w:r w:rsidRPr="006A6885">
        <w:rPr>
          <w:rFonts w:eastAsia="Calibri"/>
        </w:rPr>
        <w:t>ALIGNMENT</w:t>
      </w:r>
    </w:p>
    <w:p w14:paraId="4970F9A0" w14:textId="77777777" w:rsidR="006A6885" w:rsidRPr="006A6885" w:rsidRDefault="006A6885" w:rsidP="00115B42">
      <w:pPr>
        <w:shd w:val="clear" w:color="auto" w:fill="FFFFFF"/>
        <w:spacing w:before="0" w:after="0" w:line="360" w:lineRule="auto"/>
        <w:ind w:right="-120" w:firstLine="0"/>
        <w:rPr>
          <w:rFonts w:eastAsia="Arial"/>
          <w:color w:val="1D1C1D"/>
        </w:rPr>
      </w:pPr>
      <w:r w:rsidRPr="006A6885">
        <w:rPr>
          <w:color w:val="1D1C1D"/>
        </w:rPr>
        <w:t xml:space="preserve">Mapping of sequencing reads and/or contigs to either each other (pairwise/multiple alignment) or to a </w:t>
      </w:r>
      <w:r w:rsidRPr="006A6885">
        <w:rPr>
          <w:b/>
          <w:bCs/>
          <w:color w:val="1D1C1D"/>
        </w:rPr>
        <w:t>reference</w:t>
      </w:r>
      <w:r w:rsidRPr="006A6885">
        <w:rPr>
          <w:color w:val="1D1C1D"/>
        </w:rPr>
        <w:t>. Alignments can vary in the strength of the evidence that supports them. Strong</w:t>
      </w:r>
      <w:r w:rsidRPr="006A6885">
        <w:rPr>
          <w:b/>
          <w:color w:val="1D1C1D"/>
        </w:rPr>
        <w:t xml:space="preserve"> </w:t>
      </w:r>
      <w:r w:rsidRPr="006A6885">
        <w:rPr>
          <w:color w:val="1D1C1D"/>
        </w:rPr>
        <w:t xml:space="preserve">alignments, for example, usually have a </w:t>
      </w:r>
      <w:r w:rsidRPr="006A6885">
        <w:rPr>
          <w:b/>
          <w:bCs/>
          <w:color w:val="1D1C1D"/>
        </w:rPr>
        <w:t>base (Phred) quality score</w:t>
      </w:r>
      <w:r w:rsidRPr="006A6885">
        <w:rPr>
          <w:color w:val="1D1C1D"/>
        </w:rPr>
        <w:t xml:space="preserve"> of &gt; 20 (99% certainty); </w:t>
      </w:r>
      <w:r w:rsidRPr="006A6885">
        <w:rPr>
          <w:bCs/>
          <w:color w:val="1D1C1D"/>
        </w:rPr>
        <w:t>weak alignments</w:t>
      </w:r>
      <w:r w:rsidRPr="006A6885">
        <w:rPr>
          <w:color w:val="1D1C1D"/>
        </w:rPr>
        <w:t xml:space="preserve"> may have a Phred score of 10 or less (&lt;90% certainty).</w:t>
      </w:r>
    </w:p>
    <w:p w14:paraId="0E254FC9" w14:textId="77777777" w:rsidR="006A6885" w:rsidRPr="006A6885" w:rsidRDefault="006A6885" w:rsidP="00115B42">
      <w:pPr>
        <w:suppressLineNumbers/>
        <w:shd w:val="clear" w:color="auto" w:fill="FFFFFF"/>
        <w:spacing w:before="0" w:after="0" w:line="360" w:lineRule="auto"/>
        <w:ind w:right="-120" w:firstLine="0"/>
        <w:rPr>
          <w:color w:val="1D1C1D"/>
        </w:rPr>
      </w:pPr>
    </w:p>
    <w:p w14:paraId="487291A2"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BASE QUALITY SCORE</w:t>
      </w:r>
    </w:p>
    <w:p w14:paraId="6E49D5DB"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Value in a logarithmic, Phred scale given to each base on a sequencing read that indicates a quantitative degree of confidence in a nucleotide called from the sequencing instrument.</w:t>
      </w:r>
    </w:p>
    <w:p w14:paraId="219E22E1" w14:textId="77777777" w:rsidR="006A6885" w:rsidRPr="006A6885" w:rsidRDefault="006A6885" w:rsidP="00115B42">
      <w:pPr>
        <w:suppressLineNumbers/>
        <w:shd w:val="clear" w:color="auto" w:fill="FFFFFF"/>
        <w:spacing w:before="0" w:after="0" w:line="360" w:lineRule="auto"/>
        <w:ind w:right="-120" w:firstLine="0"/>
        <w:rPr>
          <w:color w:val="1D1C1D"/>
        </w:rPr>
      </w:pPr>
    </w:p>
    <w:p w14:paraId="4AACD001"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DE NOVO ASSEMBLY</w:t>
      </w:r>
    </w:p>
    <w:p w14:paraId="62B48E07" w14:textId="77777777" w:rsidR="006A6885" w:rsidRPr="006A6885" w:rsidRDefault="006A6885" w:rsidP="00115B42">
      <w:pPr>
        <w:shd w:val="clear" w:color="auto" w:fill="FFFFFF"/>
        <w:spacing w:before="0" w:after="0" w:line="360" w:lineRule="auto"/>
        <w:ind w:right="-120" w:firstLine="0"/>
        <w:rPr>
          <w:i/>
          <w:color w:val="1D1C1D"/>
        </w:rPr>
      </w:pPr>
      <w:r w:rsidRPr="006A6885">
        <w:rPr>
          <w:b/>
          <w:bCs/>
          <w:color w:val="1D1C1D"/>
        </w:rPr>
        <w:t>Reference</w:t>
      </w:r>
      <w:r w:rsidRPr="006A6885">
        <w:rPr>
          <w:color w:val="1D1C1D"/>
        </w:rPr>
        <w:t xml:space="preserve"> free alignment of reads into overlapping stacks or contigs for subsequent use in variant discovery and genotyping.</w:t>
      </w:r>
    </w:p>
    <w:p w14:paraId="43B99050" w14:textId="77777777" w:rsidR="006A6885" w:rsidRPr="006A6885" w:rsidRDefault="006A6885" w:rsidP="00115B42">
      <w:pPr>
        <w:suppressLineNumbers/>
        <w:shd w:val="clear" w:color="auto" w:fill="FFFFFF"/>
        <w:spacing w:before="0" w:after="0" w:line="360" w:lineRule="auto"/>
        <w:ind w:right="-120" w:firstLine="0"/>
        <w:rPr>
          <w:color w:val="1D1C1D"/>
        </w:rPr>
      </w:pPr>
    </w:p>
    <w:p w14:paraId="40E22ADF"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DISCORDANT READ-PAIRS</w:t>
      </w:r>
    </w:p>
    <w:p w14:paraId="3F9396BC"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Paired-end reads that do not match either the expected relative directions (5’ </w:t>
      </w:r>
      <w:proofErr w:type="gramStart"/>
      <w:r w:rsidRPr="006A6885">
        <w:rPr>
          <w:color w:val="1D1C1D"/>
        </w:rPr>
        <w:t>to  3</w:t>
      </w:r>
      <w:proofErr w:type="gramEnd"/>
      <w:r w:rsidRPr="006A6885">
        <w:rPr>
          <w:color w:val="1D1C1D"/>
        </w:rPr>
        <w:t>’) or the physical distance (base pairs) between reads.</w:t>
      </w:r>
    </w:p>
    <w:p w14:paraId="1C0A8F74" w14:textId="77777777" w:rsidR="006A6885" w:rsidRPr="006A6885" w:rsidRDefault="006A6885" w:rsidP="00115B42">
      <w:pPr>
        <w:suppressLineNumbers/>
        <w:shd w:val="clear" w:color="auto" w:fill="FFFFFF"/>
        <w:spacing w:before="0" w:after="0" w:line="360" w:lineRule="auto"/>
        <w:ind w:right="-120" w:firstLine="0"/>
        <w:rPr>
          <w:color w:val="1D1C1D"/>
        </w:rPr>
      </w:pPr>
    </w:p>
    <w:p w14:paraId="5C2E10DB"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FAMILY STRUCTURE</w:t>
      </w:r>
    </w:p>
    <w:p w14:paraId="6E4998D8"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Non-independence among individuals in a study caused by direct recent shared ancestry (</w:t>
      </w:r>
      <w:r w:rsidRPr="006A6885">
        <w:rPr>
          <w:i/>
          <w:iCs/>
          <w:color w:val="1D1C1D"/>
        </w:rPr>
        <w:t>e.g.</w:t>
      </w:r>
      <w:r w:rsidRPr="006A6885">
        <w:rPr>
          <w:color w:val="1D1C1D"/>
        </w:rPr>
        <w:t>, parentage, siblings, cousins) between groups of individuals.</w:t>
      </w:r>
    </w:p>
    <w:p w14:paraId="187976E7" w14:textId="77777777" w:rsidR="006A6885" w:rsidRPr="006A6885" w:rsidRDefault="006A6885" w:rsidP="00115B42">
      <w:pPr>
        <w:suppressLineNumbers/>
        <w:shd w:val="clear" w:color="auto" w:fill="FFFFFF"/>
        <w:spacing w:before="0" w:after="0" w:line="360" w:lineRule="auto"/>
        <w:ind w:right="-120" w:firstLine="0"/>
        <w:rPr>
          <w:color w:val="1D1C1D"/>
        </w:rPr>
      </w:pPr>
    </w:p>
    <w:p w14:paraId="06D34D12"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FILTERING</w:t>
      </w:r>
    </w:p>
    <w:p w14:paraId="73405426"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The use of quality control steps to remove errors, reads, individuals, loci, or genotypes from a dataset to improve data quality for specific analyses. This procedure differs from other forms of data processing in that it focuses on the </w:t>
      </w:r>
      <w:r w:rsidRPr="006A6885">
        <w:rPr>
          <w:i/>
          <w:color w:val="1D1C1D"/>
        </w:rPr>
        <w:t xml:space="preserve">removal </w:t>
      </w:r>
      <w:r w:rsidRPr="006A6885">
        <w:rPr>
          <w:color w:val="1D1C1D"/>
        </w:rPr>
        <w:t xml:space="preserve">(or “filtering out”) of data specifically rather than other forms of quality improvement such as </w:t>
      </w:r>
      <w:r w:rsidRPr="006A6885">
        <w:rPr>
          <w:b/>
          <w:bCs/>
          <w:color w:val="1D1C1D"/>
        </w:rPr>
        <w:t>imputation</w:t>
      </w:r>
      <w:r w:rsidRPr="006A6885">
        <w:rPr>
          <w:color w:val="1D1C1D"/>
        </w:rPr>
        <w:t>.</w:t>
      </w:r>
    </w:p>
    <w:p w14:paraId="05E920E2" w14:textId="77777777" w:rsidR="006A6885" w:rsidRPr="006A6885" w:rsidRDefault="006A6885" w:rsidP="00115B42">
      <w:pPr>
        <w:suppressLineNumbers/>
        <w:shd w:val="clear" w:color="auto" w:fill="FFFFFF"/>
        <w:spacing w:before="0" w:after="0" w:line="360" w:lineRule="auto"/>
        <w:ind w:right="-120" w:firstLine="0"/>
        <w:rPr>
          <w:color w:val="1D1C1D"/>
        </w:rPr>
      </w:pPr>
    </w:p>
    <w:p w14:paraId="5B9F20F1"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lastRenderedPageBreak/>
        <w:t>GENETIC VARIANT</w:t>
      </w:r>
    </w:p>
    <w:p w14:paraId="02BFA927" w14:textId="717BF40C"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A polymorphism or change in a DNA (or RNA) sequence</w:t>
      </w:r>
      <w:r>
        <w:t xml:space="preserve">. </w:t>
      </w:r>
      <w:r w:rsidRPr="006A6885">
        <w:rPr>
          <w:color w:val="1D1C1D"/>
        </w:rPr>
        <w:t>Includes both sequence variants (such as single-nucleotide polymorphisms) and structural variants (such as chromosomal inversions, indels, and copy-number variations). Used interchangeably with “loci” in this review.</w:t>
      </w:r>
    </w:p>
    <w:p w14:paraId="0DC8EA5A" w14:textId="77777777" w:rsidR="006A6885" w:rsidRPr="006A6885" w:rsidRDefault="006A6885" w:rsidP="00115B42">
      <w:pPr>
        <w:suppressLineNumbers/>
        <w:shd w:val="clear" w:color="auto" w:fill="FFFFFF"/>
        <w:spacing w:before="0" w:after="0" w:line="360" w:lineRule="auto"/>
        <w:ind w:right="-120" w:firstLine="0"/>
        <w:rPr>
          <w:color w:val="1D1C1D"/>
        </w:rPr>
      </w:pPr>
    </w:p>
    <w:p w14:paraId="6FD3467A"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GENOME WIDE ASSOCIATION STUDY (GWAS)</w:t>
      </w:r>
    </w:p>
    <w:p w14:paraId="1743A79D" w14:textId="4911642A" w:rsidR="006A6885" w:rsidRPr="006A6885" w:rsidRDefault="006A6885" w:rsidP="00115B42">
      <w:pPr>
        <w:shd w:val="clear" w:color="auto" w:fill="FFFFFF"/>
        <w:spacing w:before="0" w:after="0" w:line="360" w:lineRule="auto"/>
        <w:ind w:right="-120" w:firstLine="0"/>
        <w:rPr>
          <w:color w:val="1D1C1D"/>
        </w:rPr>
      </w:pPr>
      <w:r w:rsidRPr="006A6885">
        <w:rPr>
          <w:color w:val="1D1C1D"/>
        </w:rPr>
        <w:t>A test for statistical relationship</w:t>
      </w:r>
      <w:r>
        <w:rPr>
          <w:color w:val="1D1C1D"/>
        </w:rPr>
        <w:t>s</w:t>
      </w:r>
      <w:r w:rsidRPr="006A6885">
        <w:rPr>
          <w:color w:val="1D1C1D"/>
        </w:rPr>
        <w:t xml:space="preserve"> between a phenotype (including disease) and the allelic/genotypic state of individuals across the entire set of sequenced loci. GWAS is “genome wide” in that associations are tested at many loci spread throughout the entire genome.</w:t>
      </w:r>
    </w:p>
    <w:p w14:paraId="1981FE17" w14:textId="77777777" w:rsidR="006A6885" w:rsidRPr="006A6885" w:rsidRDefault="006A6885" w:rsidP="00115B42">
      <w:pPr>
        <w:suppressLineNumbers/>
        <w:shd w:val="clear" w:color="auto" w:fill="FFFFFF"/>
        <w:spacing w:before="0" w:after="0" w:line="360" w:lineRule="auto"/>
        <w:ind w:right="-120" w:firstLine="0"/>
        <w:rPr>
          <w:color w:val="1D1C1D"/>
        </w:rPr>
      </w:pPr>
    </w:p>
    <w:p w14:paraId="2AFD79D8" w14:textId="77777777" w:rsidR="006A6885" w:rsidRPr="006A6885" w:rsidRDefault="006A6885" w:rsidP="00115B42">
      <w:pPr>
        <w:shd w:val="clear" w:color="auto" w:fill="FFFFFF"/>
        <w:spacing w:before="0" w:after="0" w:line="360" w:lineRule="auto"/>
        <w:ind w:right="-120" w:firstLine="0"/>
        <w:rPr>
          <w:rFonts w:eastAsia="Arial"/>
          <w:color w:val="1D1C1D"/>
        </w:rPr>
      </w:pPr>
      <w:r w:rsidRPr="006A6885">
        <w:rPr>
          <w:color w:val="1D1C1D"/>
        </w:rPr>
        <w:t>GENOTYPING</w:t>
      </w:r>
    </w:p>
    <w:p w14:paraId="593823DE" w14:textId="03BA1CB9" w:rsidR="006A6885" w:rsidRPr="006A6885" w:rsidRDefault="006A6885" w:rsidP="00115B42">
      <w:pPr>
        <w:shd w:val="clear" w:color="auto" w:fill="FFFFFF"/>
        <w:spacing w:before="0" w:after="0" w:line="360" w:lineRule="auto"/>
        <w:ind w:right="-120" w:firstLine="0"/>
        <w:rPr>
          <w:color w:val="1D1C1D"/>
        </w:rPr>
      </w:pPr>
      <w:r w:rsidRPr="006A6885">
        <w:rPr>
          <w:color w:val="1D1C1D"/>
        </w:rPr>
        <w:t>Calling the allelic states at a locus (</w:t>
      </w:r>
      <w:r w:rsidRPr="006A6885">
        <w:rPr>
          <w:i/>
          <w:iCs/>
          <w:color w:val="1D1C1D"/>
        </w:rPr>
        <w:t>e.g.</w:t>
      </w:r>
      <w:r w:rsidRPr="006A6885">
        <w:rPr>
          <w:color w:val="1D1C1D"/>
        </w:rPr>
        <w:t>, A/A, A/C, or C/C at a biallelic SNP in a diploid organism) or at many loci based on the underlying sequence data. Genotyping algorithms often consist of multiple steps</w:t>
      </w:r>
      <w:r w:rsidR="00C977DD">
        <w:rPr>
          <w:color w:val="1D1C1D"/>
        </w:rPr>
        <w:t xml:space="preserve"> during which</w:t>
      </w:r>
      <w:r w:rsidRPr="006A6885">
        <w:rPr>
          <w:color w:val="1D1C1D"/>
        </w:rPr>
        <w:t xml:space="preserve"> filtering can occur.</w:t>
      </w:r>
    </w:p>
    <w:p w14:paraId="59C4D1AA" w14:textId="77777777" w:rsidR="006A6885" w:rsidRPr="006A6885" w:rsidRDefault="006A6885" w:rsidP="00115B42">
      <w:pPr>
        <w:suppressLineNumbers/>
        <w:shd w:val="clear" w:color="auto" w:fill="FFFFFF"/>
        <w:spacing w:before="0" w:after="0" w:line="360" w:lineRule="auto"/>
        <w:ind w:right="-120" w:firstLine="0"/>
        <w:rPr>
          <w:color w:val="1D1C1D"/>
        </w:rPr>
      </w:pPr>
    </w:p>
    <w:p w14:paraId="6EAC54AD"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HARDY-WEINBERG PROPORTIONS (HWP)</w:t>
      </w:r>
    </w:p>
    <w:p w14:paraId="64395C98"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The expected frequencies of the genotypes at a given locus under Hardy-Weinberg Equilibrium (HWE). Filtering on HWP is often executed via an exact test, with loci that deviate significantly from HWP removed from subsequent analyses.</w:t>
      </w:r>
    </w:p>
    <w:p w14:paraId="07A214DB" w14:textId="77777777" w:rsidR="006A6885" w:rsidRPr="006A6885" w:rsidRDefault="006A6885" w:rsidP="00115B42">
      <w:pPr>
        <w:suppressLineNumbers/>
        <w:shd w:val="clear" w:color="auto" w:fill="FFFFFF"/>
        <w:spacing w:before="0" w:after="0" w:line="360" w:lineRule="auto"/>
        <w:ind w:right="-120" w:firstLine="0"/>
        <w:rPr>
          <w:color w:val="1D1C1D"/>
        </w:rPr>
      </w:pPr>
    </w:p>
    <w:p w14:paraId="7006BCAB"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IMPUTATION</w:t>
      </w:r>
    </w:p>
    <w:p w14:paraId="4D80E548"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The filling in of missing data for specific genotypes and/or loci by leveraging linkage disequilibrium between missing genotypes and the called genotypes at other loci. Imputation can use reference panels of well-described haplotypes to improve performance when available, usually in well-studied model organisms.</w:t>
      </w:r>
    </w:p>
    <w:p w14:paraId="64E8CA0E" w14:textId="77777777" w:rsidR="006A6885" w:rsidRPr="006A6885" w:rsidRDefault="006A6885" w:rsidP="00115B42">
      <w:pPr>
        <w:suppressLineNumbers/>
        <w:shd w:val="clear" w:color="auto" w:fill="FFFFFF"/>
        <w:spacing w:before="0" w:after="0" w:line="360" w:lineRule="auto"/>
        <w:ind w:right="-120" w:firstLine="0"/>
        <w:rPr>
          <w:color w:val="1D1C1D"/>
        </w:rPr>
      </w:pPr>
    </w:p>
    <w:p w14:paraId="519C5F30"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LINKAGE DISEQUILIBRIUM (LD)</w:t>
      </w:r>
    </w:p>
    <w:p w14:paraId="76FCA80C" w14:textId="1EAC1A5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When the genotypic state of individuals in a dataset/sample group at one locus are predictive of the genotypic state of individuals at other loci. This can be caused either by </w:t>
      </w:r>
      <w:r w:rsidRPr="006A6885">
        <w:rPr>
          <w:bCs/>
          <w:color w:val="1D1C1D"/>
        </w:rPr>
        <w:t>physical linkage,</w:t>
      </w:r>
      <w:r w:rsidRPr="006A6885">
        <w:rPr>
          <w:color w:val="1D1C1D"/>
        </w:rPr>
        <w:t xml:space="preserve"> when alleles are co-inherited due to non-independent assortment driven by physical proximity on </w:t>
      </w:r>
      <w:r w:rsidRPr="006A6885">
        <w:rPr>
          <w:color w:val="1D1C1D"/>
        </w:rPr>
        <w:lastRenderedPageBreak/>
        <w:t>a genome or other factors such as inversions</w:t>
      </w:r>
      <w:r w:rsidR="00C977DD">
        <w:rPr>
          <w:color w:val="1D1C1D"/>
        </w:rPr>
        <w:t>,</w:t>
      </w:r>
      <w:r w:rsidRPr="006A6885">
        <w:rPr>
          <w:color w:val="1D1C1D"/>
        </w:rPr>
        <w:t xml:space="preserve"> or </w:t>
      </w:r>
      <w:r w:rsidR="00C977DD">
        <w:rPr>
          <w:bCs/>
          <w:color w:val="1D1C1D"/>
        </w:rPr>
        <w:t>g</w:t>
      </w:r>
      <w:r w:rsidRPr="006A6885">
        <w:rPr>
          <w:bCs/>
          <w:color w:val="1D1C1D"/>
        </w:rPr>
        <w:t xml:space="preserve">ametic </w:t>
      </w:r>
      <w:r w:rsidR="00C977DD">
        <w:rPr>
          <w:bCs/>
          <w:color w:val="1D1C1D"/>
        </w:rPr>
        <w:t>p</w:t>
      </w:r>
      <w:r w:rsidRPr="006A6885">
        <w:rPr>
          <w:bCs/>
          <w:color w:val="1D1C1D"/>
        </w:rPr>
        <w:t xml:space="preserve">hase </w:t>
      </w:r>
      <w:r w:rsidR="00C977DD">
        <w:rPr>
          <w:bCs/>
          <w:color w:val="1D1C1D"/>
        </w:rPr>
        <w:t>d</w:t>
      </w:r>
      <w:r w:rsidRPr="006A6885">
        <w:rPr>
          <w:bCs/>
          <w:color w:val="1D1C1D"/>
        </w:rPr>
        <w:t>isequilibrium</w:t>
      </w:r>
      <w:r w:rsidRPr="006A6885">
        <w:rPr>
          <w:b/>
          <w:color w:val="1D1C1D"/>
        </w:rPr>
        <w:t xml:space="preserve">, </w:t>
      </w:r>
      <w:r w:rsidRPr="006A6885">
        <w:rPr>
          <w:color w:val="1D1C1D"/>
        </w:rPr>
        <w:t xml:space="preserve">when underlying population or family structure makes certain alleles at different loci more likely to co-occur. </w:t>
      </w:r>
    </w:p>
    <w:p w14:paraId="55C7DEFA" w14:textId="77777777" w:rsidR="006A6885" w:rsidRPr="006A6885" w:rsidRDefault="006A6885" w:rsidP="00115B42">
      <w:pPr>
        <w:suppressLineNumbers/>
        <w:shd w:val="clear" w:color="auto" w:fill="FFFFFF"/>
        <w:spacing w:before="0" w:after="0" w:line="360" w:lineRule="auto"/>
        <w:ind w:right="-120" w:firstLine="0"/>
        <w:rPr>
          <w:color w:val="1D1C1D"/>
        </w:rPr>
      </w:pPr>
    </w:p>
    <w:p w14:paraId="6FC1F828" w14:textId="77777777" w:rsidR="006A6885" w:rsidRPr="006A6885" w:rsidRDefault="006A6885" w:rsidP="00115B42">
      <w:pPr>
        <w:keepNext/>
        <w:shd w:val="clear" w:color="auto" w:fill="FFFFFF"/>
        <w:spacing w:before="0" w:after="0" w:line="360" w:lineRule="auto"/>
        <w:ind w:right="-115" w:firstLine="0"/>
        <w:rPr>
          <w:rFonts w:eastAsia="Arial"/>
          <w:color w:val="1D1C1D"/>
        </w:rPr>
      </w:pPr>
      <w:r w:rsidRPr="006A6885">
        <w:rPr>
          <w:rFonts w:eastAsia="Arial"/>
          <w:color w:val="1D1C1D"/>
        </w:rPr>
        <w:t>MAPPING QUALITY</w:t>
      </w:r>
    </w:p>
    <w:p w14:paraId="7F5A007A"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Score given to a read or other DNA sequence indicating the uniqueness of the alignment to a reference sequence; mapping quality algorithms vary between alignment programs.</w:t>
      </w:r>
    </w:p>
    <w:p w14:paraId="3AD14287" w14:textId="77777777" w:rsidR="006A6885" w:rsidRPr="006A6885" w:rsidRDefault="006A6885" w:rsidP="00115B42">
      <w:pPr>
        <w:keepNext/>
        <w:suppressLineNumbers/>
        <w:shd w:val="clear" w:color="auto" w:fill="FFFFFF"/>
        <w:spacing w:before="0" w:after="0" w:line="360" w:lineRule="auto"/>
        <w:ind w:right="-115" w:firstLine="0"/>
        <w:rPr>
          <w:color w:val="1D1C1D"/>
        </w:rPr>
      </w:pPr>
    </w:p>
    <w:p w14:paraId="08F218C7"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MINOR ALLELE COUNT (MAC)</w:t>
      </w:r>
    </w:p>
    <w:p w14:paraId="4AAD34B4" w14:textId="127DD969"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The number of </w:t>
      </w:r>
      <w:r w:rsidR="00C977DD">
        <w:rPr>
          <w:color w:val="1D1C1D"/>
        </w:rPr>
        <w:t>gene copies</w:t>
      </w:r>
      <w:r w:rsidRPr="006A6885">
        <w:rPr>
          <w:color w:val="1D1C1D"/>
        </w:rPr>
        <w:t xml:space="preserve"> or individuals carrying the minor (</w:t>
      </w:r>
      <w:r w:rsidRPr="006A6885">
        <w:rPr>
          <w:i/>
          <w:iCs/>
          <w:color w:val="1D1C1D"/>
        </w:rPr>
        <w:t xml:space="preserve">i.e. </w:t>
      </w:r>
      <w:r w:rsidRPr="006A6885">
        <w:rPr>
          <w:color w:val="1D1C1D"/>
        </w:rPr>
        <w:t>least frequent) allele at a locus.</w:t>
      </w:r>
    </w:p>
    <w:p w14:paraId="71CBAFE2" w14:textId="77777777" w:rsidR="006A6885" w:rsidRPr="006A6885" w:rsidRDefault="006A6885" w:rsidP="00115B42">
      <w:pPr>
        <w:suppressLineNumbers/>
        <w:shd w:val="clear" w:color="auto" w:fill="FFFFFF"/>
        <w:spacing w:before="0" w:after="0" w:line="360" w:lineRule="auto"/>
        <w:ind w:right="-120" w:firstLine="0"/>
        <w:rPr>
          <w:color w:val="1D1C1D"/>
        </w:rPr>
      </w:pPr>
    </w:p>
    <w:p w14:paraId="2E2770C8"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MINOR ALLELE FREQUENCY (MAF)</w:t>
      </w:r>
    </w:p>
    <w:p w14:paraId="3A1E6FEA" w14:textId="34B4EFF5"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The proportion (frequency) of the least common allele at a locus across a study or sample group. For example, if one </w:t>
      </w:r>
      <w:r w:rsidR="00C977DD">
        <w:rPr>
          <w:color w:val="1D1C1D"/>
        </w:rPr>
        <w:t xml:space="preserve">diploid </w:t>
      </w:r>
      <w:r w:rsidRPr="006A6885">
        <w:rPr>
          <w:color w:val="1D1C1D"/>
        </w:rPr>
        <w:t xml:space="preserve">individual out of </w:t>
      </w:r>
      <w:r w:rsidR="00C977DD">
        <w:rPr>
          <w:color w:val="1D1C1D"/>
        </w:rPr>
        <w:t>50</w:t>
      </w:r>
      <w:r w:rsidRPr="006A6885">
        <w:rPr>
          <w:color w:val="1D1C1D"/>
        </w:rPr>
        <w:t xml:space="preserve"> had </w:t>
      </w:r>
      <w:r w:rsidR="00C977DD">
        <w:rPr>
          <w:color w:val="1D1C1D"/>
        </w:rPr>
        <w:t xml:space="preserve">one copy of a </w:t>
      </w:r>
      <w:r w:rsidRPr="006A6885">
        <w:rPr>
          <w:color w:val="1D1C1D"/>
        </w:rPr>
        <w:t>unique allele (</w:t>
      </w:r>
      <w:r w:rsidRPr="006A6885">
        <w:rPr>
          <w:i/>
          <w:iCs/>
          <w:color w:val="1D1C1D"/>
        </w:rPr>
        <w:t>e.g.</w:t>
      </w:r>
      <w:r w:rsidRPr="006A6885">
        <w:rPr>
          <w:color w:val="1D1C1D"/>
        </w:rPr>
        <w:t>, an A instead of a T), the MAF would equal 0.01 In this review, we often refer to filtering out loci with MAFs below a given threshold as “MAF filtering”.</w:t>
      </w:r>
    </w:p>
    <w:p w14:paraId="3CB833E2" w14:textId="77777777" w:rsidR="006A6885" w:rsidRPr="006A6885" w:rsidRDefault="006A6885" w:rsidP="00115B42">
      <w:pPr>
        <w:suppressLineNumbers/>
        <w:shd w:val="clear" w:color="auto" w:fill="FFFFFF"/>
        <w:spacing w:before="0" w:after="0" w:line="360" w:lineRule="auto"/>
        <w:ind w:right="-120" w:firstLine="0"/>
        <w:rPr>
          <w:color w:val="1D1C1D"/>
        </w:rPr>
      </w:pPr>
    </w:p>
    <w:p w14:paraId="01AB30B5"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MISSING DATA</w:t>
      </w:r>
    </w:p>
    <w:p w14:paraId="1F784DCC" w14:textId="5C1179BA" w:rsidR="006A6885" w:rsidRPr="006A6885" w:rsidRDefault="006A6885" w:rsidP="00115B42">
      <w:pPr>
        <w:shd w:val="clear" w:color="auto" w:fill="FFFFFF"/>
        <w:spacing w:before="0" w:after="0" w:line="360" w:lineRule="auto"/>
        <w:ind w:right="-120" w:firstLine="0"/>
        <w:rPr>
          <w:color w:val="1D1C1D"/>
        </w:rPr>
      </w:pPr>
      <w:r w:rsidRPr="006A6885">
        <w:rPr>
          <w:color w:val="1D1C1D"/>
        </w:rPr>
        <w:t>Missing genotype calls at a specific locus or individual. Missing data can be caused by many reasons, most commonly the absence of a sufficient number of reads covering a locus to call a gen</w:t>
      </w:r>
      <w:r w:rsidR="00C977DD">
        <w:rPr>
          <w:color w:val="1D1C1D"/>
        </w:rPr>
        <w:t>otype i</w:t>
      </w:r>
      <w:r w:rsidRPr="006A6885">
        <w:rPr>
          <w:color w:val="1D1C1D"/>
        </w:rPr>
        <w:t>n an individual with any degree of confidence.</w:t>
      </w:r>
    </w:p>
    <w:p w14:paraId="654D4DDF" w14:textId="77777777" w:rsidR="006A6885" w:rsidRPr="006A6885" w:rsidRDefault="006A6885" w:rsidP="00115B42">
      <w:pPr>
        <w:suppressLineNumbers/>
        <w:shd w:val="clear" w:color="auto" w:fill="FFFFFF"/>
        <w:spacing w:before="0" w:after="0" w:line="360" w:lineRule="auto"/>
        <w:ind w:right="-120" w:firstLine="0"/>
        <w:rPr>
          <w:color w:val="1D1C1D"/>
        </w:rPr>
      </w:pPr>
    </w:p>
    <w:p w14:paraId="61B14EC8"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PARALOG</w:t>
      </w:r>
    </w:p>
    <w:p w14:paraId="6A2848A3"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A duplicated genomic region that has arisen via either the duplication of that specific region or the entire genome (</w:t>
      </w:r>
      <w:r w:rsidRPr="006A6885">
        <w:rPr>
          <w:i/>
          <w:iCs/>
          <w:color w:val="1D1C1D"/>
        </w:rPr>
        <w:t>e.g.,</w:t>
      </w:r>
      <w:r w:rsidRPr="006A6885">
        <w:rPr>
          <w:color w:val="1D1C1D"/>
        </w:rPr>
        <w:t xml:space="preserve"> genome duplication events). A type of homolog (loci identical by descent) distinct from orthologs, which arise instead due to speciation events. </w:t>
      </w:r>
    </w:p>
    <w:p w14:paraId="26778A54" w14:textId="77777777" w:rsidR="006A6885" w:rsidRPr="006A6885" w:rsidRDefault="006A6885" w:rsidP="00115B42">
      <w:pPr>
        <w:suppressLineNumbers/>
        <w:shd w:val="clear" w:color="auto" w:fill="FFFFFF"/>
        <w:spacing w:before="0" w:after="0" w:line="360" w:lineRule="auto"/>
        <w:ind w:right="-120" w:firstLine="0"/>
        <w:rPr>
          <w:color w:val="1D1C1D"/>
        </w:rPr>
      </w:pPr>
    </w:p>
    <w:p w14:paraId="53028EAF"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PCR DUPLICATE</w:t>
      </w:r>
    </w:p>
    <w:p w14:paraId="2428A512" w14:textId="5970DB8C" w:rsidR="006A6885" w:rsidRPr="006A6885" w:rsidRDefault="006A6885" w:rsidP="00115B42">
      <w:pPr>
        <w:shd w:val="clear" w:color="auto" w:fill="FFFFFF"/>
        <w:spacing w:before="0" w:after="0" w:line="360" w:lineRule="auto"/>
        <w:ind w:right="-120" w:firstLine="0"/>
        <w:rPr>
          <w:color w:val="1D1C1D"/>
        </w:rPr>
      </w:pPr>
      <w:r w:rsidRPr="006A6885">
        <w:rPr>
          <w:color w:val="1D1C1D"/>
        </w:rPr>
        <w:t>A technical duplicate resulting in spurious, usually identical read copies caused by</w:t>
      </w:r>
      <w:r w:rsidR="00C977DD">
        <w:rPr>
          <w:color w:val="1D1C1D"/>
        </w:rPr>
        <w:t xml:space="preserve"> repeatedly</w:t>
      </w:r>
      <w:r w:rsidRPr="006A6885">
        <w:rPr>
          <w:color w:val="1D1C1D"/>
        </w:rPr>
        <w:t xml:space="preserve"> sequencing the same piece of template DNA multiple times.</w:t>
      </w:r>
    </w:p>
    <w:p w14:paraId="465160AE" w14:textId="77777777" w:rsidR="006A6885" w:rsidRPr="006A6885" w:rsidRDefault="006A6885" w:rsidP="00115B42">
      <w:pPr>
        <w:suppressLineNumbers/>
        <w:shd w:val="clear" w:color="auto" w:fill="FFFFFF"/>
        <w:spacing w:before="0" w:after="0" w:line="360" w:lineRule="auto"/>
        <w:ind w:right="-120" w:firstLine="0"/>
        <w:rPr>
          <w:color w:val="1D1C1D"/>
        </w:rPr>
      </w:pPr>
    </w:p>
    <w:p w14:paraId="3AF6D571"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lastRenderedPageBreak/>
        <w:t>POPULATION STRUCTURE</w:t>
      </w:r>
    </w:p>
    <w:p w14:paraId="2A672EE9" w14:textId="77777777" w:rsidR="006A6885" w:rsidRDefault="006A6885" w:rsidP="00115B42">
      <w:pPr>
        <w:shd w:val="clear" w:color="auto" w:fill="FFFFFF"/>
        <w:spacing w:before="0" w:after="0" w:line="360" w:lineRule="auto"/>
        <w:ind w:right="-120" w:firstLine="0"/>
        <w:rPr>
          <w:color w:val="1D1C1D"/>
        </w:rPr>
      </w:pPr>
      <w:r w:rsidRPr="006A6885">
        <w:rPr>
          <w:color w:val="1D1C1D"/>
        </w:rPr>
        <w:t>Also known as population subdivision. Non-independence among individuals in a study area/region caused by within-group biases in reproduction, usually created by spatial, temporal, or behavioral separation and often responsible for creating allele frequency differences systematically across loci.</w:t>
      </w:r>
    </w:p>
    <w:p w14:paraId="7DBAFD49" w14:textId="77777777" w:rsidR="00C977DD" w:rsidRPr="006A6885" w:rsidRDefault="00C977DD" w:rsidP="00115B42">
      <w:pPr>
        <w:suppressLineNumbers/>
        <w:shd w:val="clear" w:color="auto" w:fill="FFFFFF"/>
        <w:spacing w:before="0" w:after="0" w:line="360" w:lineRule="auto"/>
        <w:ind w:right="-120" w:firstLine="0"/>
        <w:rPr>
          <w:color w:val="1D1C1D"/>
        </w:rPr>
      </w:pPr>
    </w:p>
    <w:p w14:paraId="139724A2" w14:textId="77777777" w:rsidR="00C977DD" w:rsidRPr="00C977DD" w:rsidRDefault="00C977DD" w:rsidP="00115B42">
      <w:pPr>
        <w:shd w:val="clear" w:color="auto" w:fill="FFFFFF"/>
        <w:spacing w:before="0" w:after="0" w:line="360" w:lineRule="auto"/>
        <w:ind w:right="-120" w:firstLine="0"/>
        <w:rPr>
          <w:color w:val="1D1C1D"/>
        </w:rPr>
      </w:pPr>
      <w:r w:rsidRPr="00C977DD">
        <w:rPr>
          <w:color w:val="1D1C1D"/>
        </w:rPr>
        <w:t>REDUCED-REPRESENTATION SEQUENCING</w:t>
      </w:r>
    </w:p>
    <w:p w14:paraId="0B009B91" w14:textId="2865112D" w:rsidR="006A6885" w:rsidRDefault="00C977DD" w:rsidP="00115B42">
      <w:pPr>
        <w:shd w:val="clear" w:color="auto" w:fill="FFFFFF"/>
        <w:spacing w:before="0" w:after="0" w:line="360" w:lineRule="auto"/>
        <w:ind w:right="-120" w:firstLine="0"/>
        <w:rPr>
          <w:color w:val="1D1C1D"/>
        </w:rPr>
      </w:pPr>
      <w:r w:rsidRPr="00C977DD">
        <w:rPr>
          <w:color w:val="1D1C1D"/>
        </w:rPr>
        <w:t>The sequencing of either random or targeted subsets of a genome. Common examples include Restriction-Associated Digest (RAD) sequencing, Genotyping-By-Sequencing, and targeted sequence/exon capture.</w:t>
      </w:r>
    </w:p>
    <w:p w14:paraId="34B8615C" w14:textId="77777777" w:rsidR="00C977DD" w:rsidRPr="006A6885" w:rsidRDefault="00C977DD" w:rsidP="00115B42">
      <w:pPr>
        <w:suppressLineNumbers/>
        <w:shd w:val="clear" w:color="auto" w:fill="FFFFFF"/>
        <w:spacing w:before="0" w:after="0" w:line="360" w:lineRule="auto"/>
        <w:ind w:right="-120" w:firstLine="0"/>
        <w:rPr>
          <w:color w:val="1D1C1D"/>
        </w:rPr>
      </w:pPr>
    </w:p>
    <w:p w14:paraId="315CAFD1"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REFERENCE</w:t>
      </w:r>
    </w:p>
    <w:p w14:paraId="4BD1A9DC"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A known, often well-annotated sequence to which reads can be aligned. Can be either a published reference genome or transcriptome for a species or a </w:t>
      </w:r>
      <w:r w:rsidRPr="006A6885">
        <w:rPr>
          <w:b/>
          <w:bCs/>
          <w:i/>
          <w:color w:val="1D1C1D"/>
        </w:rPr>
        <w:t xml:space="preserve">de novo </w:t>
      </w:r>
      <w:r w:rsidRPr="006A6885">
        <w:rPr>
          <w:b/>
          <w:bCs/>
          <w:iCs/>
          <w:color w:val="1D1C1D"/>
        </w:rPr>
        <w:t>reference</w:t>
      </w:r>
      <w:r w:rsidRPr="006A6885">
        <w:rPr>
          <w:color w:val="1D1C1D"/>
        </w:rPr>
        <w:t>.</w:t>
      </w:r>
    </w:p>
    <w:p w14:paraId="456E3AF5" w14:textId="77777777" w:rsidR="006A6885" w:rsidRPr="006A6885" w:rsidRDefault="006A6885" w:rsidP="00115B42">
      <w:pPr>
        <w:suppressLineNumbers/>
        <w:shd w:val="clear" w:color="auto" w:fill="FFFFFF"/>
        <w:spacing w:before="0" w:after="0" w:line="360" w:lineRule="auto"/>
        <w:ind w:right="-120" w:firstLine="0"/>
        <w:rPr>
          <w:color w:val="1D1C1D"/>
        </w:rPr>
      </w:pPr>
    </w:p>
    <w:p w14:paraId="30D8A145"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SAMPLE GROUPS</w:t>
      </w:r>
    </w:p>
    <w:p w14:paraId="01AFACDC" w14:textId="692BC1E3" w:rsidR="006A6885" w:rsidRDefault="006A6885" w:rsidP="00115B42">
      <w:pPr>
        <w:shd w:val="clear" w:color="auto" w:fill="FFFFFF"/>
        <w:spacing w:before="0" w:after="0" w:line="360" w:lineRule="auto"/>
        <w:ind w:right="-120" w:firstLine="0"/>
        <w:rPr>
          <w:color w:val="1D1C1D"/>
        </w:rPr>
      </w:pPr>
      <w:r w:rsidRPr="006A6885">
        <w:rPr>
          <w:color w:val="1D1C1D"/>
        </w:rPr>
        <w:t>Groups of samples that are not independent of each other created by natural populations, geographic or temporal variation in sampling, and/or experimental treatments.</w:t>
      </w:r>
    </w:p>
    <w:p w14:paraId="39B1CA7D" w14:textId="77777777" w:rsidR="00C977DD" w:rsidRPr="006A6885" w:rsidRDefault="00C977DD" w:rsidP="00115B42">
      <w:pPr>
        <w:suppressLineNumbers/>
        <w:shd w:val="clear" w:color="auto" w:fill="FFFFFF"/>
        <w:spacing w:before="0" w:after="0" w:line="360" w:lineRule="auto"/>
        <w:ind w:right="-120" w:firstLine="0"/>
        <w:rPr>
          <w:color w:val="1D1C1D"/>
        </w:rPr>
      </w:pPr>
    </w:p>
    <w:p w14:paraId="7AE59D31" w14:textId="2B6AB518" w:rsidR="00C977DD" w:rsidRPr="006A6885" w:rsidRDefault="00C977DD" w:rsidP="00115B42">
      <w:pPr>
        <w:shd w:val="clear" w:color="auto" w:fill="FFFFFF"/>
        <w:spacing w:before="0" w:after="0" w:line="360" w:lineRule="auto"/>
        <w:ind w:right="-120" w:firstLine="0"/>
        <w:rPr>
          <w:color w:val="1D1C1D"/>
        </w:rPr>
      </w:pPr>
      <w:r>
        <w:rPr>
          <w:color w:val="1D1C1D"/>
        </w:rPr>
        <w:t>SINGLE-NUCLEOTIDE POLYMORPHISM (SNP):</w:t>
      </w:r>
    </w:p>
    <w:p w14:paraId="55CC5B4F" w14:textId="56194253" w:rsidR="00C977DD" w:rsidRPr="006A6885" w:rsidRDefault="00C977DD" w:rsidP="00115B42">
      <w:pPr>
        <w:shd w:val="clear" w:color="auto" w:fill="FFFFFF"/>
        <w:spacing w:before="0" w:after="0" w:line="360" w:lineRule="auto"/>
        <w:ind w:right="-120" w:firstLine="0"/>
        <w:rPr>
          <w:color w:val="1D1C1D"/>
        </w:rPr>
      </w:pPr>
      <w:r w:rsidRPr="00C977DD">
        <w:rPr>
          <w:color w:val="1D1C1D"/>
        </w:rPr>
        <w:t>A genetic variant where the allelic state of the population varies at a single base-pair.</w:t>
      </w:r>
    </w:p>
    <w:p w14:paraId="4B8730C3" w14:textId="77777777" w:rsidR="006A6885" w:rsidRPr="006A6885" w:rsidRDefault="006A6885" w:rsidP="00115B42">
      <w:pPr>
        <w:suppressLineNumbers/>
        <w:shd w:val="clear" w:color="auto" w:fill="FFFFFF"/>
        <w:spacing w:before="0" w:after="0" w:line="360" w:lineRule="auto"/>
        <w:ind w:right="-120" w:firstLine="0"/>
        <w:rPr>
          <w:color w:val="1D1C1D"/>
        </w:rPr>
      </w:pPr>
    </w:p>
    <w:p w14:paraId="1C669591"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SEQUENCING DEPTH/COVERAGE</w:t>
      </w:r>
    </w:p>
    <w:p w14:paraId="2684954C"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The number of reads that were aligned to and overlap a particular genomic locus. More simply, the number of times a locus was sequenced.</w:t>
      </w:r>
    </w:p>
    <w:p w14:paraId="4760523C" w14:textId="77777777" w:rsidR="006A6885" w:rsidRPr="006A6885" w:rsidRDefault="006A6885" w:rsidP="00115B42">
      <w:pPr>
        <w:suppressLineNumbers/>
        <w:shd w:val="clear" w:color="auto" w:fill="FFFFFF"/>
        <w:spacing w:before="0" w:after="0" w:line="360" w:lineRule="auto"/>
        <w:ind w:right="-120" w:firstLine="0"/>
        <w:rPr>
          <w:color w:val="1D1C1D"/>
        </w:rPr>
      </w:pPr>
    </w:p>
    <w:p w14:paraId="553FA887"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SINGLETON</w:t>
      </w:r>
    </w:p>
    <w:p w14:paraId="06312FFE"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An allele sequenced only one time across all individuals. Sometimes alternatively defined as an allele sequenced in only one individual (which may be homozygous for that allele).</w:t>
      </w:r>
    </w:p>
    <w:p w14:paraId="280ADACC" w14:textId="77777777" w:rsidR="006A6885" w:rsidRPr="006A6885" w:rsidRDefault="006A6885" w:rsidP="00115B42">
      <w:pPr>
        <w:suppressLineNumbers/>
        <w:shd w:val="clear" w:color="auto" w:fill="FFFFFF"/>
        <w:spacing w:before="0" w:after="0" w:line="360" w:lineRule="auto"/>
        <w:ind w:right="-120" w:firstLine="0"/>
        <w:rPr>
          <w:color w:val="1D1C1D"/>
        </w:rPr>
      </w:pPr>
    </w:p>
    <w:p w14:paraId="43788E70"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lastRenderedPageBreak/>
        <w:t xml:space="preserve">SITE-FREQUENCY SPECTRUM (SFS) </w:t>
      </w:r>
    </w:p>
    <w:p w14:paraId="02FD3FB9" w14:textId="6AE71327" w:rsidR="006A6885" w:rsidRDefault="006A6885" w:rsidP="00115B42">
      <w:pPr>
        <w:shd w:val="clear" w:color="auto" w:fill="FFFFFF"/>
        <w:spacing w:before="0" w:after="0" w:line="360" w:lineRule="auto"/>
        <w:ind w:right="-120" w:firstLine="0"/>
        <w:rPr>
          <w:color w:val="1D1C1D"/>
        </w:rPr>
      </w:pPr>
      <w:r w:rsidRPr="006A6885">
        <w:rPr>
          <w:color w:val="1D1C1D"/>
        </w:rPr>
        <w:t xml:space="preserve">The distribution of allele frequencies across loci within a study or sample group. Can be either an “unfolded” or “polarized” </w:t>
      </w:r>
      <w:r w:rsidR="00C977DD">
        <w:rPr>
          <w:color w:val="1D1C1D"/>
        </w:rPr>
        <w:t xml:space="preserve">derived </w:t>
      </w:r>
      <w:r w:rsidRPr="006A6885">
        <w:rPr>
          <w:bCs/>
          <w:color w:val="1D1C1D"/>
        </w:rPr>
        <w:t>a</w:t>
      </w:r>
      <w:r w:rsidRPr="006A6885">
        <w:rPr>
          <w:color w:val="1D1C1D"/>
        </w:rPr>
        <w:t xml:space="preserve">llele frequency spectra which describe the frequency distribution of derived alleles or a “folded” or “unpolarized” </w:t>
      </w:r>
      <w:r w:rsidRPr="006A6885">
        <w:rPr>
          <w:bCs/>
          <w:color w:val="1D1C1D"/>
        </w:rPr>
        <w:t>minor</w:t>
      </w:r>
      <w:r w:rsidRPr="006A6885">
        <w:rPr>
          <w:b/>
          <w:color w:val="1D1C1D"/>
        </w:rPr>
        <w:t xml:space="preserve"> </w:t>
      </w:r>
      <w:r w:rsidRPr="006A6885">
        <w:rPr>
          <w:color w:val="1D1C1D"/>
        </w:rPr>
        <w:t xml:space="preserve">allele </w:t>
      </w:r>
      <w:r w:rsidR="00C977DD">
        <w:rPr>
          <w:color w:val="1D1C1D"/>
        </w:rPr>
        <w:t xml:space="preserve">frequency </w:t>
      </w:r>
      <w:r w:rsidRPr="006A6885">
        <w:rPr>
          <w:color w:val="1D1C1D"/>
        </w:rPr>
        <w:t>spectra which describes the frequency distribution of the minor alleles. Also known as the allele frequency distribution.</w:t>
      </w:r>
    </w:p>
    <w:p w14:paraId="17D5120D" w14:textId="77777777" w:rsidR="00C977DD" w:rsidRPr="006A6885" w:rsidRDefault="00C977DD" w:rsidP="00115B42">
      <w:pPr>
        <w:suppressLineNumbers/>
        <w:shd w:val="clear" w:color="auto" w:fill="FFFFFF"/>
        <w:spacing w:before="0" w:after="0" w:line="360" w:lineRule="auto"/>
        <w:ind w:right="-120" w:firstLine="0"/>
        <w:rPr>
          <w:color w:val="1D1C1D"/>
        </w:rPr>
      </w:pPr>
    </w:p>
    <w:p w14:paraId="3558FF74" w14:textId="77777777" w:rsidR="00C977DD" w:rsidRDefault="00C977DD" w:rsidP="00115B42">
      <w:pPr>
        <w:shd w:val="clear" w:color="auto" w:fill="FFFFFF"/>
        <w:spacing w:before="0" w:after="0" w:line="360" w:lineRule="auto"/>
        <w:ind w:right="-120" w:firstLine="0"/>
        <w:rPr>
          <w:color w:val="1D1C1D"/>
        </w:rPr>
      </w:pPr>
      <w:r>
        <w:rPr>
          <w:color w:val="1D1C1D"/>
        </w:rPr>
        <w:t>STRUCTURAL VARIANTS</w:t>
      </w:r>
    </w:p>
    <w:p w14:paraId="4882584D" w14:textId="0A8898C2" w:rsidR="006A6885" w:rsidRDefault="00C977DD" w:rsidP="00115B42">
      <w:pPr>
        <w:shd w:val="clear" w:color="auto" w:fill="FFFFFF"/>
        <w:spacing w:before="0" w:after="0" w:line="360" w:lineRule="auto"/>
        <w:ind w:right="-120" w:firstLine="0"/>
        <w:rPr>
          <w:color w:val="1D1C1D"/>
        </w:rPr>
      </w:pPr>
      <w:r w:rsidRPr="00C977DD">
        <w:rPr>
          <w:color w:val="1D1C1D"/>
        </w:rPr>
        <w:t xml:space="preserve"> Genetic variants which are caused by underlying variation in the order, number, and/or arrangement of loci. Copy number variations, paralogs, and indels all fall into this category. Sequence variations, where individual or series base-pairs change without changing genomic positions or counts, do not.</w:t>
      </w:r>
    </w:p>
    <w:p w14:paraId="1EDB1849" w14:textId="77777777" w:rsidR="00C977DD" w:rsidRPr="006A6885" w:rsidRDefault="00C977DD" w:rsidP="00115B42">
      <w:pPr>
        <w:suppressLineNumbers/>
        <w:shd w:val="clear" w:color="auto" w:fill="FFFFFF"/>
        <w:spacing w:before="0" w:after="0" w:line="360" w:lineRule="auto"/>
        <w:ind w:right="-120" w:firstLine="0"/>
        <w:rPr>
          <w:color w:val="1D1C1D"/>
        </w:rPr>
      </w:pPr>
    </w:p>
    <w:p w14:paraId="4B824F60" w14:textId="77777777" w:rsidR="006A6885" w:rsidRPr="006A6885" w:rsidRDefault="006A6885" w:rsidP="00115B42">
      <w:pPr>
        <w:shd w:val="clear" w:color="auto" w:fill="FFFFFF"/>
        <w:spacing w:before="0" w:after="0" w:line="360" w:lineRule="auto"/>
        <w:ind w:right="-120" w:firstLine="0"/>
        <w:rPr>
          <w:rFonts w:eastAsia="Arial"/>
          <w:color w:val="1D1C1D"/>
        </w:rPr>
      </w:pPr>
      <w:r w:rsidRPr="006A6885">
        <w:rPr>
          <w:color w:val="1D1C1D"/>
        </w:rPr>
        <w:t>STUDY-WIDE FILTERING</w:t>
      </w:r>
    </w:p>
    <w:p w14:paraId="612BF8B4"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Applying a filtering threshold globally (across the entire data set) rather than separately within each sample group. </w:t>
      </w:r>
    </w:p>
    <w:p w14:paraId="6EF101A1" w14:textId="77777777" w:rsidR="006A6885" w:rsidRPr="006A6885" w:rsidRDefault="006A6885" w:rsidP="00115B42">
      <w:pPr>
        <w:suppressLineNumbers/>
        <w:shd w:val="clear" w:color="auto" w:fill="FFFFFF"/>
        <w:spacing w:before="0" w:after="0" w:line="360" w:lineRule="auto"/>
        <w:ind w:right="-120" w:firstLine="0"/>
        <w:rPr>
          <w:color w:val="1D1C1D"/>
        </w:rPr>
      </w:pPr>
    </w:p>
    <w:p w14:paraId="2ED88170"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WAHLUND EFFECT</w:t>
      </w:r>
    </w:p>
    <w:p w14:paraId="42EA7A95"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A reduction in observed homozygosity (</w:t>
      </w:r>
      <m:oMath>
        <m:r>
          <w:rPr>
            <w:rFonts w:ascii="Cambria Math" w:hAnsi="Cambria Math"/>
            <w:color w:val="1D1C1D"/>
          </w:rPr>
          <m:t>Ho&gt;He</m:t>
        </m:r>
      </m:oMath>
      <w:r w:rsidRPr="006A6885">
        <w:rPr>
          <w:color w:val="1D1C1D"/>
        </w:rPr>
        <w:t xml:space="preserve">) at many/most loci caused by underlying population structure. When multiple (sub)populations are included in a sample, any differences in allele frequency between (sub)populations will cause there to be considerably more homozygous individuals at those loci than would be expected under HWE (causing an elevated </w:t>
      </w:r>
      <w:r w:rsidRPr="006A6885">
        <w:rPr>
          <w:i/>
          <w:iCs/>
          <w:color w:val="1D1C1D"/>
        </w:rPr>
        <w:t>F</w:t>
      </w:r>
      <w:r w:rsidRPr="006A6885">
        <w:rPr>
          <w:color w:val="1D1C1D"/>
          <w:vertAlign w:val="subscript"/>
        </w:rPr>
        <w:t>IS</w:t>
      </w:r>
      <w:r w:rsidRPr="006A6885">
        <w:rPr>
          <w:color w:val="1D1C1D"/>
        </w:rPr>
        <w:t>, the reduction in heterozygosity within individuals relative expected heterozygosity). Note that this observation is what underlies the differentiation measure</w:t>
      </w:r>
      <w:r w:rsidRPr="006A6885">
        <w:rPr>
          <w:i/>
          <w:iCs/>
          <w:color w:val="1D1C1D"/>
        </w:rPr>
        <w:t xml:space="preserve"> F</w:t>
      </w:r>
      <w:r w:rsidRPr="006A6885">
        <w:rPr>
          <w:color w:val="1D1C1D"/>
          <w:vertAlign w:val="subscript"/>
        </w:rPr>
        <w:t>ST</w:t>
      </w:r>
      <w:r w:rsidRPr="006A6885">
        <w:rPr>
          <w:color w:val="1D1C1D"/>
        </w:rPr>
        <w:t xml:space="preserve"> when populations are split and could thus be described as </w:t>
      </w:r>
      <w:r w:rsidRPr="006A6885">
        <w:rPr>
          <w:i/>
          <w:iCs/>
          <w:color w:val="1D1C1D"/>
        </w:rPr>
        <w:t>F</w:t>
      </w:r>
      <w:r w:rsidRPr="006A6885">
        <w:rPr>
          <w:color w:val="1D1C1D"/>
          <w:vertAlign w:val="subscript"/>
        </w:rPr>
        <w:t>ST</w:t>
      </w:r>
      <w:r w:rsidRPr="006A6885">
        <w:rPr>
          <w:color w:val="1D1C1D"/>
        </w:rPr>
        <w:t xml:space="preserve"> improperly calculated as </w:t>
      </w:r>
      <w:r w:rsidRPr="006A6885">
        <w:rPr>
          <w:i/>
          <w:iCs/>
          <w:color w:val="1D1C1D"/>
        </w:rPr>
        <w:t>F</w:t>
      </w:r>
      <w:r w:rsidRPr="006A6885">
        <w:rPr>
          <w:color w:val="1D1C1D"/>
          <w:vertAlign w:val="subscript"/>
        </w:rPr>
        <w:t>IS</w:t>
      </w:r>
      <w:r w:rsidRPr="006A6885">
        <w:rPr>
          <w:color w:val="1D1C1D"/>
        </w:rPr>
        <w:t>.</w:t>
      </w:r>
    </w:p>
    <w:p w14:paraId="386D7840" w14:textId="77777777" w:rsidR="006A6885" w:rsidRPr="006A6885" w:rsidRDefault="006A6885" w:rsidP="00115B42">
      <w:pPr>
        <w:suppressLineNumbers/>
        <w:shd w:val="clear" w:color="auto" w:fill="FFFFFF"/>
        <w:spacing w:before="0" w:after="0" w:line="360" w:lineRule="auto"/>
        <w:ind w:right="-120" w:firstLine="0"/>
        <w:rPr>
          <w:color w:val="1D1C1D"/>
        </w:rPr>
      </w:pPr>
    </w:p>
    <w:p w14:paraId="5AAB0C16"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WITHIN-GROUP FILTERING</w:t>
      </w:r>
    </w:p>
    <w:p w14:paraId="6EFB83DA" w14:textId="77777777" w:rsidR="006A6885" w:rsidRPr="006A6885" w:rsidRDefault="006A6885" w:rsidP="00115B42">
      <w:pPr>
        <w:widowControl w:val="0"/>
        <w:spacing w:before="0" w:after="0" w:line="360" w:lineRule="auto"/>
        <w:ind w:firstLine="0"/>
        <w:rPr>
          <w:color w:val="1D1C1D"/>
        </w:rPr>
      </w:pPr>
      <w:r w:rsidRPr="006A6885">
        <w:rPr>
          <w:color w:val="1D1C1D"/>
        </w:rPr>
        <w:t xml:space="preserve">Applying a filtering threshold within groups separately rather than globally. </w:t>
      </w:r>
    </w:p>
    <w:p w14:paraId="41FE368F" w14:textId="77777777" w:rsidR="006A6885" w:rsidRPr="006A6885" w:rsidRDefault="006A6885" w:rsidP="00115B42">
      <w:pPr>
        <w:widowControl w:val="0"/>
        <w:suppressLineNumbers/>
        <w:spacing w:before="0" w:after="0" w:line="360" w:lineRule="auto"/>
        <w:ind w:firstLine="0"/>
        <w:rPr>
          <w:color w:val="1D1C1D"/>
        </w:rPr>
      </w:pPr>
    </w:p>
    <w:p w14:paraId="507FE93C" w14:textId="77777777" w:rsidR="006A6885" w:rsidRPr="006A6885" w:rsidRDefault="006A6885" w:rsidP="00115B42">
      <w:pPr>
        <w:keepNext/>
        <w:widowControl w:val="0"/>
        <w:spacing w:before="0" w:after="0" w:line="360" w:lineRule="auto"/>
        <w:ind w:firstLine="0"/>
        <w:rPr>
          <w:color w:val="1D1C1D"/>
        </w:rPr>
      </w:pPr>
      <w:r w:rsidRPr="006A6885">
        <w:rPr>
          <w:color w:val="1D1C1D"/>
        </w:rPr>
        <w:lastRenderedPageBreak/>
        <w:t>WHOLE-GENOME SEQUENCING</w:t>
      </w:r>
    </w:p>
    <w:p w14:paraId="75297656" w14:textId="0F33A252" w:rsidR="00367E56" w:rsidRPr="00422BE2" w:rsidRDefault="006A6885" w:rsidP="00115B42">
      <w:pPr>
        <w:keepNext/>
        <w:spacing w:before="0" w:after="160" w:line="360" w:lineRule="auto"/>
        <w:ind w:firstLine="0"/>
      </w:pPr>
      <w:r w:rsidRPr="006A6885">
        <w:rPr>
          <w:color w:val="1D1C1D"/>
        </w:rPr>
        <w:t>Sequencing the entire genome without any attempt to target specific regions (in contrast to reduced-representation sequencing). Usually entails “shotgun” sequencing and results in many more sequenced loci than reduced representation sequencing.</w:t>
      </w:r>
    </w:p>
    <w:p w14:paraId="52ADCAA9" w14:textId="77777777" w:rsidR="00367E56" w:rsidRPr="00422BE2" w:rsidRDefault="00367E56" w:rsidP="003F76ED">
      <w:pPr>
        <w:suppressLineNumbers/>
        <w:rPr>
          <w:color w:val="2F5496"/>
        </w:rPr>
      </w:pPr>
      <w:r w:rsidRPr="00422BE2">
        <w:br w:type="page"/>
      </w:r>
    </w:p>
    <w:p w14:paraId="70449453" w14:textId="77777777" w:rsidR="00367E56" w:rsidRPr="00C977DD" w:rsidRDefault="00367E56" w:rsidP="001F6002">
      <w:pPr>
        <w:spacing w:line="240" w:lineRule="auto"/>
        <w:ind w:firstLine="0"/>
        <w:rPr>
          <w:b/>
          <w:bCs/>
        </w:rPr>
      </w:pPr>
      <w:r w:rsidRPr="00C977DD">
        <w:rPr>
          <w:b/>
          <w:bCs/>
        </w:rPr>
        <w:lastRenderedPageBreak/>
        <w:t>Box 1: Literature Review of Current Filtering Practices</w:t>
      </w:r>
    </w:p>
    <w:p w14:paraId="0A5773E2" w14:textId="547871C6" w:rsidR="00C977DD" w:rsidRDefault="00367E56" w:rsidP="001F6002">
      <w:pPr>
        <w:ind w:firstLine="0"/>
      </w:pPr>
      <w:r w:rsidRPr="00422BE2">
        <w:t xml:space="preserve">Researchers are </w:t>
      </w:r>
      <w:r>
        <w:t xml:space="preserve">often </w:t>
      </w:r>
      <w:r w:rsidRPr="00422BE2">
        <w:t>confronted with a multitude of choices when filtering genomic data, not only with respect to which filter(s) to use, but which values (or thresholds) to use for each filter (Fig. 3). We conducted a literature review of 17</w:t>
      </w:r>
      <w:r>
        <w:t>3</w:t>
      </w:r>
      <w:r w:rsidRPr="00422BE2">
        <w:t xml:space="preserve"> papers </w:t>
      </w:r>
      <w:r w:rsidR="008D4E2D">
        <w:t>(</w:t>
      </w:r>
      <w:r w:rsidR="00A0239A">
        <w:t>most</w:t>
      </w:r>
      <w:r w:rsidR="008D4E2D">
        <w:t>ly</w:t>
      </w:r>
      <w:r w:rsidR="00A0239A">
        <w:t xml:space="preserve"> published </w:t>
      </w:r>
      <w:r w:rsidR="0060295E">
        <w:t>between 2018 and 2023</w:t>
      </w:r>
      <w:r w:rsidRPr="00422BE2">
        <w:t xml:space="preserve"> years</w:t>
      </w:r>
      <w:r w:rsidR="0060295E">
        <w:t>;</w:t>
      </w:r>
      <w:r w:rsidR="008D4E2D">
        <w:t xml:space="preserve"> </w:t>
      </w:r>
      <w:r w:rsidR="0060295E">
        <w:t>Table</w:t>
      </w:r>
      <w:r w:rsidR="004D4CC4">
        <w:t xml:space="preserve"> S1</w:t>
      </w:r>
      <w:r w:rsidR="00A0239A">
        <w:t>)</w:t>
      </w:r>
      <w:r w:rsidRPr="00422BE2">
        <w:t xml:space="preserve"> that analyzed genomic data (in the fields of agriculture/domestication, biodiversity studies, and human health) to quantify the reporting of filters and values chosen for each filter (see Supplemental Materials for a description on how the literature search was conducted</w:t>
      </w:r>
      <w:r w:rsidR="00DA2DF2">
        <w:t xml:space="preserve"> and additional analyses</w:t>
      </w:r>
      <w:r w:rsidRPr="00422BE2">
        <w:t>).</w:t>
      </w:r>
    </w:p>
    <w:p w14:paraId="020C234E" w14:textId="5F4D4183" w:rsidR="00B036CB" w:rsidRDefault="00C977DD" w:rsidP="001F6002">
      <w:r>
        <w:t>We quantified the parameter choices of five commonly applied filters in genomic datasets</w:t>
      </w:r>
      <w:r w:rsidR="00BF108F">
        <w:t xml:space="preserve">: </w:t>
      </w:r>
      <w:r w:rsidR="00367E56">
        <w:t>minor allele frequency (panel B), Hardy-Weinberg proportions (panel C), linkage disequilibrium (panel D), missing data per individual (panel E), and missing data per locus (panel F)</w:t>
      </w:r>
      <w:r w:rsidR="00BF108F">
        <w:t xml:space="preserve">. </w:t>
      </w:r>
      <w:r w:rsidR="00BF108F" w:rsidRPr="00422BE2">
        <w:t xml:space="preserve">Depending on the </w:t>
      </w:r>
      <w:r w:rsidR="00BF108F">
        <w:t xml:space="preserve">specific </w:t>
      </w:r>
      <w:r w:rsidR="00BF108F" w:rsidRPr="00422BE2">
        <w:t>filter, 17-56% of studies did not mention or provide details on how or if the filter was implemented (</w:t>
      </w:r>
      <w:r w:rsidR="00BF108F">
        <w:t>panel A</w:t>
      </w:r>
      <w:r w:rsidR="00BF108F" w:rsidRPr="00422BE2">
        <w:t>).</w:t>
      </w:r>
      <w:r w:rsidR="00BF108F">
        <w:t xml:space="preserve"> </w:t>
      </w:r>
      <w:r w:rsidR="00367E56" w:rsidRPr="00422BE2">
        <w:t>For each of the filters we surveyed, a wide range of values were implemented a</w:t>
      </w:r>
      <w:r w:rsidR="008D4E2D">
        <w:t>mong</w:t>
      </w:r>
      <w:r w:rsidR="00367E56" w:rsidRPr="00422BE2">
        <w:t xml:space="preserve"> studies.</w:t>
      </w:r>
      <w:r w:rsidR="00367E56">
        <w:t xml:space="preserve"> Filters for </w:t>
      </w:r>
      <w:r w:rsidR="00367E56" w:rsidRPr="00422BE2">
        <w:t>MAF values ranged from 0.00</w:t>
      </w:r>
      <w:r w:rsidR="00367E56">
        <w:t>1</w:t>
      </w:r>
      <w:r w:rsidR="00367E56" w:rsidRPr="00422BE2">
        <w:t xml:space="preserve"> - 0.10, per-locus missing data levels varied from 0 - 90%, and Hardy-Weinberg proportion significance levels ranged from </w:t>
      </w:r>
      <w:r w:rsidR="00367E56" w:rsidRPr="00422BE2">
        <w:rPr>
          <w:i/>
        </w:rPr>
        <w:t>p</w:t>
      </w:r>
      <w:r w:rsidR="00367E56" w:rsidRPr="00422BE2">
        <w:t xml:space="preserve"> &lt; 1</w:t>
      </w:r>
      <w:r w:rsidR="00367E56">
        <w:t>x10</w:t>
      </w:r>
      <w:r w:rsidR="00367E56" w:rsidRPr="00060401">
        <w:rPr>
          <w:vertAlign w:val="superscript"/>
        </w:rPr>
        <w:t>-7</w:t>
      </w:r>
      <w:r w:rsidR="00367E56" w:rsidRPr="00422BE2">
        <w:t xml:space="preserve"> to </w:t>
      </w:r>
      <w:r w:rsidR="00367E56">
        <w:t>5x10</w:t>
      </w:r>
      <w:r w:rsidR="00367E56" w:rsidRPr="00060401">
        <w:rPr>
          <w:vertAlign w:val="superscript"/>
        </w:rPr>
        <w:t>-2</w:t>
      </w:r>
      <w:r w:rsidR="00BF108F">
        <w:t xml:space="preserve"> (</w:t>
      </w:r>
      <w:r w:rsidR="00367E56" w:rsidRPr="00422BE2">
        <w:t>often without correction for multiple testing</w:t>
      </w:r>
      <w:r w:rsidR="00BF108F">
        <w:t>, see</w:t>
      </w:r>
      <w:r w:rsidR="00367E56">
        <w:t xml:space="preserve"> panels B-F</w:t>
      </w:r>
      <w:r w:rsidR="00367E56" w:rsidRPr="00422BE2">
        <w:t>).</w:t>
      </w:r>
      <w:r w:rsidR="00367E56">
        <w:t xml:space="preserve"> </w:t>
      </w:r>
      <w:r w:rsidR="00367E56" w:rsidRPr="00422BE2">
        <w:t xml:space="preserve">In several cases, </w:t>
      </w:r>
      <w:r w:rsidR="00367E56">
        <w:t xml:space="preserve">authors provided </w:t>
      </w:r>
      <w:r w:rsidR="00367E56" w:rsidRPr="00422BE2">
        <w:t xml:space="preserve">details </w:t>
      </w:r>
      <w:r w:rsidR="00367E56">
        <w:t xml:space="preserve">that </w:t>
      </w:r>
      <w:r w:rsidR="00367E56" w:rsidRPr="00422BE2">
        <w:t>were ambiguous or insufficient. For example, “missing data” level was often mentioned without specification of per-locus or per-individual. Oftentimes, default parameter settings</w:t>
      </w:r>
      <w:r w:rsidR="00367E56">
        <w:t xml:space="preserve"> </w:t>
      </w:r>
      <w:r w:rsidR="00367E56" w:rsidRPr="00422BE2">
        <w:t>were used for each filter.</w:t>
      </w:r>
      <w:r w:rsidR="00367E56">
        <w:t xml:space="preserve"> </w:t>
      </w:r>
      <w:r w:rsidR="00367E56" w:rsidRPr="00422BE2">
        <w:t>The high number</w:t>
      </w:r>
      <w:r w:rsidR="00BF108F">
        <w:t>s</w:t>
      </w:r>
      <w:r w:rsidR="00367E56" w:rsidRPr="00422BE2">
        <w:t xml:space="preserve"> of studies not reporting their filtering choices indicate</w:t>
      </w:r>
      <w:r w:rsidR="00BF108F">
        <w:t>s</w:t>
      </w:r>
      <w:r w:rsidR="00367E56" w:rsidRPr="00422BE2">
        <w:t xml:space="preserve"> that many studies would be irreproducible given the details provided in their materials and methods sections. </w:t>
      </w:r>
    </w:p>
    <w:p w14:paraId="6DE06FB2" w14:textId="609FA030" w:rsidR="00367E56" w:rsidRDefault="00367E56" w:rsidP="001F6002">
      <w:r w:rsidRPr="00422BE2">
        <w:lastRenderedPageBreak/>
        <w:t xml:space="preserve">We suggest researchers list all filters and their specific </w:t>
      </w:r>
      <w:r w:rsidR="00BF108F">
        <w:t>thresholds</w:t>
      </w:r>
      <w:r w:rsidRPr="00422BE2">
        <w:t xml:space="preserve"> implemented, along with a (brief) justification for the selection of that </w:t>
      </w:r>
      <w:r w:rsidR="00BF108F">
        <w:t>threshold</w:t>
      </w:r>
      <w:r w:rsidRPr="00422BE2">
        <w:t xml:space="preserve"> because default values are often uninformed and/or inappropriate. Researchers should also explain if they corrected for multiple testing along with a (brief) justification for the correction method used </w:t>
      </w:r>
      <w:r>
        <w:t>(</w:t>
      </w:r>
      <w:r w:rsidRPr="00CE6DE5">
        <w:rPr>
          <w:i/>
          <w:iCs/>
        </w:rPr>
        <w:t>e.g.</w:t>
      </w:r>
      <w:r w:rsidRPr="00422BE2">
        <w:t xml:space="preserve">, Bonferroni, </w:t>
      </w:r>
      <w:r>
        <w:t>FDR</w:t>
      </w:r>
      <w:r w:rsidRPr="00422BE2">
        <w:t>, etc.</w:t>
      </w:r>
      <w:r>
        <w:t xml:space="preserve">; </w:t>
      </w:r>
      <w:r w:rsidR="00BF108F">
        <w:t xml:space="preserve">see </w:t>
      </w:r>
      <w:r w:rsidRPr="00422BE2">
        <w:t>Sethuraman et al. 2019</w:t>
      </w:r>
      <w:r w:rsidR="00BF108F">
        <w:fldChar w:fldCharType="begin"/>
      </w:r>
      <w:r w:rsidR="00BF108F">
        <w:instrText xml:space="preserve"> ADDIN ZOTERO_ITEM CSL_CITATION {"citationID":"ILN7x6sw","properties":{"formattedCitation":"\\super 46\\nosupersub{}","plainCitation":"46","noteIndex":0},"citationItems":[{"id":5508,"uris":["http://zotero.org/users/10196124/items/5JYFX8S6"],"itemData":{"id":5508,"type":"article-journal","abstract":"Abstract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BF108F">
        <w:fldChar w:fldCharType="separate"/>
      </w:r>
      <w:r w:rsidR="00BF108F" w:rsidRPr="00BF108F">
        <w:rPr>
          <w:vertAlign w:val="superscript"/>
        </w:rPr>
        <w:t>46</w:t>
      </w:r>
      <w:r w:rsidR="00BF108F">
        <w:fldChar w:fldCharType="end"/>
      </w:r>
      <w:r w:rsidRPr="00422BE2">
        <w:t>).</w:t>
      </w:r>
    </w:p>
    <w:p w14:paraId="5629F54D" w14:textId="77777777" w:rsidR="00367E56" w:rsidRDefault="00367E56" w:rsidP="001F6002">
      <w:pPr>
        <w:suppressLineNumbers/>
        <w:ind w:firstLine="0"/>
        <w:rPr>
          <w:color w:val="2F5496"/>
          <w:sz w:val="32"/>
          <w:szCs w:val="32"/>
        </w:rPr>
      </w:pPr>
      <w:r>
        <w:rPr>
          <w:noProof/>
          <w:color w:val="2F5496"/>
          <w:sz w:val="32"/>
          <w:szCs w:val="32"/>
        </w:rPr>
        <w:lastRenderedPageBreak/>
        <w:drawing>
          <wp:inline distT="114300" distB="114300" distL="114300" distR="114300" wp14:anchorId="3F01A9E0" wp14:editId="0CA608D4">
            <wp:extent cx="5707380" cy="6281090"/>
            <wp:effectExtent l="0" t="0" r="7620" b="5715"/>
            <wp:docPr id="2" name="image3.png" descr="A collage of graph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ollage of graphs&#10;&#10;Description automatically generated"/>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708888" cy="6282750"/>
                    </a:xfrm>
                    <a:prstGeom prst="rect">
                      <a:avLst/>
                    </a:prstGeom>
                    <a:ln/>
                  </pic:spPr>
                </pic:pic>
              </a:graphicData>
            </a:graphic>
          </wp:inline>
        </w:drawing>
      </w:r>
    </w:p>
    <w:p w14:paraId="22B46BB5" w14:textId="225E59EE" w:rsidR="00367E56" w:rsidRPr="001F6002" w:rsidRDefault="00367E56" w:rsidP="001F6002">
      <w:pPr>
        <w:spacing w:line="240" w:lineRule="auto"/>
        <w:ind w:firstLine="0"/>
        <w:rPr>
          <w:b/>
          <w:bCs/>
          <w:sz w:val="28"/>
          <w:szCs w:val="28"/>
        </w:rPr>
      </w:pPr>
      <w:r w:rsidRPr="001F6002">
        <w:rPr>
          <w:b/>
          <w:bCs/>
          <w:sz w:val="28"/>
          <w:szCs w:val="28"/>
        </w:rPr>
        <w:t>Box 2: Effects of Filtering</w:t>
      </w:r>
    </w:p>
    <w:p w14:paraId="7E94C555" w14:textId="736251C4" w:rsidR="00367E56" w:rsidRPr="00B917EF" w:rsidRDefault="00367E56" w:rsidP="001F6002">
      <w:pPr>
        <w:ind w:firstLine="0"/>
      </w:pPr>
      <w:r w:rsidRPr="00B917EF">
        <w:t>Genomic filtering choices can have substantial effects on downstream analyses that are not necessarily consistent across samples, populations, or statistical methods. We used three existing datasets (monarch butterflies</w:t>
      </w:r>
      <w:r w:rsidR="00535255">
        <w:fldChar w:fldCharType="begin"/>
      </w:r>
      <w:r w:rsidR="00C16345">
        <w:instrText xml:space="preserve"> ADDIN ZOTERO_ITEM CSL_CITATION {"citationID":"4Y0WshRH","properties":{"formattedCitation":"\\super 95\\nosupersub{}","plainCitation":"95","noteIndex":0},"citationItems":[{"id":2536,"uris":["http://zotero.org/users/10196124/items/L2KYM4TL"],"itemData":{"id":2536,"type":"article-journal","abstract":"Abstract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535255">
        <w:fldChar w:fldCharType="separate"/>
      </w:r>
      <w:r w:rsidR="00C16345" w:rsidRPr="00C16345">
        <w:rPr>
          <w:vertAlign w:val="superscript"/>
        </w:rPr>
        <w:t>95</w:t>
      </w:r>
      <w:r w:rsidR="00535255">
        <w:fldChar w:fldCharType="end"/>
      </w:r>
      <w:r w:rsidRPr="00B917EF">
        <w:t>; cutthroat trout</w:t>
      </w:r>
      <w:r w:rsidR="00535255">
        <w:fldChar w:fldCharType="begin"/>
      </w:r>
      <w:r w:rsidR="00C16345">
        <w:instrText xml:space="preserve"> ADDIN ZOTERO_ITEM CSL_CITATION {"citationID":"xts0V2CJ","properties":{"formattedCitation":"\\super 106\\nosupersub{}","plainCitation":"106","noteIndex":0},"citationItems":[{"id":2545,"uris":["http://zotero.org/users/10196124/items/VL4GG6FG"],"itemData":{"id":2545,"type":"article-journal","abstract":"Abstract The current extinction crisis requires effective assessment and monitoring tools. Genetic approaches are appealing given the relative ease of field sampling required to estimate genetic diversity characteristics assumed related to population size, evolutionary potential, and extinction risk, and to evaluate hybridization with non-native species simultaneously. However, linkages between population genetic metrics of diversity from survey-style field collections and demographic estimates of population size and extinction risk are still in need of empirical examples, especially for remotely distributed species of conservation concern where the approach might be most beneficial. We capitalized on an exceptional opportunity to evaluate congruence between genetic diversity metrics and demographic-based estimates of abundance and extinction risk from a comprehensive Multiple Population Viability Analysis (MPVA) in a threatened fish, the Lahontan cutthroat trout (LCT). We sequenced non-native trout reference samples and recently collected and archived tissue samples of most remaining populations of LCT (N = 60) and estimated common genetic assessment metrics, predicting minimal hybridization with non-native trout, low diversity, and declining diversity over time. We further hypothesized genetic metrics would correlate positively with MPVA-estimated abundance and negatively with extinction probability. We uncovered several instances of hybridization that pointed to immediate management needs. After removing hybridized individuals, cautious interpretation of low effective population sizes (2?63) suggested reduced evolutionary potential for many LCT populations. Other genetic metrics did not decline over time nor correlate with MPVA-based estimates of harmonic mean abundance or 30-year extinction probability. Our results demonstrate benefits of genetic monitoring for efficiently detecting hybridization and, though genetic results were disconnected from demographic assessment of conservation status, they suggest reduced evolutionary potential and likely a higher conservation risk than currently recognized for this threatened fish. We emphasize that genetic information provides essential complementary insight, in addition to demographic information, for evaluating species status.","container-title":"Evolutionary Applications","DOI":"https://doi.org/10.1111/eva.13473","ISSN":"1752-4571","issue":"9","note":"publisher: John Wiley &amp; Sons, Ltd\nCitation Key: Hemstrom2022","page":"1449-1468","title":"Population genomic monitoring provides insight into conservation status but no correlation with demographic estimates of extinction risk in a threatened trout","volume":"15","author":[{"family":"Hemstrom","given":"William"},{"family":"Dauwalter","given":"Daniel"},{"family":"Peacock","given":"Mary M"},{"family":"Leasure","given":"Douglas"},{"family":"Wenger","given":"Seth"},{"family":"Miller","given":"Michael R"},{"family":"Neville","given":"Helen"}],"issued":{"date-parts":[["2022",9,1]]},"citation-key":"Hemstrom2022"}}],"schema":"https://github.com/citation-style-language/schema/raw/master/csl-citation.json"} </w:instrText>
      </w:r>
      <w:r w:rsidR="00535255">
        <w:fldChar w:fldCharType="separate"/>
      </w:r>
      <w:r w:rsidR="00C16345" w:rsidRPr="00C16345">
        <w:rPr>
          <w:vertAlign w:val="superscript"/>
        </w:rPr>
        <w:t>106</w:t>
      </w:r>
      <w:r w:rsidR="00535255">
        <w:fldChar w:fldCharType="end"/>
      </w:r>
      <w:r w:rsidRPr="00B917EF">
        <w:t>; yellow perch</w:t>
      </w:r>
      <w:r w:rsidR="004D4CC4">
        <w:fldChar w:fldCharType="begin"/>
      </w:r>
      <w:r w:rsidR="004D4CC4">
        <w:instrText xml:space="preserve"> ADDIN ZOTERO_ITEM CSL_CITATION {"citationID":"ouIKsgOQ","properties":{"formattedCitation":"\\super 70\\nosupersub{}","plainCitation":"70","noteIndex":0},"citationItems":[{"id":5534,"uris":["http://zotero.org/users/10196124/items/XGGCK56L"],"itemData":{"id":5534,"type":"article-journal","abstract":"Abstract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D4CC4">
        <w:fldChar w:fldCharType="separate"/>
      </w:r>
      <w:r w:rsidR="004D4CC4" w:rsidRPr="004D4CC4">
        <w:rPr>
          <w:vertAlign w:val="superscript"/>
        </w:rPr>
        <w:t>70</w:t>
      </w:r>
      <w:r w:rsidR="004D4CC4">
        <w:fldChar w:fldCharType="end"/>
      </w:r>
      <w:r w:rsidR="004D4CC4">
        <w:t xml:space="preserve"> </w:t>
      </w:r>
      <w:r w:rsidRPr="00B917EF">
        <w:t xml:space="preserve">to demonstrate how different </w:t>
      </w:r>
      <w:r w:rsidRPr="00B917EF">
        <w:lastRenderedPageBreak/>
        <w:t xml:space="preserve">MAF (panel A) or missing data filters (panel B) can affect estimates of pairwise </w:t>
      </w:r>
      <w:r w:rsidRPr="00420130">
        <w:rPr>
          <w:i/>
          <w:iCs/>
        </w:rPr>
        <w:t>F</w:t>
      </w:r>
      <w:r w:rsidRPr="00B80623">
        <w:rPr>
          <w:vertAlign w:val="subscript"/>
        </w:rPr>
        <w:t>ST</w:t>
      </w:r>
      <w:r w:rsidR="00535255">
        <w:rPr>
          <w:vertAlign w:val="subscript"/>
        </w:rPr>
        <w:fldChar w:fldCharType="begin"/>
      </w:r>
      <w:r w:rsidR="00724FF9">
        <w:rPr>
          <w:vertAlign w:val="subscript"/>
        </w:rPr>
        <w:instrText xml:space="preserve"> ADDIN ZOTERO_ITEM CSL_CITATION {"citationID":"mzWUz7xK","properties":{"formattedCitation":"\\super 63\\uc0\\u8211{}65\\nosupersub{}","plainCitation":"63–65","noteIndex":0},"citationItems":[{"id":5341,"uris":["http://zotero.org/users/10196124/items/2RY74CP6"],"itemData":{"id":5341,"type":"article-journal","abstract":"Abstract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y5pQWal7/1b7NE4bK","uris":["http://zotero.org/users/local/nWY58Val/items/TI8RSXQC"],"itemData":{"id":"ttQi3pPg/R3v3lhJh","type":"article-journal","container-title":"Nature Reviews Genetics","DOI":"10.1038/nrg2611","ISSN":"1471-0064","issue":"9","journalAbbreviation":"Nat Rev Genet","language":"en","license":"2009 Springer Nature Limited","note":"number: 9\npublisher: Nature Publishing Group","page":"639-650","source":"www.nature.com","title":"Genetics in geographically structured populations: defining, estimating and interpreting FST","title-short":"Genetics in geographically structured populations","volume":"10","author":[{"family":"Holsinger","given":"Kent E."},{"family":"Weir","given":"Bruce S."}],"issued":{"date-parts":[["2009",9]]}}},{"id":5479,"uris":["http://zotero.org/users/10196124/items/GC7SBWHF"],"itemData":{"id":5479,"type":"article-journal","abstract":"With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535255">
        <w:rPr>
          <w:vertAlign w:val="subscript"/>
        </w:rPr>
        <w:fldChar w:fldCharType="separate"/>
      </w:r>
      <w:r w:rsidR="00535255" w:rsidRPr="00535255">
        <w:rPr>
          <w:vertAlign w:val="superscript"/>
        </w:rPr>
        <w:t>63–65</w:t>
      </w:r>
      <w:r w:rsidR="00535255">
        <w:rPr>
          <w:vertAlign w:val="subscript"/>
        </w:rPr>
        <w:fldChar w:fldCharType="end"/>
      </w:r>
      <w:r w:rsidRPr="00B917EF">
        <w:t>, observed heterozygosity, the number of segregating sites (polymorphic loci</w:t>
      </w:r>
      <w:r>
        <w:t xml:space="preserve">; </w:t>
      </w:r>
      <w:proofErr w:type="spellStart"/>
      <w:r w:rsidRPr="00420130">
        <w:t>P</w:t>
      </w:r>
      <w:r w:rsidRPr="00420130">
        <w:rPr>
          <w:vertAlign w:val="subscript"/>
        </w:rPr>
        <w:t>seg</w:t>
      </w:r>
      <w:proofErr w:type="spellEnd"/>
      <w:r w:rsidRPr="00B917EF">
        <w:t>), and</w:t>
      </w:r>
      <w:r>
        <w:t xml:space="preserve"> </w:t>
      </w:r>
      <w:r w:rsidRPr="00B917EF">
        <w:t>Tajima’s D</w:t>
      </w:r>
      <w:r w:rsidR="00535255">
        <w:fldChar w:fldCharType="begin"/>
      </w:r>
      <w:r w:rsidR="00535255">
        <w:instrText xml:space="preserve"> ADDIN ZOTERO_ITEM CSL_CITATION {"citationID":"YRmB9pcX","properties":{"formattedCitation":"\\super 57\\nosupersub{}","plainCitation":"57","noteIndex":0},"citationItems":[{"id":2695,"uris":["http://zotero.org/users/10196124/items/8QHAVWFM"],"itemData":{"id":2695,"type":"article-journal","abstract":"The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535255">
        <w:fldChar w:fldCharType="separate"/>
      </w:r>
      <w:r w:rsidR="00535255" w:rsidRPr="00535255">
        <w:rPr>
          <w:vertAlign w:val="superscript"/>
        </w:rPr>
        <w:t>57</w:t>
      </w:r>
      <w:r w:rsidR="00535255">
        <w:fldChar w:fldCharType="end"/>
      </w:r>
      <w:r w:rsidRPr="00B917EF">
        <w:t>. We also show how a MAC filter can affect population structure estimates</w:t>
      </w:r>
      <w:r w:rsidR="002E40A1">
        <w:t xml:space="preserve"> </w:t>
      </w:r>
      <w:r w:rsidR="004D4CC4">
        <w:t xml:space="preserve">using the same monarch data filtered with a MAC of </w:t>
      </w:r>
      <w:r w:rsidR="004D4CC4" w:rsidRPr="00420130">
        <w:t>between 0 and 11</w:t>
      </w:r>
      <w:r w:rsidRPr="00420130">
        <w:t>(</w:t>
      </w:r>
      <w:r w:rsidR="004D4CC4">
        <w:t>reproducing methods</w:t>
      </w:r>
      <w:r w:rsidR="004D4CC4" w:rsidRPr="00420130">
        <w:t xml:space="preserve"> </w:t>
      </w:r>
      <w:r w:rsidR="004D4CC4">
        <w:t>from</w:t>
      </w:r>
      <w:r w:rsidR="004D4CC4">
        <w:fldChar w:fldCharType="begin"/>
      </w:r>
      <w:r w:rsidR="004D4CC4">
        <w:instrText xml:space="preserve"> ADDIN ZOTERO_ITEM CSL_CITATION {"citationID":"zhoH9p3r","properties":{"formattedCitation":"\\super 60\\nosupersub{}","plainCitation":"60","noteIndex":0},"citationItems":[{"id":5220,"uris":["http://zotero.org/users/10196124/items/WGHM5ZVD"],"itemData":{"id":5220,"type":"article-journal","abstract":"Abstract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4D4CC4">
        <w:fldChar w:fldCharType="separate"/>
      </w:r>
      <w:r w:rsidR="004D4CC4" w:rsidRPr="00535255">
        <w:rPr>
          <w:vertAlign w:val="superscript"/>
        </w:rPr>
        <w:t>60</w:t>
      </w:r>
      <w:r w:rsidR="004D4CC4">
        <w:fldChar w:fldCharType="end"/>
      </w:r>
      <w:r w:rsidR="004D4CC4">
        <w:t xml:space="preserve"> , see </w:t>
      </w:r>
      <w:r>
        <w:t xml:space="preserve">panel </w:t>
      </w:r>
      <w:r w:rsidRPr="00420130">
        <w:t>C)</w:t>
      </w:r>
      <w:r w:rsidR="00535255">
        <w:fldChar w:fldCharType="begin"/>
      </w:r>
      <w:r w:rsidR="00C16345">
        <w:instrText xml:space="preserve"> ADDIN ZOTERO_ITEM CSL_CITATION {"citationID":"O3z4RSfd","properties":{"formattedCitation":"\\super 107,108\\nosupersub{}","plainCitation":"107,108","noteIndex":0},"citationItems":[{"id":5346,"uris":["http://zotero.org/users/10196124/items/295NGJT4"],"itemData":{"id":5346,"type":"article-journal","abstract":"Abstract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id":2252,"uris":["http://zotero.org/users/10196124/items/VDRKWTFC"],"itemData":{"id":2252,"type":"article-journal","abstract":"Abstract The pophelper r package and web app are software tools to aid in population structure analyses. They can be used for the analyses and visualization of output generated from population assignment programs such as admixture, structure and tess. Some of the functions include parsing output run files to tabulate data, estimating K using the Evanno method, generating files for clumpp and functionality to create barplots. These functions can be streamlined into standard r analysis workflows. The latest version of the package is available on github (https://github.com/royfrancis/pophelper). An interactive web version of the pophelper package is available which covers the same functionalities as the r package version with features such as interactive plots, cluster alignment during plotting, sorting individuals and ordering of population groups. The interactive version is available at http://pophelper.com/.","container-title":"Molecular Ecology Resources","DOI":"10.1111/1755-0998.12509","ISSN":"1755-098X","issue":"1","note":"publisher: John Wiley &amp; Sons, Ltd (10.1111)\nCitation Key: Francis2017","page":"27-32","title":"pophelper: an R package and web app to analyse and visualize population structure","volume":"17","author":[{"family":"Francis","given":"R M"}],"issued":{"date-parts":[["2017",1,1]]},"citation-key":"Francis2017"}}],"schema":"https://github.com/citation-style-language/schema/raw/master/csl-citation.json"} </w:instrText>
      </w:r>
      <w:r w:rsidR="00535255">
        <w:fldChar w:fldCharType="separate"/>
      </w:r>
      <w:r w:rsidR="00C16345" w:rsidRPr="00C16345">
        <w:rPr>
          <w:vertAlign w:val="superscript"/>
        </w:rPr>
        <w:t>107,108</w:t>
      </w:r>
      <w:r w:rsidR="00535255">
        <w:fldChar w:fldCharType="end"/>
      </w:r>
      <w:r w:rsidRPr="00420130">
        <w:t>.</w:t>
      </w:r>
    </w:p>
    <w:p w14:paraId="537CC7FA" w14:textId="379D8418" w:rsidR="00B85545" w:rsidRDefault="00BF39FE" w:rsidP="00B85545">
      <w:r>
        <w:t xml:space="preserve">Our principal finding is that changing </w:t>
      </w:r>
      <w:r w:rsidR="00367E56" w:rsidRPr="00B917EF">
        <w:t>MAF</w:t>
      </w:r>
      <w:r>
        <w:t xml:space="preserve"> and missing data</w:t>
      </w:r>
      <w:r w:rsidR="00367E56" w:rsidRPr="00B917EF">
        <w:t xml:space="preserve"> </w:t>
      </w:r>
      <w:r>
        <w:t>thresholds</w:t>
      </w:r>
      <w:r w:rsidR="00367E56" w:rsidRPr="00B917EF">
        <w:t xml:space="preserve"> </w:t>
      </w:r>
      <w:r>
        <w:t>can impact different datasets and different populations within datasets unequally. For example, while the</w:t>
      </w:r>
      <w:r w:rsidR="00B85545">
        <w:t xml:space="preserve"> </w:t>
      </w:r>
      <w:r>
        <w:t xml:space="preserve">monarch and perch data were not strongly </w:t>
      </w:r>
      <w:r w:rsidR="00B85545">
        <w:t>affected</w:t>
      </w:r>
      <w:r>
        <w:t xml:space="preserve"> by increased missing data </w:t>
      </w:r>
      <w:r w:rsidR="00B85545">
        <w:t>stringency</w:t>
      </w:r>
      <w:r>
        <w:t>, outcomes from the cutthroat data changed</w:t>
      </w:r>
      <w:r w:rsidR="00B85545">
        <w:t xml:space="preserve"> unpredictably past a certain threshold. The impact of MAF threshold likewise differed between studies and populations</w:t>
      </w:r>
      <w:r w:rsidR="002E40A1">
        <w:t xml:space="preserve">: note that </w:t>
      </w:r>
      <w:r w:rsidR="00B85545">
        <w:t xml:space="preserve">the number of segregating sites plummeted </w:t>
      </w:r>
      <w:r w:rsidR="00B85545" w:rsidRPr="00B917EF">
        <w:t>with even a mild MAF filter (MAF</w:t>
      </w:r>
      <w:r w:rsidR="00B85545">
        <w:t xml:space="preserve"> &gt; 0.0125) in one specific </w:t>
      </w:r>
      <w:r w:rsidR="00B85545" w:rsidRPr="00B917EF">
        <w:t>population of monarch butterflies.</w:t>
      </w:r>
      <w:r w:rsidR="00B85545">
        <w:t xml:space="preserve"> Tajima’s D deserves particular attention: </w:t>
      </w:r>
      <w:r w:rsidR="00B85545" w:rsidRPr="00B917EF">
        <w:t>even a relatively low MAF filter (e.g., &lt; 0.01)</w:t>
      </w:r>
      <w:r w:rsidR="009C58B5">
        <w:t xml:space="preserve"> causes</w:t>
      </w:r>
      <w:r w:rsidR="00B85545" w:rsidRPr="00B917EF">
        <w:t xml:space="preserve"> </w:t>
      </w:r>
      <w:r w:rsidR="00B85545">
        <w:t>every</w:t>
      </w:r>
      <w:r w:rsidR="00B85545" w:rsidRPr="00B917EF">
        <w:t xml:space="preserve"> population in every dataset </w:t>
      </w:r>
      <w:r w:rsidR="009C58B5">
        <w:t xml:space="preserve">to </w:t>
      </w:r>
      <w:r w:rsidR="00B85545" w:rsidRPr="00B917EF">
        <w:t>flip from an “expansion” signal (D &lt; 0) to a “bottleneck” signal (D &gt; 0)</w:t>
      </w:r>
      <w:r w:rsidR="00B85545">
        <w:fldChar w:fldCharType="begin"/>
      </w:r>
      <w:r w:rsidR="00B85545">
        <w:instrText xml:space="preserve"> ADDIN ZOTERO_ITEM CSL_CITATION {"citationID":"Ejlj6qZe","properties":{"formattedCitation":"\\super 56,57\\nosupersub{}","plainCitation":"56,57","noteIndex":0},"citationItems":[{"id":5480,"uris":["http://zotero.org/users/10196124/items/FWN4DTTY"],"itemData":{"id":5480,"type":"article-journal","abstract":"Reconstructing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85545">
        <w:fldChar w:fldCharType="separate"/>
      </w:r>
      <w:r w:rsidR="00B85545" w:rsidRPr="00BF39FE">
        <w:rPr>
          <w:vertAlign w:val="superscript"/>
        </w:rPr>
        <w:t>56,57</w:t>
      </w:r>
      <w:r w:rsidR="00B85545">
        <w:fldChar w:fldCharType="end"/>
      </w:r>
      <w:r w:rsidR="00B85545" w:rsidRPr="00B917EF">
        <w:t xml:space="preserve">. </w:t>
      </w:r>
      <w:r w:rsidR="00B85545">
        <w:t xml:space="preserve">While not shown here, </w:t>
      </w:r>
      <w:r w:rsidR="00B85545" w:rsidRPr="00B917EF">
        <w:t xml:space="preserve">MAF </w:t>
      </w:r>
      <w:r w:rsidR="00B85545">
        <w:t>filtering is also of particular note in that it almost uniformly decreases</w:t>
      </w:r>
      <w:r w:rsidR="00B85545" w:rsidRPr="00B917EF">
        <w:t xml:space="preserve"> estimates of effective population size (</w:t>
      </w:r>
      <w:r w:rsidR="00B85545" w:rsidRPr="00420130">
        <w:rPr>
          <w:i/>
          <w:iCs/>
        </w:rPr>
        <w:t>N</w:t>
      </w:r>
      <w:r w:rsidR="00B85545">
        <w:rPr>
          <w:i/>
          <w:iCs/>
          <w:vertAlign w:val="subscript"/>
        </w:rPr>
        <w:t>e</w:t>
      </w:r>
      <w:r w:rsidR="00B85545" w:rsidRPr="00B917EF">
        <w:t xml:space="preserve">) </w:t>
      </w:r>
      <w:r w:rsidR="00B85545">
        <w:t>derived from LD based</w:t>
      </w:r>
      <w:r w:rsidR="00B85545" w:rsidRPr="00B917EF">
        <w:t xml:space="preserve"> approach</w:t>
      </w:r>
      <w:r w:rsidR="00B85545">
        <w:t>es</w:t>
      </w:r>
      <w:r w:rsidR="00B85545">
        <w:fldChar w:fldCharType="begin"/>
      </w:r>
      <w:r w:rsidR="00C16345">
        <w:instrText xml:space="preserve"> ADDIN ZOTERO_ITEM CSL_CITATION {"citationID":"hPhVy33C","properties":{"formattedCitation":"\\super 109\\nosupersub{}","plainCitation":"109","noteIndex":0},"citationItems":[{"id":5530,"uris":["http://zotero.org/users/10196124/items/VWNMSAY3"],"itemData":{"id":5530,"type":"article-journal","abstract":"Abstract Genetic methods are routinely used to estimate contemporary effective population size (Ne) in natural populations, but the vast majority of applications have used only the temporal (two-sample) method. We use simulated data to evaluate how highly polymorphic molecular markers affect precision and bias in the single-sample method based on linkage disequilibrium (LD). Results of this study are as follows: (1) Low-frequency alleles upwardly bias , but a simple rule can reduce bias to","container-title":"Evolutionary Applications","DOI":"10.1111/j.1752-4571.2009.00104.x","ISSN":"1752-4571","issue":"3","journalAbbreviation":"Evolutionary Applications","note":"publisher: John Wiley &amp; Sons, Ltd","page":"244-262","title":"Linkage disequilibrium estimates of contemporary Ne using highly variable genetic markers: a largely untapped resource for applied conservation and evolution","volume":"3","author":[{"family":"Waples","given":"Robin S."},{"family":"Do","given":"Chi"}],"issued":{"date-parts":[["2010",5,1]]},"citation-key":"waplesLinkageDisequilibriumEstimates2010"}}],"schema":"https://github.com/citation-style-language/schema/raw/master/csl-citation.json"} </w:instrText>
      </w:r>
      <w:r w:rsidR="00B85545">
        <w:fldChar w:fldCharType="separate"/>
      </w:r>
      <w:r w:rsidR="00C16345" w:rsidRPr="00C16345">
        <w:rPr>
          <w:vertAlign w:val="superscript"/>
        </w:rPr>
        <w:t>109</w:t>
      </w:r>
      <w:r w:rsidR="00B85545">
        <w:fldChar w:fldCharType="end"/>
      </w:r>
    </w:p>
    <w:p w14:paraId="0A2ACE8D" w14:textId="2BED98C1" w:rsidR="00B85545" w:rsidRDefault="00B85545" w:rsidP="00B85545">
      <w:r>
        <w:t>In contrast, population structure resolution</w:t>
      </w:r>
      <w:r w:rsidR="00EF66EA">
        <w:t xml:space="preserve"> (panel C)</w:t>
      </w:r>
      <w:r>
        <w:t xml:space="preserve"> increased with a higher MAF filter, consistent with previous findings</w:t>
      </w:r>
      <w:r>
        <w:fldChar w:fldCharType="begin"/>
      </w:r>
      <w:r w:rsidR="00C16345">
        <w:instrText xml:space="preserve"> ADDIN ZOTERO_ITEM CSL_CITATION {"citationID":"nja508tG","properties":{"formattedCitation":"\\super 60,63,110\\nosupersub{}","plainCitation":"60,63,110","noteIndex":0},"citationItems":[{"id":5220,"uris":["http://zotero.org/users/10196124/items/WGHM5ZVD"],"itemData":{"id":5220,"type":"article-journal","abstract":"Abstract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W."}],"issued":{"date-parts":[["2018",2,1]]},"citation-key":"hotalingDemographicModellingReveals2018"}}],"schema":"https://github.com/citation-style-language/schema/raw/master/csl-citation.json"} </w:instrText>
      </w:r>
      <w:r>
        <w:fldChar w:fldCharType="separate"/>
      </w:r>
      <w:r w:rsidR="00C16345" w:rsidRPr="00C16345">
        <w:rPr>
          <w:vertAlign w:val="superscript"/>
        </w:rPr>
        <w:t>60,63,110</w:t>
      </w:r>
      <w:r>
        <w:fldChar w:fldCharType="end"/>
      </w:r>
      <w:r>
        <w:t>. Some other methods, such as</w:t>
      </w:r>
      <w:r w:rsidRPr="00B917EF">
        <w:t xml:space="preserve"> </w:t>
      </w:r>
      <w:r w:rsidRPr="0099365B">
        <w:rPr>
          <w:i/>
          <w:iCs/>
        </w:rPr>
        <w:t>F</w:t>
      </w:r>
      <w:r w:rsidRPr="00B80623">
        <w:rPr>
          <w:vertAlign w:val="subscript"/>
        </w:rPr>
        <w:t>ST</w:t>
      </w:r>
      <w:r w:rsidRPr="00B917EF">
        <w:t xml:space="preserve"> outlier detection</w:t>
      </w:r>
      <w:r>
        <w:fldChar w:fldCharType="begin"/>
      </w:r>
      <w:r w:rsidR="00C16345">
        <w:instrText xml:space="preserve"> ADDIN ZOTERO_ITEM CSL_CITATION {"citationID":"nb2NUaBu","properties":{"formattedCitation":"\\super 111\\nosupersub{}","plainCitation":"111","noteIndex":0},"citationItems":[{"id":5532,"uris":["http://zotero.org/users/10196124/items/MH74CP26"],"itemData":{"id":5532,"type":"article-journal","abstract":"AbstractLoci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fldChar w:fldCharType="separate"/>
      </w:r>
      <w:r w:rsidR="00C16345" w:rsidRPr="00C16345">
        <w:rPr>
          <w:vertAlign w:val="superscript"/>
        </w:rPr>
        <w:t>111</w:t>
      </w:r>
      <w:r>
        <w:fldChar w:fldCharType="end"/>
      </w:r>
      <w:r w:rsidR="009C58B5">
        <w:t xml:space="preserve">, </w:t>
      </w:r>
      <w:r w:rsidRPr="00B917EF">
        <w:t xml:space="preserve">GWAS </w:t>
      </w:r>
      <w:r>
        <w:fldChar w:fldCharType="begin"/>
      </w:r>
      <w:r w:rsidR="00C16345">
        <w:instrText xml:space="preserve"> ADDIN ZOTERO_ITEM CSL_CITATION {"citationID":"EMPAcNyz","properties":{"formattedCitation":"\\super 112,113\\nosupersub{}","plainCitation":"112,113","noteIndex":0},"citationItems":[{"id":5481,"uris":["http://zotero.org/users/10196124/items/HW2592LT"],"itemData":{"id":5481,"type":"article-journal","abstract":"An important issue affecting genome-wide association studies with deep phenotyping (multiple correlated phenotypes) is determining the suitable family-wise significance threshold. Straightforward family-wise correction (Bonferroni) of p &lt; 0.05 for 4.3 million genotypes and 335 phenotypes would give a threshold of p &lt; 3.46E−11. This would be too conservative because it assumes all tests are independent. The effective number of tests, both phenotypic and genotypic, must be adjusted for the correlations between them. Spectral decomposition of the phenotype matrix and LD-based correction of the number of tested SNPs are currently used to determine an effective number of tests. In this paper, we compare these calculated estimates with permutation-determined family-wise significance thresholds. Permutations are performed by shuffling individual IDs of the genotype vector for this dataset, to preserve correlation of phenotypes. Our results demonstrate that the permutation threshold is influenced by minor allele frequency (MAF) of the SNPs, and by the number of individuals tested. For the more common SNPs (MAF &gt; 0.1), the permutation family-wise threshold was in close agreement with spectral decomposition methods. However, for less common SNPs (0.05 &lt; MAF ≤ 0.1), the permutation threshold calculated over all SNPs was off by orders of magnitude. This applies to the number of individuals studied (here 777) but not to very much larger numbers. Based on these findings, we propose that the threshold to find a particular level of family-wise significance may need to be established using separate permutations of the actual data for several MAF bins.","container-title":"Molecular Psychiatry","DOI":"10.1038/s41380-020-0670-3","ISSN":"1476-5578","issue":"6","journalAbbreviation":"Molecular Psychiatry","page":"2048-2055","title":"GWAS significance thresholds for deep phenotyping studies can depend upon minor allele frequencies and sample size","volume":"26","author":[{"family":"Asif","given":"Huma"},{"family":"Alliey-Rodriguez","given":"Ney"},{"family":"Keedy","given":"Sarah"},{"family":"Tamminga","given":"Carol A."},{"family":"Sweeney","given":"John A."},{"family":"Pearlson","given":"Godfrey"},{"family":"Clementz","given":"Brett A."},{"family":"Keshavan","given":"Matcheri S."},{"family":"Buckley","given":"Peter"},{"family":"Liu","given":"Chunyu"},{"family":"Neale","given":"Benjamin"},{"family":"Gershon","given":"Elliot S."}],"issued":{"date-parts":[["2021",6,1]]},"citation-key":"asifGWASSignificanceThresholds2021"}},{"id":5519,"uris":["http://zotero.org/users/10196124/items/UU96SG9A"],"itemData":{"id":5519,"type":"article-journal","abstract":"Micronutrient malnutrition is a serious concern in many parts of the world; therefore, enhancing crop nutrient content is an important challenge. Chickpea (Cicer arietinum L.), a major food legume crop worldwide, is a vital source of protein and minerals in the vegetarian diet. This study evaluated a diverse set of 258 chickpea germplasm accessions for 12 key nutritional traits. A significant variation was observed for several nutritional traits, including crude protein (16.56–24.64/100 g), β-Carotene (0.003–0.104 mg/100 g), calcium (60.69–176.55 mg/100 g), and folate (0.413–6.537 mg/kg). These data, combined with the available whole-genome sequencing data for 318,644 SNPs, were used in genome-wide association studies comprising single-locus and multi-locus models. We also explored the effect of varying the minor allele frequency (MAF) levels and heterozygosity. We identified 62 significant marker-trait associations (MTAs) explaining up to 28.63% of the phenotypic variance (PV), of which nine were localized within genes regulating G protein-coupled receptor signaling pathway, proteasome assembly, intracellular signal transduction, and oxidation–reduction process, among others. The significant effect MTAs were located primarily on Ca1, Ca3, Ca4, and Ca6. Importantly, varying the level of heterozygosity was found to significantly affect the detection of associations contributing to traits of interest. We further identified seven promising accessions (ICC10399, ICC1392, ICC1710, ICC2263, ICC1431, ICC4182, and ICC16915) with superior agronomic performance and high nutritional content as potential donors for developing nutrient-rich, high-yielding chickpea varieties. Validation of the significant MTAs with higher PV could identify factors controlling the nutrient acquisition and facilitate the design of biofortified chickpeas for the future.","container-title":"Frontiers in Plant Science","ISSN":"1664-462X","journalAbbreviation":"Frontiers in Plant Science","title":"Genome-wide association mapping of nutritional traits for designing superior chickpea varieties","URL":"https://www.frontiersin.org/articles/10.3389/fpls.2022.843911","volume":"13","author":[{"family":"Roorkiwal","given":"Manish"},{"family":"Bhandari","given":"Aditi"},{"family":"Barmukh","given":"Rutwik"},{"family":"Bajaj","given":"Prasad"},{"family":"Valluri","given":"Vinod Kumar"},{"family":"Chitikineni","given":"Annapurna"},{"family":"Pandey","given":"Sarita"},{"family":"Chellapilla","given":"Bharadwaj"},{"family":"Siddique","given":"Kadambot H. M."},{"family":"Varshney","given":"Rajeev K."}],"issued":{"date-parts":[["2022"]]},"citation-key":"roorkiwalGenomewideAssociationMapping2022"}}],"schema":"https://github.com/citation-style-language/schema/raw/master/csl-citation.json"} </w:instrText>
      </w:r>
      <w:r>
        <w:fldChar w:fldCharType="separate"/>
      </w:r>
      <w:r w:rsidR="00C16345" w:rsidRPr="00C16345">
        <w:rPr>
          <w:vertAlign w:val="superscript"/>
        </w:rPr>
        <w:t>112,113</w:t>
      </w:r>
      <w:r>
        <w:fldChar w:fldCharType="end"/>
      </w:r>
      <w:r>
        <w:t>, and genomic selection</w:t>
      </w:r>
      <w:r>
        <w:fldChar w:fldCharType="begin"/>
      </w:r>
      <w:r>
        <w:instrText xml:space="preserve"> ADDIN ZOTERO_ITEM CSL_CITATION {"citationID":"u6wx4eNo","properties":{"formattedCitation":"\\super 66\\nosupersub{}","plainCitation":"66","noteIndex":0},"citationItems":[{"id":5527,"uris":["http://zotero.org/users/10196124/items/38567NVZ"],"itemData":{"id":5527,"type":"article-journal","abstract":"Genomic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fldChar w:fldCharType="separate"/>
      </w:r>
      <w:r w:rsidRPr="00B85545">
        <w:rPr>
          <w:vertAlign w:val="superscript"/>
        </w:rPr>
        <w:t>66</w:t>
      </w:r>
      <w:r>
        <w:fldChar w:fldCharType="end"/>
      </w:r>
      <w:r>
        <w:t xml:space="preserve"> </w:t>
      </w:r>
      <w:r w:rsidR="00EF66EA">
        <w:t xml:space="preserve">can </w:t>
      </w:r>
      <w:r>
        <w:t>also see improvements with higher</w:t>
      </w:r>
      <w:r w:rsidRPr="00B917EF">
        <w:t xml:space="preserve"> MAF threshold</w:t>
      </w:r>
      <w:r>
        <w:t xml:space="preserve">, although not without risk of bias. </w:t>
      </w:r>
    </w:p>
    <w:p w14:paraId="002B3F0D" w14:textId="5FE8373B" w:rsidR="00367E56" w:rsidRDefault="00C16345" w:rsidP="003F76ED">
      <w:pPr>
        <w:suppressLineNumbers/>
        <w:spacing w:after="0" w:line="276" w:lineRule="auto"/>
        <w:ind w:firstLine="0"/>
        <w:rPr>
          <w:rFonts w:ascii="Arial" w:eastAsia="Arial" w:hAnsi="Arial" w:cs="Arial"/>
        </w:rPr>
      </w:pPr>
      <w:r>
        <w:rPr>
          <w:noProof/>
        </w:rPr>
        <w:lastRenderedPageBreak/>
        <w:drawing>
          <wp:inline distT="0" distB="0" distL="0" distR="0" wp14:anchorId="2C1BC822" wp14:editId="512E08D7">
            <wp:extent cx="4850130" cy="8083550"/>
            <wp:effectExtent l="0" t="0" r="7620" b="0"/>
            <wp:docPr id="93239588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5884" name="Picture 1"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0130" cy="8083550"/>
                    </a:xfrm>
                    <a:prstGeom prst="rect">
                      <a:avLst/>
                    </a:prstGeom>
                    <a:noFill/>
                    <a:ln>
                      <a:noFill/>
                    </a:ln>
                  </pic:spPr>
                </pic:pic>
              </a:graphicData>
            </a:graphic>
          </wp:inline>
        </w:drawing>
      </w:r>
    </w:p>
    <w:p w14:paraId="2AECED70" w14:textId="6CEC2BCC" w:rsidR="00367E56" w:rsidRPr="00663489" w:rsidRDefault="00367E56" w:rsidP="001F6002">
      <w:pPr>
        <w:suppressLineNumbers/>
        <w:spacing w:after="0" w:line="276" w:lineRule="auto"/>
        <w:rPr>
          <w:rFonts w:eastAsia="Arial"/>
          <w:b/>
          <w:u w:val="single"/>
        </w:rPr>
      </w:pPr>
      <w:r>
        <w:lastRenderedPageBreak/>
        <w:br w:type="page"/>
      </w:r>
    </w:p>
    <w:p w14:paraId="4A1DC43A" w14:textId="5B54B933" w:rsidR="00367E56" w:rsidRPr="001F6002" w:rsidRDefault="001F6002" w:rsidP="001F6002">
      <w:pPr>
        <w:spacing w:line="240" w:lineRule="auto"/>
        <w:ind w:firstLine="0"/>
        <w:rPr>
          <w:sz w:val="28"/>
          <w:szCs w:val="28"/>
        </w:rPr>
      </w:pPr>
      <w:bookmarkStart w:id="1" w:name="_u290mw8rexjy" w:colFirst="0" w:colLast="0"/>
      <w:bookmarkStart w:id="2" w:name="_ag9kggxm24f4" w:colFirst="0" w:colLast="0"/>
      <w:bookmarkEnd w:id="1"/>
      <w:bookmarkEnd w:id="2"/>
      <w:r w:rsidRPr="001F6002">
        <w:rPr>
          <w:b/>
          <w:bCs/>
          <w:sz w:val="28"/>
          <w:szCs w:val="28"/>
        </w:rPr>
        <w:lastRenderedPageBreak/>
        <w:t>Box 3: Filtering Trade-offs</w:t>
      </w:r>
    </w:p>
    <w:p w14:paraId="46F0E561" w14:textId="77777777" w:rsidR="0014207C" w:rsidRDefault="00367E56" w:rsidP="0014207C">
      <w:pPr>
        <w:spacing w:after="0"/>
        <w:ind w:firstLine="0"/>
      </w:pPr>
      <w:r>
        <w:t>Different filtering choices result in trade-offs</w:t>
      </w:r>
      <w:r w:rsidR="002E40A1">
        <w:t xml:space="preserve"> described here as</w:t>
      </w:r>
      <w:r>
        <w:t xml:space="preserve"> false-positives </w:t>
      </w:r>
      <w:r w:rsidR="002E40A1">
        <w:t>and</w:t>
      </w:r>
      <w:r>
        <w:t xml:space="preserve"> false-negatives (Type-I</w:t>
      </w:r>
      <w:r w:rsidR="002E40A1">
        <w:t>, α,</w:t>
      </w:r>
      <w:r>
        <w:t xml:space="preserve"> and Type-II</w:t>
      </w:r>
      <w:r w:rsidR="002E40A1">
        <w:t xml:space="preserve">, β, </w:t>
      </w:r>
      <w:r>
        <w:t xml:space="preserve">errors, respectively; see diagram below). </w:t>
      </w:r>
      <w:r w:rsidR="002E40A1">
        <w:t>In the case of</w:t>
      </w:r>
      <w:r>
        <w:t xml:space="preserve"> variant calling (</w:t>
      </w:r>
      <w:r w:rsidRPr="00E30902">
        <w:rPr>
          <w:i/>
          <w:iCs/>
        </w:rPr>
        <w:t>i.e.</w:t>
      </w:r>
      <w:r>
        <w:t>, genotyping)</w:t>
      </w:r>
      <w:r w:rsidR="002E40A1">
        <w:t xml:space="preserve"> we here</w:t>
      </w:r>
      <w:r>
        <w:t xml:space="preserve"> </w:t>
      </w:r>
      <w:r w:rsidR="002E40A1">
        <w:t xml:space="preserve">hold that an incorrectly called </w:t>
      </w:r>
      <w:r>
        <w:t xml:space="preserve">genotype </w:t>
      </w:r>
      <w:r w:rsidR="002E40A1">
        <w:t>is the null hypothesis: while this is not the only reasonable interpretation, it</w:t>
      </w:r>
      <w:r>
        <w:t xml:space="preserve"> simultaneously allows for a more conservative philosophical approach towards genotyping and allows for power</w:t>
      </w:r>
      <w:r w:rsidR="000E010A">
        <w:t xml:space="preserve"> </w:t>
      </w:r>
      <m:oMath>
        <m:r>
          <w:rPr>
            <w:rFonts w:ascii="Cambria Math" w:hAnsi="Cambria Math"/>
          </w:rPr>
          <m:t>(1-β)</m:t>
        </m:r>
      </m:oMath>
      <w:r>
        <w:t xml:space="preserve">  to equal the proportion (or percentage) of correctly</w:t>
      </w:r>
      <w:r w:rsidR="00DA726A">
        <w:t xml:space="preserve"> </w:t>
      </w:r>
      <w:r>
        <w:t>called genotypes that are retained in a data set. Within this framework, a false positive occurs when an incorrectly called genotype (at a single locus) is retained within a data set and a false-negative</w:t>
      </w:r>
      <w:r w:rsidR="002E40A1">
        <w:t xml:space="preserve"> </w:t>
      </w:r>
      <w:r>
        <w:t>occurs when a correctly called geno</w:t>
      </w:r>
      <w:r w:rsidR="002E40A1">
        <w:t xml:space="preserve">type is </w:t>
      </w:r>
      <w:r>
        <w:t>incorrectly filtered out of the dataset (see diagram below)</w:t>
      </w:r>
      <w:r w:rsidR="00DA726A">
        <w:fldChar w:fldCharType="begin"/>
      </w:r>
      <w:r w:rsidR="00C16345">
        <w:instrText xml:space="preserve"> ADDIN ZOTERO_ITEM CSL_CITATION {"citationID":"daaEqwRB","properties":{"formattedCitation":"\\super 114\\nosupersub{}","plainCitation":"114","noteIndex":0},"citationItems":[{"id":5339,"uris":["http://zotero.org/users/10196124/items/XS6V6435"],"itemData":{"id":5339,"type":"article-journal","abstract":"Abstract Knowledge about population genetic data is important for effective conservation management. Genetic research traditionally requires sampling directly from the organism, for example tissue, which can be challenging, time-consuming, and harmful to the animal. Environmental DNA (eDNA) approaches offer a way to sample genetic material noninvasively. In attempts to estimate population size of aquatic species using eDNA, researchers have found positive correlations between biomass and eDNA concentrations, but the approach is debated because of variations in the production and degrading of DNA in water. Recently, a more accurate eDNA-approach has emerged, focusing on the genomic differences between individuals. In this study, we used eDNA from water samples to estimate the number of European eel (Anguilla anguilla) individuals by examining haplotypes in the mitochondrial D-loop region, both in a closed aquatic environment with 10 eels of known haplotypes and in three rivers. The results revealed that it was possible to find every eel haplotype in the eDNA sample collected from the closed environment. We also found 13 unique haplotypes in the eDNA samples from the three rivers, which probably represent 13 eel individuals. This means that it is possible to obtain genomic information from European eel eDNA in water; however, more research is needed to develop the approach into a possible future tool for population quantification.","container-title":"Ecology and Evolution","DOI":"10.1002/ece3.9785","ISSN":"2045-7758","issue":"2","journalAbbreviation":"Ecology and Evolution","note":"publisher: John Wiley &amp; Sons, Ltd","page":"e9785","title":"Estimating number of European eel (Anguilla anguilla) individuals using environmental DNA and haplotype count in small rivers","volume":"13","author":[{"family":"Halvorsen","given":"Silje"},{"family":"Korslund","given":"Lars"},{"family":"Mattingsdal","given":"Morten"},{"family":"Slettan","given":"Audun"}],"issued":{"date-parts":[["2023",2,1]]},"citation-key":"halvorsenEstimatingNumberEuropean2023"}}],"schema":"https://github.com/citation-style-language/schema/raw/master/csl-citation.json"} </w:instrText>
      </w:r>
      <w:r w:rsidR="00DA726A">
        <w:fldChar w:fldCharType="separate"/>
      </w:r>
      <w:r w:rsidR="00C16345" w:rsidRPr="00C16345">
        <w:rPr>
          <w:vertAlign w:val="superscript"/>
        </w:rPr>
        <w:t>114</w:t>
      </w:r>
      <w:r w:rsidR="00DA726A">
        <w:fldChar w:fldCharType="end"/>
      </w:r>
      <w:r>
        <w:t xml:space="preserve">. False-positives occur most frequently when filters are not strict (for example, no MAF filtering is performed) and/or when the read depth at a locus is low and thus incorrectly genotyped loci are allowed to proceed into downstream analyses. By contrast, false-negatives will be more likely when strict filters are used (such as a high MAF filter), since more loci are assumed to be errors (and thus removed) even though many of those sites may represent real, correctly called genotypes. </w:t>
      </w:r>
    </w:p>
    <w:p w14:paraId="72FDBFCE" w14:textId="52105626" w:rsidR="00367E56" w:rsidRDefault="00367E56" w:rsidP="0060295E">
      <w:pPr>
        <w:spacing w:after="0"/>
      </w:pPr>
      <w:r>
        <w:t>To answer specific questions, certain trade-offs will invariably arise. For example, when calculating Tajima’s D, many or most low frequency sites must be retained (see Box 2), however, this procedure will invariably allow more false-positives into the data set (affecting the precision of the estimator). Alternatively, when performing GWAS</w:t>
      </w:r>
      <w:r w:rsidR="00DA726A">
        <w:t xml:space="preserve"> or outlier </w:t>
      </w:r>
      <w:r w:rsidR="00DA726A" w:rsidRPr="00C16345">
        <w:rPr>
          <w:i/>
          <w:iCs/>
        </w:rPr>
        <w:t>F</w:t>
      </w:r>
      <w:r w:rsidR="00DA726A" w:rsidRPr="00C16345">
        <w:rPr>
          <w:i/>
          <w:iCs/>
        </w:rPr>
        <w:softHyphen/>
      </w:r>
      <w:r w:rsidR="00DA726A" w:rsidRPr="00C16345">
        <w:rPr>
          <w:i/>
          <w:iCs/>
          <w:vertAlign w:val="subscript"/>
        </w:rPr>
        <w:t>ST</w:t>
      </w:r>
      <w:r w:rsidR="00DA726A">
        <w:t xml:space="preserve"> detection </w:t>
      </w:r>
      <w:r>
        <w:t xml:space="preserve">low frequency sites are </w:t>
      </w:r>
      <w:r w:rsidR="00DA726A">
        <w:t xml:space="preserve">often </w:t>
      </w:r>
      <w:r>
        <w:t>removed</w:t>
      </w:r>
      <w:r w:rsidR="00DA726A">
        <w:fldChar w:fldCharType="begin"/>
      </w:r>
      <w:r w:rsidR="00C16345">
        <w:instrText xml:space="preserve"> ADDIN ZOTERO_ITEM CSL_CITATION {"citationID":"Em1D3sxc","properties":{"formattedCitation":"\\super 71,111\\nosupersub{}","plainCitation":"71,111","noteIndex":0},"citationItems":[{"id":2871,"uris":["http://zotero.org/users/10196124/items/7KWUQU6B"],"itemData":{"id":2871,"type":"article-journal","abstract":"Application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00DA726A">
        <w:fldChar w:fldCharType="separate"/>
      </w:r>
      <w:r w:rsidR="00C16345" w:rsidRPr="00C16345">
        <w:rPr>
          <w:vertAlign w:val="superscript"/>
        </w:rPr>
        <w:t>71,111</w:t>
      </w:r>
      <w:r w:rsidR="00DA726A">
        <w:fldChar w:fldCharType="end"/>
      </w:r>
      <w:r>
        <w:t>, which creates data sets with few genotyping errors but may exclude real, causal variants that segregate at low frequency. Investigators should be cognizant of the very</w:t>
      </w:r>
      <w:r w:rsidR="00DA726A">
        <w:t xml:space="preserve"> </w:t>
      </w:r>
      <w:r>
        <w:t xml:space="preserve">real trade-offs associated with certain filtering choices and should consider </w:t>
      </w:r>
      <w:r>
        <w:lastRenderedPageBreak/>
        <w:t xml:space="preserve">practical solutions such as creating </w:t>
      </w:r>
      <w:r w:rsidR="0014207C">
        <w:t xml:space="preserve">two or more </w:t>
      </w:r>
      <w:r>
        <w:t>datasets with different filtering thresholds, sequencing loci of interest to higher depth/confidence, and re-sequencing select samples.</w:t>
      </w:r>
    </w:p>
    <w:p w14:paraId="0BB440C5" w14:textId="77777777" w:rsidR="00367E56" w:rsidRDefault="00367E56" w:rsidP="003F76ED">
      <w:pPr>
        <w:suppressLineNumbers/>
        <w:spacing w:before="120"/>
        <w:jc w:val="center"/>
      </w:pPr>
      <w:r>
        <w:rPr>
          <w:noProof/>
        </w:rPr>
        <w:drawing>
          <wp:inline distT="0" distB="0" distL="0" distR="0" wp14:anchorId="54DF7543" wp14:editId="1BA27C8F">
            <wp:extent cx="4894117" cy="4535424"/>
            <wp:effectExtent l="0" t="0" r="1905" b="0"/>
            <wp:docPr id="1457060252" name="Picture 1"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60252" name="Picture 1" descr="A diagram of a scientific experiment&#10;&#10;Description automatically generated"/>
                    <pic:cNvPicPr/>
                  </pic:nvPicPr>
                  <pic:blipFill>
                    <a:blip r:embed="rId11"/>
                    <a:stretch>
                      <a:fillRect/>
                    </a:stretch>
                  </pic:blipFill>
                  <pic:spPr>
                    <a:xfrm>
                      <a:off x="0" y="0"/>
                      <a:ext cx="4904597" cy="4545136"/>
                    </a:xfrm>
                    <a:prstGeom prst="rect">
                      <a:avLst/>
                    </a:prstGeom>
                  </pic:spPr>
                </pic:pic>
              </a:graphicData>
            </a:graphic>
          </wp:inline>
        </w:drawing>
      </w:r>
    </w:p>
    <w:p w14:paraId="6F03D621" w14:textId="77777777" w:rsidR="00367E56" w:rsidRDefault="00367E56" w:rsidP="003F76ED">
      <w:pPr>
        <w:suppressLineNumbers/>
      </w:pPr>
      <w:r>
        <w:br w:type="page"/>
      </w:r>
      <w:bookmarkStart w:id="3" w:name="_rdzm10u773dy" w:colFirst="0" w:colLast="0"/>
      <w:bookmarkEnd w:id="3"/>
    </w:p>
    <w:p w14:paraId="013A9200" w14:textId="77777777" w:rsidR="00367E56" w:rsidRPr="001F6002" w:rsidRDefault="00367E56" w:rsidP="00F263B4">
      <w:pPr>
        <w:spacing w:after="0"/>
        <w:ind w:firstLine="0"/>
        <w:rPr>
          <w:b/>
          <w:bCs/>
          <w:sz w:val="28"/>
          <w:szCs w:val="28"/>
        </w:rPr>
      </w:pPr>
      <w:r w:rsidRPr="001F6002">
        <w:rPr>
          <w:b/>
          <w:bCs/>
          <w:sz w:val="28"/>
          <w:szCs w:val="28"/>
        </w:rPr>
        <w:lastRenderedPageBreak/>
        <w:t>Box 4: Filtering checklist</w:t>
      </w:r>
    </w:p>
    <w:p w14:paraId="41BC3E9B" w14:textId="7A856991" w:rsidR="00367E56" w:rsidRDefault="00367E56" w:rsidP="001F6002">
      <w:pPr>
        <w:spacing w:before="0"/>
        <w:ind w:firstLine="0"/>
      </w:pPr>
      <w:r>
        <w:t>Throughout dataset assembly (</w:t>
      </w:r>
      <w:r w:rsidRPr="008903B7">
        <w:rPr>
          <w:i/>
          <w:iCs/>
        </w:rPr>
        <w:t>e.g.</w:t>
      </w:r>
      <w:r>
        <w:t xml:space="preserve">, from raw sequencing reads to genotypes), researchers should perform various steps to aid in reproducibility and explore the effects of alternative filtering strategies on downstream analyses. </w:t>
      </w:r>
      <w:r w:rsidR="00DA726A">
        <w:t>To ensure a robust examination of filtering effects and study reproducibility, t</w:t>
      </w:r>
      <w:r>
        <w:t xml:space="preserve">he example checklist below </w:t>
      </w:r>
      <w:r w:rsidR="00DA726A">
        <w:t>should be</w:t>
      </w:r>
      <w:r>
        <w:t xml:space="preserve"> </w:t>
      </w:r>
      <w:r w:rsidR="00DA726A">
        <w:t>consulted</w:t>
      </w:r>
      <w:r>
        <w:t xml:space="preserve"> before and during a research project </w:t>
      </w:r>
      <w:r w:rsidR="00DA726A">
        <w:t>and checked-off before submitting</w:t>
      </w:r>
      <w:r>
        <w:t xml:space="preserve"> a manuscript for peer-review.</w:t>
      </w:r>
    </w:p>
    <w:tbl>
      <w:tblPr>
        <w:tblStyle w:val="TableGrid"/>
        <w:tblW w:w="953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5"/>
        <w:gridCol w:w="8190"/>
      </w:tblGrid>
      <w:tr w:rsidR="006A6885" w:rsidRPr="006A6885" w14:paraId="3C1AA5C9" w14:textId="77777777" w:rsidTr="00B167CE">
        <w:trPr>
          <w:trHeight w:val="576"/>
        </w:trPr>
        <w:tc>
          <w:tcPr>
            <w:tcW w:w="1345" w:type="dxa"/>
            <w:vAlign w:val="center"/>
          </w:tcPr>
          <w:p w14:paraId="0409CF46" w14:textId="77777777" w:rsidR="006A6885" w:rsidRPr="006A6885" w:rsidRDefault="006A6885" w:rsidP="006A6885">
            <w:pPr>
              <w:spacing w:after="160" w:line="259" w:lineRule="auto"/>
              <w:jc w:val="center"/>
            </w:pPr>
            <w:r w:rsidRPr="006A6885">
              <w:rPr>
                <w:noProof/>
              </w:rPr>
              <mc:AlternateContent>
                <mc:Choice Requires="wps">
                  <w:drawing>
                    <wp:anchor distT="0" distB="0" distL="114300" distR="114300" simplePos="0" relativeHeight="251659264" behindDoc="1" locked="0" layoutInCell="1" allowOverlap="1" wp14:anchorId="4372A7E7" wp14:editId="20A027D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1391582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E89CC" id="Rectangle 1" o:spid="_x0000_s1026" style="position:absolute;margin-left:11.15pt;margin-top:-28.5pt;width:15.7pt;height:1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7615586" w14:textId="77777777" w:rsidR="006A6885" w:rsidRPr="006A6885" w:rsidRDefault="006A6885" w:rsidP="006A6885">
            <w:pPr>
              <w:spacing w:after="160" w:line="259" w:lineRule="auto"/>
            </w:pPr>
            <w:r w:rsidRPr="006A6885">
              <w:rPr>
                <w:sz w:val="28"/>
                <w:szCs w:val="28"/>
              </w:rPr>
              <w:t>Data archival</w:t>
            </w:r>
          </w:p>
        </w:tc>
      </w:tr>
      <w:tr w:rsidR="006A6885" w:rsidRPr="006A6885" w14:paraId="0E67B043" w14:textId="77777777" w:rsidTr="00B167CE">
        <w:trPr>
          <w:trHeight w:val="576"/>
        </w:trPr>
        <w:tc>
          <w:tcPr>
            <w:tcW w:w="1345" w:type="dxa"/>
            <w:vAlign w:val="center"/>
          </w:tcPr>
          <w:p w14:paraId="6556DB05"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60288" behindDoc="1" locked="0" layoutInCell="1" allowOverlap="1" wp14:anchorId="3B25B55B" wp14:editId="30AB31C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43178308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5DF87" id="Rectangle 1" o:spid="_x0000_s1026" style="position:absolute;margin-left:11.15pt;margin-top:-28.5pt;width:15.7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01D4833" w14:textId="77777777" w:rsidR="006A6885" w:rsidRPr="006A6885" w:rsidRDefault="006A6885" w:rsidP="006A6885">
            <w:pPr>
              <w:spacing w:after="160" w:line="259" w:lineRule="auto"/>
            </w:pPr>
            <w:r w:rsidRPr="006A6885">
              <w:rPr>
                <w:sz w:val="28"/>
                <w:szCs w:val="28"/>
              </w:rPr>
              <w:t xml:space="preserve">Decide on filtered data sets given </w:t>
            </w:r>
            <w:r w:rsidRPr="006A6885">
              <w:rPr>
                <w:i/>
                <w:iCs/>
                <w:sz w:val="28"/>
                <w:szCs w:val="28"/>
              </w:rPr>
              <w:t>a priori</w:t>
            </w:r>
            <w:r w:rsidRPr="006A6885">
              <w:rPr>
                <w:sz w:val="28"/>
                <w:szCs w:val="28"/>
              </w:rPr>
              <w:t xml:space="preserve"> study questions</w:t>
            </w:r>
          </w:p>
        </w:tc>
      </w:tr>
      <w:tr w:rsidR="006A6885" w:rsidRPr="006A6885" w14:paraId="53004633" w14:textId="77777777" w:rsidTr="00B167CE">
        <w:trPr>
          <w:trHeight w:val="576"/>
        </w:trPr>
        <w:tc>
          <w:tcPr>
            <w:tcW w:w="1345" w:type="dxa"/>
            <w:vAlign w:val="center"/>
          </w:tcPr>
          <w:p w14:paraId="3AE1A4C0" w14:textId="77777777" w:rsidR="006A6885" w:rsidRPr="006A6885" w:rsidRDefault="006A6885" w:rsidP="006A6885">
            <w:pPr>
              <w:spacing w:after="160" w:line="259" w:lineRule="auto"/>
              <w:jc w:val="center"/>
              <w:rPr>
                <w:noProof/>
              </w:rPr>
            </w:pPr>
          </w:p>
        </w:tc>
        <w:tc>
          <w:tcPr>
            <w:tcW w:w="8190" w:type="dxa"/>
            <w:vAlign w:val="center"/>
          </w:tcPr>
          <w:p w14:paraId="7D7A2C3E"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0528" behindDoc="1" locked="0" layoutInCell="1" allowOverlap="1" wp14:anchorId="32A0C72E" wp14:editId="5D05F22C">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1988443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3639C" id="Rectangle 1" o:spid="_x0000_s1026" style="position:absolute;margin-left:-3.1pt;margin-top:-26.45pt;width:15.7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Create filter recording/reporting table (see Table 2)</w:t>
            </w:r>
          </w:p>
        </w:tc>
      </w:tr>
      <w:tr w:rsidR="006A6885" w:rsidRPr="006A6885" w14:paraId="18A7BBD1" w14:textId="77777777" w:rsidTr="00B167CE">
        <w:trPr>
          <w:trHeight w:val="576"/>
        </w:trPr>
        <w:tc>
          <w:tcPr>
            <w:tcW w:w="1345" w:type="dxa"/>
            <w:vAlign w:val="center"/>
          </w:tcPr>
          <w:p w14:paraId="4C920026" w14:textId="77777777" w:rsidR="006A6885" w:rsidRPr="006A6885" w:rsidRDefault="006A6885" w:rsidP="006A6885">
            <w:pPr>
              <w:spacing w:after="160" w:line="259" w:lineRule="auto"/>
              <w:jc w:val="center"/>
            </w:pPr>
            <w:r w:rsidRPr="006A6885">
              <w:rPr>
                <w:noProof/>
              </w:rPr>
              <mc:AlternateContent>
                <mc:Choice Requires="wps">
                  <w:drawing>
                    <wp:anchor distT="0" distB="0" distL="114300" distR="114300" simplePos="0" relativeHeight="251661312" behindDoc="1" locked="0" layoutInCell="1" allowOverlap="1" wp14:anchorId="4828603E" wp14:editId="500117B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855223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60938" id="Rectangle 1" o:spid="_x0000_s1026" style="position:absolute;margin-left:11.15pt;margin-top:-28.5pt;width:15.7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81C81AE" w14:textId="77777777" w:rsidR="006A6885" w:rsidRPr="006A6885" w:rsidRDefault="006A6885" w:rsidP="006A6885">
            <w:pPr>
              <w:spacing w:after="160" w:line="259" w:lineRule="auto"/>
            </w:pPr>
            <w:r w:rsidRPr="006A6885">
              <w:rPr>
                <w:sz w:val="28"/>
                <w:szCs w:val="28"/>
              </w:rPr>
              <w:t>Filter on raw sequences (</w:t>
            </w:r>
            <w:r w:rsidRPr="006A6885">
              <w:rPr>
                <w:i/>
                <w:iCs/>
                <w:sz w:val="28"/>
                <w:szCs w:val="28"/>
              </w:rPr>
              <w:t>e.g.</w:t>
            </w:r>
            <w:r w:rsidRPr="006A6885">
              <w:rPr>
                <w:sz w:val="28"/>
                <w:szCs w:val="28"/>
              </w:rPr>
              <w:t xml:space="preserve">, read quality, poly-G tails; see Table 1) </w:t>
            </w:r>
          </w:p>
        </w:tc>
      </w:tr>
      <w:tr w:rsidR="006A6885" w:rsidRPr="006A6885" w14:paraId="1961CF68" w14:textId="77777777" w:rsidTr="00B167CE">
        <w:trPr>
          <w:trHeight w:val="576"/>
        </w:trPr>
        <w:tc>
          <w:tcPr>
            <w:tcW w:w="1345" w:type="dxa"/>
            <w:vAlign w:val="center"/>
          </w:tcPr>
          <w:p w14:paraId="75DCFEF7" w14:textId="77777777" w:rsidR="006A6885" w:rsidRPr="006A6885" w:rsidRDefault="006A6885" w:rsidP="006A6885">
            <w:pPr>
              <w:spacing w:after="160" w:line="259" w:lineRule="auto"/>
              <w:jc w:val="center"/>
              <w:rPr>
                <w:noProof/>
              </w:rPr>
            </w:pPr>
          </w:p>
        </w:tc>
        <w:tc>
          <w:tcPr>
            <w:tcW w:w="8190" w:type="dxa"/>
            <w:vAlign w:val="center"/>
          </w:tcPr>
          <w:p w14:paraId="3A2E32DB"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69504" behindDoc="1" locked="0" layoutInCell="1" allowOverlap="1" wp14:anchorId="54F6D417" wp14:editId="1C335AB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1847306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46E6" id="Rectangle 1" o:spid="_x0000_s1026" style="position:absolute;margin-left:-3.1pt;margin-top:-26.45pt;width:15.7pt;height:16.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exact filters used for filtering on raw sequences</w:t>
            </w:r>
          </w:p>
        </w:tc>
      </w:tr>
      <w:tr w:rsidR="006A6885" w:rsidRPr="006A6885" w14:paraId="6707065E" w14:textId="77777777" w:rsidTr="00B167CE">
        <w:trPr>
          <w:trHeight w:val="576"/>
        </w:trPr>
        <w:tc>
          <w:tcPr>
            <w:tcW w:w="1345" w:type="dxa"/>
            <w:vAlign w:val="center"/>
          </w:tcPr>
          <w:p w14:paraId="585E8612" w14:textId="77777777" w:rsidR="006A6885" w:rsidRPr="006A6885" w:rsidRDefault="006A6885" w:rsidP="006A6885">
            <w:pPr>
              <w:spacing w:after="160" w:line="259" w:lineRule="auto"/>
              <w:jc w:val="center"/>
              <w:rPr>
                <w:noProof/>
              </w:rPr>
            </w:pPr>
          </w:p>
        </w:tc>
        <w:tc>
          <w:tcPr>
            <w:tcW w:w="8190" w:type="dxa"/>
            <w:vAlign w:val="center"/>
          </w:tcPr>
          <w:p w14:paraId="3D4A50B5"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62336" behindDoc="1" locked="0" layoutInCell="1" allowOverlap="1" wp14:anchorId="792ACDBA" wp14:editId="7A2356D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2187494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DEB7A" id="Rectangle 1" o:spid="_x0000_s1026" style="position:absolute;margin-left:-3.1pt;margin-top:-26.45pt;width:15.7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in study</w:t>
            </w:r>
          </w:p>
        </w:tc>
      </w:tr>
      <w:tr w:rsidR="006A6885" w:rsidRPr="006A6885" w14:paraId="5345B2D9" w14:textId="77777777" w:rsidTr="00B167CE">
        <w:trPr>
          <w:trHeight w:val="576"/>
        </w:trPr>
        <w:tc>
          <w:tcPr>
            <w:tcW w:w="1345" w:type="dxa"/>
            <w:vAlign w:val="center"/>
          </w:tcPr>
          <w:p w14:paraId="138C4374" w14:textId="77777777" w:rsidR="006A6885" w:rsidRPr="006A6885" w:rsidRDefault="006A6885" w:rsidP="006A6885">
            <w:pPr>
              <w:spacing w:after="160" w:line="259" w:lineRule="auto"/>
              <w:jc w:val="center"/>
              <w:rPr>
                <w:noProof/>
              </w:rPr>
            </w:pPr>
          </w:p>
        </w:tc>
        <w:tc>
          <w:tcPr>
            <w:tcW w:w="8190" w:type="dxa"/>
            <w:vAlign w:val="center"/>
          </w:tcPr>
          <w:p w14:paraId="070483EC"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68480" behindDoc="1" locked="0" layoutInCell="1" allowOverlap="1" wp14:anchorId="38C6B90A" wp14:editId="3AB58D2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35096458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5856" id="Rectangle 1" o:spid="_x0000_s1026" style="position:absolute;margin-left:-3.1pt;margin-top:-26.45pt;width:15.7pt;height:1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filtered out</w:t>
            </w:r>
          </w:p>
        </w:tc>
      </w:tr>
      <w:tr w:rsidR="006A6885" w:rsidRPr="006A6885" w14:paraId="62CA3172" w14:textId="77777777" w:rsidTr="00B167CE">
        <w:trPr>
          <w:trHeight w:val="576"/>
        </w:trPr>
        <w:tc>
          <w:tcPr>
            <w:tcW w:w="1345" w:type="dxa"/>
            <w:vAlign w:val="center"/>
          </w:tcPr>
          <w:p w14:paraId="33EB1EED"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63360" behindDoc="1" locked="0" layoutInCell="1" allowOverlap="1" wp14:anchorId="61F3CBF4" wp14:editId="60E44CD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4147236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69C78" id="Rectangle 1" o:spid="_x0000_s1026" style="position:absolute;margin-left:11.15pt;margin-top:-28.5pt;width:15.7pt;height:1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E0E39BF" w14:textId="77777777" w:rsidR="006A6885" w:rsidRPr="006A6885" w:rsidRDefault="006A6885" w:rsidP="006A6885">
            <w:pPr>
              <w:spacing w:after="160" w:line="259" w:lineRule="auto"/>
              <w:rPr>
                <w:sz w:val="28"/>
                <w:szCs w:val="28"/>
              </w:rPr>
            </w:pPr>
            <w:r w:rsidRPr="006A6885">
              <w:rPr>
                <w:sz w:val="28"/>
                <w:szCs w:val="28"/>
              </w:rPr>
              <w:t>Perform sequence alignment; report alignment parameters</w:t>
            </w:r>
          </w:p>
        </w:tc>
      </w:tr>
      <w:tr w:rsidR="006A6885" w:rsidRPr="006A6885" w14:paraId="17DCEB75" w14:textId="77777777" w:rsidTr="00B167CE">
        <w:trPr>
          <w:trHeight w:val="576"/>
        </w:trPr>
        <w:tc>
          <w:tcPr>
            <w:tcW w:w="1345" w:type="dxa"/>
            <w:vAlign w:val="center"/>
          </w:tcPr>
          <w:p w14:paraId="01D7D32F" w14:textId="77777777" w:rsidR="006A6885" w:rsidRPr="006A6885" w:rsidRDefault="006A6885" w:rsidP="006A6885">
            <w:pPr>
              <w:spacing w:after="160" w:line="259" w:lineRule="auto"/>
              <w:jc w:val="center"/>
              <w:rPr>
                <w:noProof/>
              </w:rPr>
            </w:pPr>
          </w:p>
        </w:tc>
        <w:tc>
          <w:tcPr>
            <w:tcW w:w="8190" w:type="dxa"/>
            <w:vAlign w:val="center"/>
          </w:tcPr>
          <w:p w14:paraId="4FCD73B6"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64384" behindDoc="1" locked="0" layoutInCell="1" allowOverlap="1" wp14:anchorId="3164E851" wp14:editId="073129D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5037556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7C79A" id="Rectangle 1" o:spid="_x0000_s1026" style="position:absolute;margin-left:-3.1pt;margin-top:-26.45pt;width:15.7pt;height:1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that aligned successfully</w:t>
            </w:r>
          </w:p>
        </w:tc>
      </w:tr>
      <w:tr w:rsidR="006A6885" w:rsidRPr="006A6885" w14:paraId="3E2FEEFC" w14:textId="77777777" w:rsidTr="00B167CE">
        <w:trPr>
          <w:trHeight w:val="576"/>
        </w:trPr>
        <w:tc>
          <w:tcPr>
            <w:tcW w:w="1345" w:type="dxa"/>
            <w:vAlign w:val="center"/>
          </w:tcPr>
          <w:p w14:paraId="1141A5EC" w14:textId="77777777" w:rsidR="006A6885" w:rsidRPr="006A6885" w:rsidRDefault="006A6885" w:rsidP="006A6885">
            <w:pPr>
              <w:spacing w:after="160" w:line="259" w:lineRule="auto"/>
              <w:jc w:val="center"/>
              <w:rPr>
                <w:noProof/>
              </w:rPr>
            </w:pPr>
          </w:p>
        </w:tc>
        <w:tc>
          <w:tcPr>
            <w:tcW w:w="8190" w:type="dxa"/>
            <w:vAlign w:val="center"/>
          </w:tcPr>
          <w:p w14:paraId="1E870DFA"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65408" behindDoc="1" locked="0" layoutInCell="1" allowOverlap="1" wp14:anchorId="041F02B6" wp14:editId="34B7BF4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835980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29BA7" id="Rectangle 1" o:spid="_x0000_s1026" style="position:absolute;margin-left:-3.1pt;margin-top:-26.45pt;width:15.7pt;height:1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that mapped uniquely</w:t>
            </w:r>
          </w:p>
        </w:tc>
      </w:tr>
      <w:tr w:rsidR="006A6885" w:rsidRPr="006A6885" w14:paraId="60D4EBB7" w14:textId="77777777" w:rsidTr="00B167CE">
        <w:trPr>
          <w:trHeight w:val="576"/>
        </w:trPr>
        <w:tc>
          <w:tcPr>
            <w:tcW w:w="1345" w:type="dxa"/>
            <w:vAlign w:val="center"/>
          </w:tcPr>
          <w:p w14:paraId="4FF0181B" w14:textId="77777777" w:rsidR="006A6885" w:rsidRPr="006A6885" w:rsidRDefault="006A6885" w:rsidP="006A6885">
            <w:pPr>
              <w:spacing w:after="160" w:line="259" w:lineRule="auto"/>
              <w:jc w:val="center"/>
              <w:rPr>
                <w:noProof/>
              </w:rPr>
            </w:pPr>
          </w:p>
        </w:tc>
        <w:tc>
          <w:tcPr>
            <w:tcW w:w="8190" w:type="dxa"/>
            <w:vAlign w:val="center"/>
          </w:tcPr>
          <w:p w14:paraId="48D9A67D"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67456" behindDoc="1" locked="0" layoutInCell="1" allowOverlap="1" wp14:anchorId="08320BB8" wp14:editId="02F84E2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2479199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3FE3B" id="Rectangle 1" o:spid="_x0000_s1026" style="position:absolute;margin-left:-3.1pt;margin-top:-26.45pt;width:15.7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that were filtered out</w:t>
            </w:r>
          </w:p>
        </w:tc>
      </w:tr>
      <w:tr w:rsidR="006A6885" w:rsidRPr="006A6885" w14:paraId="4E4F12C3" w14:textId="77777777" w:rsidTr="00B167CE">
        <w:trPr>
          <w:trHeight w:val="576"/>
        </w:trPr>
        <w:tc>
          <w:tcPr>
            <w:tcW w:w="1345" w:type="dxa"/>
            <w:vAlign w:val="center"/>
          </w:tcPr>
          <w:p w14:paraId="6363B14E"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66432" behindDoc="1" locked="0" layoutInCell="1" allowOverlap="1" wp14:anchorId="0ADB5D34" wp14:editId="1C93535C">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9205000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A0E3E" id="Rectangle 1" o:spid="_x0000_s1026" style="position:absolute;margin-left:11.15pt;margin-top:-28.5pt;width:15.7pt;height:1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295F7C6" w14:textId="77777777" w:rsidR="006A6885" w:rsidRPr="006A6885" w:rsidRDefault="006A6885" w:rsidP="006A6885">
            <w:pPr>
              <w:spacing w:after="160" w:line="259" w:lineRule="auto"/>
              <w:rPr>
                <w:sz w:val="28"/>
                <w:szCs w:val="28"/>
              </w:rPr>
            </w:pPr>
            <w:r w:rsidRPr="006A6885">
              <w:rPr>
                <w:sz w:val="28"/>
                <w:szCs w:val="28"/>
              </w:rPr>
              <w:t>Perform filtering on successfully mapped reads</w:t>
            </w:r>
          </w:p>
        </w:tc>
      </w:tr>
      <w:tr w:rsidR="006A6885" w:rsidRPr="006A6885" w14:paraId="011C8340" w14:textId="77777777" w:rsidTr="00B167CE">
        <w:trPr>
          <w:trHeight w:val="576"/>
        </w:trPr>
        <w:tc>
          <w:tcPr>
            <w:tcW w:w="1345" w:type="dxa"/>
            <w:vAlign w:val="center"/>
          </w:tcPr>
          <w:p w14:paraId="4A8FA6A5" w14:textId="77777777" w:rsidR="006A6885" w:rsidRPr="006A6885" w:rsidRDefault="006A6885" w:rsidP="006A6885">
            <w:pPr>
              <w:spacing w:after="160" w:line="259" w:lineRule="auto"/>
              <w:jc w:val="center"/>
              <w:rPr>
                <w:noProof/>
              </w:rPr>
            </w:pPr>
          </w:p>
        </w:tc>
        <w:tc>
          <w:tcPr>
            <w:tcW w:w="8190" w:type="dxa"/>
            <w:vAlign w:val="center"/>
          </w:tcPr>
          <w:p w14:paraId="03F8F6B0"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2576" behindDoc="1" locked="0" layoutInCell="1" allowOverlap="1" wp14:anchorId="5AF1B51F" wp14:editId="05BE4683">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203409732"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8B7A7" id="Rectangle 1" o:spid="_x0000_s1026" style="position:absolute;margin-left:-3.1pt;margin-top:-26.45pt;width:15.7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Filter on mapping quality, PCR duplicates, read pairs</w:t>
            </w:r>
          </w:p>
        </w:tc>
      </w:tr>
      <w:tr w:rsidR="006A6885" w:rsidRPr="006A6885" w14:paraId="17A6DE65" w14:textId="77777777" w:rsidTr="00B167CE">
        <w:trPr>
          <w:trHeight w:val="576"/>
        </w:trPr>
        <w:tc>
          <w:tcPr>
            <w:tcW w:w="1345" w:type="dxa"/>
            <w:vAlign w:val="center"/>
          </w:tcPr>
          <w:p w14:paraId="3DE3E267" w14:textId="77777777" w:rsidR="006A6885" w:rsidRPr="006A6885" w:rsidRDefault="006A6885" w:rsidP="006A6885">
            <w:pPr>
              <w:spacing w:after="160" w:line="259" w:lineRule="auto"/>
              <w:jc w:val="center"/>
              <w:rPr>
                <w:noProof/>
              </w:rPr>
            </w:pPr>
          </w:p>
        </w:tc>
        <w:tc>
          <w:tcPr>
            <w:tcW w:w="8190" w:type="dxa"/>
            <w:vAlign w:val="center"/>
          </w:tcPr>
          <w:p w14:paraId="6A714D14"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1552" behindDoc="1" locked="0" layoutInCell="1" allowOverlap="1" wp14:anchorId="6FA3BC18" wp14:editId="7773E0D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546385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98DEC" id="Rectangle 1" o:spid="_x0000_s1026" style="position:absolute;margin-left:-3.1pt;margin-top:-26.45pt;width:15.7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number of reads retained/filtered at each step</w:t>
            </w:r>
          </w:p>
        </w:tc>
      </w:tr>
      <w:tr w:rsidR="006A6885" w:rsidRPr="006A6885" w14:paraId="2DB8CF75" w14:textId="77777777" w:rsidTr="00B167CE">
        <w:trPr>
          <w:trHeight w:val="576"/>
        </w:trPr>
        <w:tc>
          <w:tcPr>
            <w:tcW w:w="1345" w:type="dxa"/>
            <w:vAlign w:val="center"/>
          </w:tcPr>
          <w:p w14:paraId="77AE9245"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73600" behindDoc="1" locked="0" layoutInCell="1" allowOverlap="1" wp14:anchorId="3386CA77" wp14:editId="55121005">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769588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286D3" id="Rectangle 1" o:spid="_x0000_s1026" style="position:absolute;margin-left:11.15pt;margin-top:-28.5pt;width:15.7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F2E4923" w14:textId="77777777" w:rsidR="006A6885" w:rsidRPr="006A6885" w:rsidRDefault="006A6885" w:rsidP="006A6885">
            <w:pPr>
              <w:spacing w:after="160" w:line="259" w:lineRule="auto"/>
              <w:rPr>
                <w:noProof/>
              </w:rPr>
            </w:pPr>
            <w:r w:rsidRPr="006A6885">
              <w:rPr>
                <w:sz w:val="28"/>
                <w:szCs w:val="28"/>
              </w:rPr>
              <w:t xml:space="preserve">Variant discovery </w:t>
            </w:r>
          </w:p>
        </w:tc>
      </w:tr>
      <w:tr w:rsidR="006A6885" w:rsidRPr="006A6885" w14:paraId="7CB8504E" w14:textId="77777777" w:rsidTr="00B167CE">
        <w:trPr>
          <w:trHeight w:val="576"/>
        </w:trPr>
        <w:tc>
          <w:tcPr>
            <w:tcW w:w="1345" w:type="dxa"/>
            <w:vAlign w:val="center"/>
          </w:tcPr>
          <w:p w14:paraId="25FB8C34" w14:textId="77777777" w:rsidR="006A6885" w:rsidRPr="006A6885" w:rsidRDefault="006A6885" w:rsidP="006A6885">
            <w:pPr>
              <w:spacing w:after="160" w:line="259" w:lineRule="auto"/>
              <w:jc w:val="center"/>
              <w:rPr>
                <w:noProof/>
              </w:rPr>
            </w:pPr>
            <w:r w:rsidRPr="006A6885">
              <w:rPr>
                <w:noProof/>
              </w:rPr>
              <w:lastRenderedPageBreak/>
              <mc:AlternateContent>
                <mc:Choice Requires="wps">
                  <w:drawing>
                    <wp:anchor distT="0" distB="0" distL="114300" distR="114300" simplePos="0" relativeHeight="251674624" behindDoc="1" locked="0" layoutInCell="1" allowOverlap="1" wp14:anchorId="30FD7306" wp14:editId="0632738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32246628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91C2" id="Rectangle 1" o:spid="_x0000_s1026" style="position:absolute;margin-left:11.15pt;margin-top:-28.5pt;width:15.7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3E3E726B" w14:textId="77777777" w:rsidR="006A6885" w:rsidRPr="006A6885" w:rsidRDefault="006A6885" w:rsidP="006A6885">
            <w:pPr>
              <w:spacing w:after="160" w:line="259" w:lineRule="auto"/>
              <w:rPr>
                <w:sz w:val="28"/>
                <w:szCs w:val="28"/>
              </w:rPr>
            </w:pPr>
            <w:r w:rsidRPr="006A6885">
              <w:rPr>
                <w:sz w:val="28"/>
                <w:szCs w:val="28"/>
              </w:rPr>
              <w:t>Begin or continue creation of multiple data sets</w:t>
            </w:r>
          </w:p>
        </w:tc>
      </w:tr>
      <w:tr w:rsidR="006A6885" w:rsidRPr="006A6885" w14:paraId="220BB4A2" w14:textId="77777777" w:rsidTr="00B167CE">
        <w:trPr>
          <w:trHeight w:val="576"/>
        </w:trPr>
        <w:tc>
          <w:tcPr>
            <w:tcW w:w="1345" w:type="dxa"/>
            <w:vAlign w:val="center"/>
          </w:tcPr>
          <w:p w14:paraId="45EDAD95" w14:textId="77777777" w:rsidR="006A6885" w:rsidRPr="006A6885" w:rsidRDefault="006A6885" w:rsidP="006A6885">
            <w:pPr>
              <w:spacing w:after="160" w:line="259" w:lineRule="auto"/>
              <w:jc w:val="center"/>
              <w:rPr>
                <w:noProof/>
              </w:rPr>
            </w:pPr>
          </w:p>
        </w:tc>
        <w:tc>
          <w:tcPr>
            <w:tcW w:w="8190" w:type="dxa"/>
            <w:vAlign w:val="center"/>
          </w:tcPr>
          <w:p w14:paraId="4A2900AC"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5648" behindDoc="1" locked="0" layoutInCell="1" allowOverlap="1" wp14:anchorId="58873E1D" wp14:editId="5766B53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39863861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8AB78" id="Rectangle 1" o:spid="_x0000_s1026" style="position:absolute;margin-left:-3.1pt;margin-top:-26.45pt;width:15.7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Decide on study-wide versus within-sample group filters</w:t>
            </w:r>
          </w:p>
        </w:tc>
      </w:tr>
      <w:tr w:rsidR="006A6885" w:rsidRPr="006A6885" w14:paraId="1BDA1C2C" w14:textId="77777777" w:rsidTr="00B167CE">
        <w:trPr>
          <w:trHeight w:val="576"/>
        </w:trPr>
        <w:tc>
          <w:tcPr>
            <w:tcW w:w="1345" w:type="dxa"/>
            <w:vAlign w:val="center"/>
          </w:tcPr>
          <w:p w14:paraId="361D5EC7" w14:textId="77777777" w:rsidR="006A6885" w:rsidRPr="006A6885" w:rsidRDefault="006A6885" w:rsidP="006A6885">
            <w:pPr>
              <w:spacing w:after="160" w:line="259" w:lineRule="auto"/>
              <w:jc w:val="center"/>
              <w:rPr>
                <w:noProof/>
              </w:rPr>
            </w:pPr>
          </w:p>
        </w:tc>
        <w:tc>
          <w:tcPr>
            <w:tcW w:w="8190" w:type="dxa"/>
            <w:vAlign w:val="center"/>
          </w:tcPr>
          <w:p w14:paraId="1FC9CD6A"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80768" behindDoc="1" locked="0" layoutInCell="1" allowOverlap="1" wp14:anchorId="1A4351FB" wp14:editId="23ACD0D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01904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54A9E" id="Rectangle 1" o:spid="_x0000_s1026" style="position:absolute;margin-left:-3.1pt;margin-top:-26.45pt;width:15.7pt;height:16.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Decide on filter values to employ and order of filters</w:t>
            </w:r>
          </w:p>
        </w:tc>
      </w:tr>
      <w:tr w:rsidR="006A6885" w:rsidRPr="006A6885" w14:paraId="2B4F8A36" w14:textId="77777777" w:rsidTr="00B167CE">
        <w:trPr>
          <w:trHeight w:val="576"/>
        </w:trPr>
        <w:tc>
          <w:tcPr>
            <w:tcW w:w="1345" w:type="dxa"/>
            <w:vAlign w:val="center"/>
          </w:tcPr>
          <w:p w14:paraId="19779476"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76672" behindDoc="1" locked="0" layoutInCell="1" allowOverlap="1" wp14:anchorId="37D4ACF6" wp14:editId="74FC1F92">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041032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0E38" id="Rectangle 1" o:spid="_x0000_s1026" style="position:absolute;margin-left:11.15pt;margin-top:-28.5pt;width:15.7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B87297E" w14:textId="77777777" w:rsidR="006A6885" w:rsidRPr="006A6885" w:rsidRDefault="006A6885" w:rsidP="006A6885">
            <w:pPr>
              <w:spacing w:after="160" w:line="259" w:lineRule="auto"/>
              <w:rPr>
                <w:sz w:val="28"/>
                <w:szCs w:val="28"/>
              </w:rPr>
            </w:pPr>
            <w:r w:rsidRPr="006A6885">
              <w:rPr>
                <w:sz w:val="28"/>
                <w:szCs w:val="28"/>
              </w:rPr>
              <w:t xml:space="preserve">Locus filtering (see text for when individual filtering should go first) </w:t>
            </w:r>
          </w:p>
        </w:tc>
      </w:tr>
      <w:tr w:rsidR="006A6885" w:rsidRPr="006A6885" w14:paraId="477B5A0A" w14:textId="77777777" w:rsidTr="00B167CE">
        <w:trPr>
          <w:trHeight w:val="576"/>
        </w:trPr>
        <w:tc>
          <w:tcPr>
            <w:tcW w:w="1345" w:type="dxa"/>
            <w:vAlign w:val="center"/>
          </w:tcPr>
          <w:p w14:paraId="2575FF61" w14:textId="77777777" w:rsidR="006A6885" w:rsidRPr="006A6885" w:rsidRDefault="006A6885" w:rsidP="006A6885">
            <w:pPr>
              <w:spacing w:after="160" w:line="259" w:lineRule="auto"/>
              <w:jc w:val="center"/>
              <w:rPr>
                <w:noProof/>
              </w:rPr>
            </w:pPr>
          </w:p>
        </w:tc>
        <w:tc>
          <w:tcPr>
            <w:tcW w:w="8190" w:type="dxa"/>
            <w:vAlign w:val="center"/>
          </w:tcPr>
          <w:p w14:paraId="3AD2E3D6"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8720" behindDoc="1" locked="0" layoutInCell="1" allowOverlap="1" wp14:anchorId="07542BD0" wp14:editId="4321832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414185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9FB26" id="Rectangle 1" o:spid="_x0000_s1026" style="position:absolute;margin-left:-3.1pt;margin-top:-26.45pt;width:15.7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Filter for MAF, HWP, paralogs, coverage etc. (see Table 1)</w:t>
            </w:r>
          </w:p>
        </w:tc>
      </w:tr>
      <w:tr w:rsidR="006A6885" w:rsidRPr="006A6885" w14:paraId="656DD965" w14:textId="77777777" w:rsidTr="00B167CE">
        <w:trPr>
          <w:trHeight w:val="576"/>
        </w:trPr>
        <w:tc>
          <w:tcPr>
            <w:tcW w:w="1345" w:type="dxa"/>
            <w:vAlign w:val="center"/>
          </w:tcPr>
          <w:p w14:paraId="623A0E8B"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77696" behindDoc="1" locked="0" layoutInCell="1" allowOverlap="1" wp14:anchorId="77B08E82" wp14:editId="4B58054A">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5956812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734DD" id="Rectangle 1" o:spid="_x0000_s1026" style="position:absolute;margin-left:11.15pt;margin-top:-28.5pt;width:15.7pt;height:16.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684CCD53" w14:textId="77777777" w:rsidR="006A6885" w:rsidRPr="006A6885" w:rsidRDefault="006A6885" w:rsidP="006A6885">
            <w:pPr>
              <w:spacing w:after="160" w:line="259" w:lineRule="auto"/>
              <w:rPr>
                <w:sz w:val="28"/>
                <w:szCs w:val="28"/>
              </w:rPr>
            </w:pPr>
            <w:r w:rsidRPr="006A6885">
              <w:rPr>
                <w:sz w:val="28"/>
                <w:szCs w:val="28"/>
              </w:rPr>
              <w:t>Individual filtering</w:t>
            </w:r>
          </w:p>
        </w:tc>
      </w:tr>
      <w:tr w:rsidR="006A6885" w:rsidRPr="006A6885" w14:paraId="0B242731" w14:textId="77777777" w:rsidTr="00B167CE">
        <w:trPr>
          <w:trHeight w:val="576"/>
        </w:trPr>
        <w:tc>
          <w:tcPr>
            <w:tcW w:w="1345" w:type="dxa"/>
            <w:vAlign w:val="center"/>
          </w:tcPr>
          <w:p w14:paraId="4239D547" w14:textId="77777777" w:rsidR="006A6885" w:rsidRPr="006A6885" w:rsidRDefault="006A6885" w:rsidP="006A6885">
            <w:pPr>
              <w:spacing w:after="160" w:line="259" w:lineRule="auto"/>
              <w:jc w:val="center"/>
              <w:rPr>
                <w:noProof/>
              </w:rPr>
            </w:pPr>
          </w:p>
        </w:tc>
        <w:tc>
          <w:tcPr>
            <w:tcW w:w="8190" w:type="dxa"/>
            <w:vAlign w:val="center"/>
          </w:tcPr>
          <w:p w14:paraId="3FB7D99D"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9744" behindDoc="1" locked="0" layoutInCell="1" allowOverlap="1" wp14:anchorId="0ACFCFA9" wp14:editId="615E4FD3">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96540531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50ACF" id="Rectangle 1" o:spid="_x0000_s1026" style="position:absolute;margin-left:-3.1pt;margin-top:-26.45pt;width:15.7pt;height:16.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Missing data; Mislabeling/contamination</w:t>
            </w:r>
          </w:p>
        </w:tc>
      </w:tr>
      <w:tr w:rsidR="006A6885" w:rsidRPr="006A6885" w14:paraId="392BE13C" w14:textId="77777777" w:rsidTr="00B167CE">
        <w:trPr>
          <w:trHeight w:val="576"/>
        </w:trPr>
        <w:tc>
          <w:tcPr>
            <w:tcW w:w="1345" w:type="dxa"/>
            <w:vAlign w:val="center"/>
          </w:tcPr>
          <w:p w14:paraId="05003D66"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1792" behindDoc="1" locked="0" layoutInCell="1" allowOverlap="1" wp14:anchorId="7A292BCA" wp14:editId="1881D1EE">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9120091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94FD4" id="Rectangle 1" o:spid="_x0000_s1026" style="position:absolute;margin-left:11.15pt;margin-top:-28.5pt;width:15.7pt;height:16.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540272D" w14:textId="77777777" w:rsidR="006A6885" w:rsidRPr="006A6885" w:rsidRDefault="006A6885" w:rsidP="006A6885">
            <w:pPr>
              <w:spacing w:after="160" w:line="259" w:lineRule="auto"/>
              <w:rPr>
                <w:noProof/>
              </w:rPr>
            </w:pPr>
            <w:r w:rsidRPr="006A6885">
              <w:rPr>
                <w:sz w:val="28"/>
                <w:szCs w:val="28"/>
              </w:rPr>
              <w:t>Dataset construction; continue reporting of all filters and reads filtered</w:t>
            </w:r>
          </w:p>
        </w:tc>
      </w:tr>
      <w:tr w:rsidR="006A6885" w:rsidRPr="006A6885" w14:paraId="6F9F2CD8" w14:textId="77777777" w:rsidTr="00B167CE">
        <w:trPr>
          <w:trHeight w:val="576"/>
        </w:trPr>
        <w:tc>
          <w:tcPr>
            <w:tcW w:w="1345" w:type="dxa"/>
            <w:vAlign w:val="center"/>
          </w:tcPr>
          <w:p w14:paraId="636C863F"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2816" behindDoc="1" locked="0" layoutInCell="1" allowOverlap="1" wp14:anchorId="475F6084" wp14:editId="3106859D">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2888973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7CF77" id="Rectangle 1" o:spid="_x0000_s1026" style="position:absolute;margin-left:11.15pt;margin-top:-28.5pt;width:15.7pt;height:16.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5671BB7" w14:textId="77777777" w:rsidR="006A6885" w:rsidRPr="006A6885" w:rsidRDefault="006A6885" w:rsidP="006A6885">
            <w:pPr>
              <w:spacing w:after="160" w:line="259" w:lineRule="auto"/>
              <w:rPr>
                <w:sz w:val="28"/>
                <w:szCs w:val="28"/>
              </w:rPr>
            </w:pPr>
            <w:r w:rsidRPr="006A6885">
              <w:rPr>
                <w:sz w:val="28"/>
                <w:szCs w:val="28"/>
              </w:rPr>
              <w:t>Data analysis and parameter estimation</w:t>
            </w:r>
          </w:p>
        </w:tc>
      </w:tr>
      <w:tr w:rsidR="006A6885" w:rsidRPr="006A6885" w14:paraId="432115DF" w14:textId="77777777" w:rsidTr="00B167CE">
        <w:trPr>
          <w:trHeight w:val="576"/>
        </w:trPr>
        <w:tc>
          <w:tcPr>
            <w:tcW w:w="1345" w:type="dxa"/>
            <w:vAlign w:val="center"/>
          </w:tcPr>
          <w:p w14:paraId="488853DA" w14:textId="77777777" w:rsidR="006A6885" w:rsidRPr="006A6885" w:rsidRDefault="006A6885" w:rsidP="006A6885">
            <w:pPr>
              <w:spacing w:after="160" w:line="259" w:lineRule="auto"/>
              <w:jc w:val="center"/>
              <w:rPr>
                <w:noProof/>
              </w:rPr>
            </w:pPr>
          </w:p>
        </w:tc>
        <w:tc>
          <w:tcPr>
            <w:tcW w:w="8190" w:type="dxa"/>
            <w:vAlign w:val="center"/>
          </w:tcPr>
          <w:p w14:paraId="3105B5ED"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86912" behindDoc="1" locked="0" layoutInCell="1" allowOverlap="1" wp14:anchorId="6240B3D2" wp14:editId="673F6CA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634219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7ADA4" id="Rectangle 1" o:spid="_x0000_s1026" style="position:absolute;margin-left:-3.1pt;margin-top:-26.45pt;width:15.7pt;height:16.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effects of filters on parameters/questions of interest</w:t>
            </w:r>
          </w:p>
        </w:tc>
      </w:tr>
      <w:tr w:rsidR="006A6885" w:rsidRPr="006A6885" w14:paraId="36BC6DC1" w14:textId="77777777" w:rsidTr="00B167CE">
        <w:trPr>
          <w:trHeight w:val="576"/>
        </w:trPr>
        <w:tc>
          <w:tcPr>
            <w:tcW w:w="1345" w:type="dxa"/>
            <w:vAlign w:val="center"/>
          </w:tcPr>
          <w:p w14:paraId="6750DE81"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3840" behindDoc="1" locked="0" layoutInCell="1" allowOverlap="1" wp14:anchorId="073956E9" wp14:editId="3DC7DA3F">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66002270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CDF8C" id="Rectangle 1" o:spid="_x0000_s1026" style="position:absolute;margin-left:11.15pt;margin-top:-28.5pt;width:15.7pt;height:16.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2474FA8B" w14:textId="77777777" w:rsidR="006A6885" w:rsidRPr="006A6885" w:rsidRDefault="006A6885" w:rsidP="006A6885">
            <w:pPr>
              <w:spacing w:after="160" w:line="259" w:lineRule="auto"/>
              <w:rPr>
                <w:sz w:val="28"/>
                <w:szCs w:val="28"/>
              </w:rPr>
            </w:pPr>
            <w:r w:rsidRPr="006A6885">
              <w:rPr>
                <w:sz w:val="28"/>
                <w:szCs w:val="28"/>
              </w:rPr>
              <w:t>Perform re-filtering and/or re-sequencing if necessary</w:t>
            </w:r>
          </w:p>
        </w:tc>
      </w:tr>
      <w:tr w:rsidR="006A6885" w:rsidRPr="006A6885" w14:paraId="49133B12" w14:textId="77777777" w:rsidTr="00B167CE">
        <w:trPr>
          <w:trHeight w:val="576"/>
        </w:trPr>
        <w:tc>
          <w:tcPr>
            <w:tcW w:w="1345" w:type="dxa"/>
            <w:vAlign w:val="center"/>
          </w:tcPr>
          <w:p w14:paraId="75CB54FC"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4864" behindDoc="1" locked="0" layoutInCell="1" allowOverlap="1" wp14:anchorId="370C862B" wp14:editId="7683ECF2">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9293767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4DB45" id="Rectangle 1" o:spid="_x0000_s1026" style="position:absolute;margin-left:11.15pt;margin-top:-28.5pt;width:15.7pt;height:16.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4883984" w14:textId="77777777" w:rsidR="006A6885" w:rsidRPr="006A6885" w:rsidRDefault="006A6885" w:rsidP="006A6885">
            <w:pPr>
              <w:spacing w:after="160" w:line="259" w:lineRule="auto"/>
              <w:rPr>
                <w:sz w:val="28"/>
                <w:szCs w:val="28"/>
              </w:rPr>
            </w:pPr>
            <w:r w:rsidRPr="006A6885">
              <w:rPr>
                <w:sz w:val="28"/>
                <w:szCs w:val="28"/>
              </w:rPr>
              <w:t>Final filter recording (report reads, loci, individuals lost at each step)</w:t>
            </w:r>
          </w:p>
        </w:tc>
      </w:tr>
      <w:tr w:rsidR="006A6885" w:rsidRPr="006A6885" w14:paraId="28619A8C" w14:textId="77777777" w:rsidTr="00B167CE">
        <w:trPr>
          <w:trHeight w:val="576"/>
        </w:trPr>
        <w:tc>
          <w:tcPr>
            <w:tcW w:w="1345" w:type="dxa"/>
            <w:vAlign w:val="center"/>
          </w:tcPr>
          <w:p w14:paraId="01CDEB46"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5888" behindDoc="1" locked="0" layoutInCell="1" allowOverlap="1" wp14:anchorId="3E25EB23" wp14:editId="4FBA74D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1394235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EEA6" id="Rectangle 1" o:spid="_x0000_s1026" style="position:absolute;margin-left:11.15pt;margin-top:-28.5pt;width:15.7pt;height:16.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3C785B7" w14:textId="77777777" w:rsidR="006A6885" w:rsidRPr="006A6885" w:rsidRDefault="006A6885" w:rsidP="006A6885">
            <w:pPr>
              <w:spacing w:after="160" w:line="259" w:lineRule="auto"/>
              <w:rPr>
                <w:sz w:val="28"/>
                <w:szCs w:val="28"/>
              </w:rPr>
            </w:pPr>
            <w:r w:rsidRPr="006A6885">
              <w:rPr>
                <w:sz w:val="28"/>
                <w:szCs w:val="28"/>
              </w:rPr>
              <w:t>Archive all filtered data sets as VCF files</w:t>
            </w:r>
          </w:p>
        </w:tc>
      </w:tr>
    </w:tbl>
    <w:p w14:paraId="361B4F59" w14:textId="77777777" w:rsidR="006A6885" w:rsidRDefault="006A6885" w:rsidP="00367E56">
      <w:pPr>
        <w:ind w:firstLine="0"/>
        <w:sectPr w:rsidR="006A6885" w:rsidSect="006A6885">
          <w:footerReference w:type="default" r:id="rId12"/>
          <w:footerReference w:type="first" r:id="rId13"/>
          <w:type w:val="continuous"/>
          <w:pgSz w:w="12240" w:h="15840"/>
          <w:pgMar w:top="1440" w:right="1440" w:bottom="1440" w:left="1440" w:header="720" w:footer="720" w:gutter="0"/>
          <w:lnNumType w:countBy="1" w:restart="continuous"/>
          <w:pgNumType w:start="0"/>
          <w:cols w:space="720"/>
          <w:titlePg/>
          <w:docGrid w:linePitch="326"/>
        </w:sectPr>
      </w:pPr>
    </w:p>
    <w:p w14:paraId="5B85E431" w14:textId="77777777" w:rsidR="00367E56" w:rsidRPr="00912A39" w:rsidRDefault="00367E56" w:rsidP="00F263B4">
      <w:pPr>
        <w:spacing w:line="240" w:lineRule="auto"/>
        <w:ind w:firstLine="0"/>
      </w:pPr>
      <w:r w:rsidRPr="00597E1F">
        <w:rPr>
          <w:b/>
          <w:bCs/>
        </w:rPr>
        <w:lastRenderedPageBreak/>
        <w:t>Table 1:</w:t>
      </w:r>
      <w:r>
        <w:rPr>
          <w:b/>
          <w:bCs/>
        </w:rPr>
        <w:t xml:space="preserve"> </w:t>
      </w:r>
      <w:r>
        <w:t xml:space="preserve">Extensive list of the different types of filters available for genomic sequencing data. We briefly describe the type of filtering performed and the approximate stages of a data filtering pipeline that each filtering step would occur where: </w:t>
      </w:r>
      <w:proofErr w:type="spellStart"/>
      <w:r>
        <w:rPr>
          <w:i/>
          <w:iCs/>
        </w:rPr>
        <w:t>i</w:t>
      </w:r>
      <w:proofErr w:type="spellEnd"/>
      <w:r>
        <w:t xml:space="preserve"> = sequence QC (Quality control), </w:t>
      </w:r>
      <w:r w:rsidRPr="00116499">
        <w:rPr>
          <w:i/>
          <w:iCs/>
        </w:rPr>
        <w:t>ii</w:t>
      </w:r>
      <w:r>
        <w:t xml:space="preserve">= alignment to a reference, </w:t>
      </w:r>
      <w:r w:rsidRPr="00116499">
        <w:rPr>
          <w:i/>
          <w:iCs/>
        </w:rPr>
        <w:t>iii</w:t>
      </w:r>
      <w:r>
        <w:t xml:space="preserve"> = variant discovery, and </w:t>
      </w:r>
      <w:r w:rsidRPr="00116499">
        <w:rPr>
          <w:i/>
          <w:iCs/>
        </w:rPr>
        <w:t>iv</w:t>
      </w:r>
      <w:r>
        <w:t xml:space="preserve"> = data analysis. Note that stages </w:t>
      </w:r>
      <w:proofErr w:type="spellStart"/>
      <w:r>
        <w:rPr>
          <w:i/>
          <w:iCs/>
        </w:rPr>
        <w:t>i</w:t>
      </w:r>
      <w:proofErr w:type="spellEnd"/>
      <w:r>
        <w:rPr>
          <w:i/>
          <w:iCs/>
        </w:rPr>
        <w:t xml:space="preserve"> </w:t>
      </w:r>
      <w:r>
        <w:t xml:space="preserve">and </w:t>
      </w:r>
      <w:r>
        <w:rPr>
          <w:i/>
          <w:iCs/>
        </w:rPr>
        <w:t xml:space="preserve">ii </w:t>
      </w:r>
      <w:r>
        <w:t xml:space="preserve">constitute pre-variant filtering and stages </w:t>
      </w:r>
      <w:r>
        <w:rPr>
          <w:i/>
          <w:iCs/>
        </w:rPr>
        <w:t xml:space="preserve">iii </w:t>
      </w:r>
      <w:r>
        <w:t xml:space="preserve">and </w:t>
      </w:r>
      <w:r>
        <w:rPr>
          <w:i/>
          <w:iCs/>
        </w:rPr>
        <w:t>iv</w:t>
      </w:r>
      <w:r>
        <w:t xml:space="preserve"> constitute post-variant filtering.</w:t>
      </w:r>
    </w:p>
    <w:tbl>
      <w:tblPr>
        <w:tblW w:w="13405" w:type="dxa"/>
        <w:tblLook w:val="04A0" w:firstRow="1" w:lastRow="0" w:firstColumn="1" w:lastColumn="0" w:noHBand="0" w:noVBand="1"/>
      </w:tblPr>
      <w:tblGrid>
        <w:gridCol w:w="3325"/>
        <w:gridCol w:w="900"/>
        <w:gridCol w:w="9180"/>
      </w:tblGrid>
      <w:tr w:rsidR="006A6885" w:rsidRPr="006A6885" w14:paraId="7E935538" w14:textId="77777777" w:rsidTr="00B167CE">
        <w:trPr>
          <w:trHeight w:val="630"/>
        </w:trPr>
        <w:tc>
          <w:tcPr>
            <w:tcW w:w="33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285B772" w14:textId="77777777" w:rsidR="006A6885" w:rsidRPr="006A6885" w:rsidRDefault="006A6885" w:rsidP="006A6885">
            <w:pPr>
              <w:spacing w:before="0" w:after="0" w:line="240" w:lineRule="auto"/>
              <w:ind w:firstLine="0"/>
              <w:rPr>
                <w:color w:val="000000"/>
                <w:sz w:val="28"/>
                <w:szCs w:val="28"/>
              </w:rPr>
            </w:pPr>
            <w:r w:rsidRPr="006A6885">
              <w:rPr>
                <w:b/>
                <w:bCs/>
                <w:color w:val="000000"/>
                <w:sz w:val="28"/>
                <w:szCs w:val="28"/>
              </w:rPr>
              <w:t>Filter</w:t>
            </w:r>
          </w:p>
        </w:tc>
        <w:tc>
          <w:tcPr>
            <w:tcW w:w="900" w:type="dxa"/>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6EDB6F92" w14:textId="77777777" w:rsidR="006A6885" w:rsidRPr="006A6885" w:rsidRDefault="006A6885" w:rsidP="006A6885">
            <w:pPr>
              <w:spacing w:before="0" w:after="0" w:line="240" w:lineRule="auto"/>
              <w:ind w:firstLine="0"/>
              <w:rPr>
                <w:b/>
                <w:bCs/>
                <w:color w:val="000000"/>
                <w:sz w:val="28"/>
                <w:szCs w:val="28"/>
              </w:rPr>
            </w:pPr>
            <w:r w:rsidRPr="006A6885">
              <w:rPr>
                <w:b/>
                <w:bCs/>
                <w:color w:val="000000"/>
                <w:sz w:val="28"/>
                <w:szCs w:val="28"/>
              </w:rPr>
              <w:t>Stage</w:t>
            </w:r>
          </w:p>
        </w:tc>
        <w:tc>
          <w:tcPr>
            <w:tcW w:w="9180" w:type="dxa"/>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7354281A" w14:textId="77777777" w:rsidR="006A6885" w:rsidRPr="006A6885" w:rsidRDefault="006A6885" w:rsidP="006A6885">
            <w:pPr>
              <w:spacing w:before="0" w:after="0" w:line="240" w:lineRule="auto"/>
              <w:ind w:firstLine="0"/>
              <w:rPr>
                <w:b/>
                <w:bCs/>
                <w:color w:val="000000"/>
                <w:sz w:val="28"/>
                <w:szCs w:val="28"/>
              </w:rPr>
            </w:pPr>
            <w:r w:rsidRPr="006A6885">
              <w:rPr>
                <w:b/>
                <w:bCs/>
                <w:color w:val="000000"/>
                <w:sz w:val="28"/>
                <w:szCs w:val="28"/>
              </w:rPr>
              <w:t>Description</w:t>
            </w:r>
          </w:p>
        </w:tc>
      </w:tr>
      <w:tr w:rsidR="006A6885" w:rsidRPr="006A6885" w14:paraId="6051F4E4"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7539353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Base quality scores</w:t>
            </w:r>
          </w:p>
        </w:tc>
        <w:tc>
          <w:tcPr>
            <w:tcW w:w="900" w:type="dxa"/>
            <w:tcBorders>
              <w:top w:val="nil"/>
              <w:left w:val="nil"/>
              <w:bottom w:val="single" w:sz="4" w:space="0" w:color="000000"/>
              <w:right w:val="single" w:sz="4" w:space="0" w:color="000000"/>
            </w:tcBorders>
            <w:shd w:val="clear" w:color="auto" w:fill="auto"/>
          </w:tcPr>
          <w:p w14:paraId="2EBB39CD" w14:textId="77777777" w:rsidR="006A6885" w:rsidRPr="006A6885" w:rsidRDefault="006A6885" w:rsidP="006A6885">
            <w:pPr>
              <w:spacing w:before="0" w:after="0" w:line="240" w:lineRule="auto"/>
              <w:ind w:firstLine="0"/>
              <w:rPr>
                <w:i/>
                <w:iCs/>
                <w:color w:val="000000"/>
                <w:sz w:val="22"/>
                <w:szCs w:val="22"/>
              </w:rPr>
            </w:pPr>
            <w:proofErr w:type="spellStart"/>
            <w:r w:rsidRPr="006A6885">
              <w:rPr>
                <w:i/>
                <w:iCs/>
                <w:color w:val="000000"/>
                <w:sz w:val="22"/>
                <w:szCs w:val="22"/>
              </w:rPr>
              <w:t>i</w:t>
            </w:r>
            <w:proofErr w:type="spellEnd"/>
          </w:p>
        </w:tc>
        <w:tc>
          <w:tcPr>
            <w:tcW w:w="9180" w:type="dxa"/>
            <w:tcBorders>
              <w:top w:val="nil"/>
              <w:left w:val="nil"/>
              <w:bottom w:val="single" w:sz="4" w:space="0" w:color="000000"/>
              <w:right w:val="single" w:sz="4" w:space="0" w:color="000000"/>
            </w:tcBorders>
            <w:shd w:val="clear" w:color="auto" w:fill="auto"/>
            <w:hideMark/>
          </w:tcPr>
          <w:p w14:paraId="5FA53793"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with many poor-quality (likely mis-read) bases.</w:t>
            </w:r>
          </w:p>
        </w:tc>
      </w:tr>
      <w:tr w:rsidR="006A6885" w:rsidRPr="006A6885" w14:paraId="2E3AD7B7"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32CBDA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Poly-G tails</w:t>
            </w:r>
          </w:p>
        </w:tc>
        <w:tc>
          <w:tcPr>
            <w:tcW w:w="900" w:type="dxa"/>
            <w:tcBorders>
              <w:top w:val="nil"/>
              <w:left w:val="nil"/>
              <w:bottom w:val="single" w:sz="4" w:space="0" w:color="000000"/>
              <w:right w:val="single" w:sz="4" w:space="0" w:color="000000"/>
            </w:tcBorders>
            <w:shd w:val="clear" w:color="auto" w:fill="auto"/>
          </w:tcPr>
          <w:p w14:paraId="26745595"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p>
        </w:tc>
        <w:tc>
          <w:tcPr>
            <w:tcW w:w="9180" w:type="dxa"/>
            <w:tcBorders>
              <w:top w:val="nil"/>
              <w:left w:val="nil"/>
              <w:bottom w:val="single" w:sz="4" w:space="0" w:color="000000"/>
              <w:right w:val="single" w:sz="4" w:space="0" w:color="000000"/>
            </w:tcBorders>
            <w:shd w:val="clear" w:color="auto" w:fill="auto"/>
            <w:hideMark/>
          </w:tcPr>
          <w:p w14:paraId="58040B8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spurious guanines (“</w:t>
            </w:r>
            <w:proofErr w:type="gramStart"/>
            <w:r w:rsidRPr="006A6885">
              <w:rPr>
                <w:color w:val="000000"/>
                <w:sz w:val="22"/>
                <w:szCs w:val="22"/>
              </w:rPr>
              <w:t>G”s</w:t>
            </w:r>
            <w:proofErr w:type="gramEnd"/>
            <w:r w:rsidRPr="006A6885">
              <w:rPr>
                <w:color w:val="000000"/>
                <w:sz w:val="22"/>
                <w:szCs w:val="22"/>
              </w:rPr>
              <w:t>) that can be added to the ends of reads on certain sequencing platforms. </w:t>
            </w:r>
          </w:p>
        </w:tc>
      </w:tr>
      <w:tr w:rsidR="006A6885" w:rsidRPr="006A6885" w14:paraId="764BEAE6"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22725EA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Adapter/Barcode/Cut-site trimming</w:t>
            </w:r>
          </w:p>
        </w:tc>
        <w:tc>
          <w:tcPr>
            <w:tcW w:w="900" w:type="dxa"/>
            <w:tcBorders>
              <w:top w:val="nil"/>
              <w:left w:val="nil"/>
              <w:bottom w:val="single" w:sz="4" w:space="0" w:color="000000"/>
              <w:right w:val="single" w:sz="4" w:space="0" w:color="000000"/>
            </w:tcBorders>
            <w:shd w:val="clear" w:color="auto" w:fill="auto"/>
          </w:tcPr>
          <w:p w14:paraId="18A4DD1F"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p>
        </w:tc>
        <w:tc>
          <w:tcPr>
            <w:tcW w:w="9180" w:type="dxa"/>
            <w:tcBorders>
              <w:top w:val="nil"/>
              <w:left w:val="nil"/>
              <w:bottom w:val="single" w:sz="4" w:space="0" w:color="000000"/>
              <w:right w:val="single" w:sz="4" w:space="0" w:color="000000"/>
            </w:tcBorders>
            <w:shd w:val="clear" w:color="auto" w:fill="auto"/>
            <w:hideMark/>
          </w:tcPr>
          <w:p w14:paraId="07C39C3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adapter, barcode, or cut-site sequences from the reads.</w:t>
            </w:r>
          </w:p>
        </w:tc>
      </w:tr>
      <w:tr w:rsidR="006A6885" w:rsidRPr="006A6885" w14:paraId="246C8FCB"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597F775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Adapter/Barcode/Cut-site mismatches</w:t>
            </w:r>
          </w:p>
        </w:tc>
        <w:tc>
          <w:tcPr>
            <w:tcW w:w="900" w:type="dxa"/>
            <w:tcBorders>
              <w:top w:val="nil"/>
              <w:left w:val="nil"/>
              <w:bottom w:val="single" w:sz="4" w:space="0" w:color="000000"/>
              <w:right w:val="single" w:sz="4" w:space="0" w:color="000000"/>
            </w:tcBorders>
            <w:shd w:val="clear" w:color="auto" w:fill="auto"/>
          </w:tcPr>
          <w:p w14:paraId="0A12DD5E"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p>
        </w:tc>
        <w:tc>
          <w:tcPr>
            <w:tcW w:w="9180" w:type="dxa"/>
            <w:tcBorders>
              <w:top w:val="nil"/>
              <w:left w:val="nil"/>
              <w:bottom w:val="single" w:sz="4" w:space="0" w:color="000000"/>
              <w:right w:val="single" w:sz="4" w:space="0" w:color="000000"/>
            </w:tcBorders>
            <w:shd w:val="clear" w:color="auto" w:fill="auto"/>
            <w:hideMark/>
          </w:tcPr>
          <w:p w14:paraId="10C3039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with mismatches in the adapter, barcode, or cut-site sequences.</w:t>
            </w:r>
          </w:p>
        </w:tc>
      </w:tr>
      <w:tr w:rsidR="006A6885" w:rsidRPr="006A6885" w14:paraId="141A0ACF"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73D52879" w14:textId="73FE1DB9" w:rsidR="006A6885" w:rsidRPr="006A6885" w:rsidRDefault="00DA726A" w:rsidP="006A6885">
            <w:pPr>
              <w:spacing w:before="0" w:after="0" w:line="240" w:lineRule="auto"/>
              <w:ind w:firstLine="0"/>
              <w:rPr>
                <w:color w:val="000000"/>
                <w:sz w:val="22"/>
                <w:szCs w:val="22"/>
              </w:rPr>
            </w:pPr>
            <w:r>
              <w:rPr>
                <w:color w:val="000000"/>
                <w:sz w:val="22"/>
                <w:szCs w:val="22"/>
              </w:rPr>
              <w:t xml:space="preserve">Read </w:t>
            </w:r>
            <w:r w:rsidR="006A6885" w:rsidRPr="006A6885">
              <w:rPr>
                <w:color w:val="000000"/>
                <w:sz w:val="22"/>
                <w:szCs w:val="22"/>
              </w:rPr>
              <w:t>K-</w:t>
            </w:r>
            <w:proofErr w:type="spellStart"/>
            <w:r w:rsidR="006A6885" w:rsidRPr="006A6885">
              <w:rPr>
                <w:color w:val="000000"/>
                <w:sz w:val="22"/>
                <w:szCs w:val="22"/>
              </w:rPr>
              <w:t>mer</w:t>
            </w:r>
            <w:proofErr w:type="spellEnd"/>
            <w:r w:rsidR="006A6885" w:rsidRPr="006A6885">
              <w:rPr>
                <w:color w:val="000000"/>
                <w:sz w:val="22"/>
                <w:szCs w:val="22"/>
              </w:rPr>
              <w:t xml:space="preserve"> distribution</w:t>
            </w:r>
          </w:p>
        </w:tc>
        <w:tc>
          <w:tcPr>
            <w:tcW w:w="900" w:type="dxa"/>
            <w:tcBorders>
              <w:top w:val="nil"/>
              <w:left w:val="nil"/>
              <w:bottom w:val="single" w:sz="4" w:space="0" w:color="000000"/>
              <w:right w:val="single" w:sz="4" w:space="0" w:color="000000"/>
            </w:tcBorders>
            <w:shd w:val="clear" w:color="auto" w:fill="auto"/>
          </w:tcPr>
          <w:p w14:paraId="537E9FF8"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r w:rsidRPr="006A6885">
              <w:rPr>
                <w:i/>
                <w:iCs/>
                <w:color w:val="000000"/>
                <w:sz w:val="22"/>
                <w:szCs w:val="22"/>
              </w:rPr>
              <w:t>, ii</w:t>
            </w:r>
          </w:p>
        </w:tc>
        <w:tc>
          <w:tcPr>
            <w:tcW w:w="9180" w:type="dxa"/>
            <w:tcBorders>
              <w:top w:val="nil"/>
              <w:left w:val="nil"/>
              <w:bottom w:val="single" w:sz="4" w:space="0" w:color="000000"/>
              <w:right w:val="single" w:sz="4" w:space="0" w:color="000000"/>
            </w:tcBorders>
            <w:shd w:val="clear" w:color="auto" w:fill="auto"/>
            <w:hideMark/>
          </w:tcPr>
          <w:p w14:paraId="3BCBCA3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with too many very common or rare runs of base-pairs (K-</w:t>
            </w:r>
            <w:proofErr w:type="spellStart"/>
            <w:r w:rsidRPr="006A6885">
              <w:rPr>
                <w:color w:val="000000"/>
                <w:sz w:val="22"/>
                <w:szCs w:val="22"/>
              </w:rPr>
              <w:t>mers</w:t>
            </w:r>
            <w:proofErr w:type="spellEnd"/>
            <w:r w:rsidRPr="006A6885">
              <w:rPr>
                <w:color w:val="000000"/>
                <w:sz w:val="22"/>
                <w:szCs w:val="22"/>
              </w:rPr>
              <w:t>).</w:t>
            </w:r>
          </w:p>
        </w:tc>
      </w:tr>
      <w:tr w:rsidR="006A6885" w:rsidRPr="006A6885" w14:paraId="3620243A"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61D64B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Technical/PCR duplicates</w:t>
            </w:r>
          </w:p>
        </w:tc>
        <w:tc>
          <w:tcPr>
            <w:tcW w:w="900" w:type="dxa"/>
            <w:tcBorders>
              <w:top w:val="nil"/>
              <w:left w:val="nil"/>
              <w:bottom w:val="single" w:sz="4" w:space="0" w:color="000000"/>
              <w:right w:val="single" w:sz="4" w:space="0" w:color="000000"/>
            </w:tcBorders>
            <w:shd w:val="clear" w:color="auto" w:fill="auto"/>
          </w:tcPr>
          <w:p w14:paraId="70AD9F30"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r w:rsidRPr="006A6885">
              <w:rPr>
                <w:i/>
                <w:iCs/>
                <w:color w:val="000000"/>
                <w:sz w:val="22"/>
                <w:szCs w:val="22"/>
              </w:rPr>
              <w:t>, ii</w:t>
            </w:r>
          </w:p>
        </w:tc>
        <w:tc>
          <w:tcPr>
            <w:tcW w:w="9180" w:type="dxa"/>
            <w:tcBorders>
              <w:top w:val="nil"/>
              <w:left w:val="nil"/>
              <w:bottom w:val="single" w:sz="4" w:space="0" w:color="000000"/>
              <w:right w:val="single" w:sz="4" w:space="0" w:color="000000"/>
            </w:tcBorders>
            <w:shd w:val="clear" w:color="auto" w:fill="auto"/>
            <w:hideMark/>
          </w:tcPr>
          <w:p w14:paraId="4FC0E50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Thinning of technical or PCR duplicates down to a single representative read.</w:t>
            </w:r>
          </w:p>
        </w:tc>
      </w:tr>
      <w:tr w:rsidR="006A6885" w:rsidRPr="006A6885" w14:paraId="05A95BAA" w14:textId="77777777" w:rsidTr="00B167CE">
        <w:trPr>
          <w:trHeight w:val="629"/>
        </w:trPr>
        <w:tc>
          <w:tcPr>
            <w:tcW w:w="3325" w:type="dxa"/>
            <w:tcBorders>
              <w:top w:val="nil"/>
              <w:left w:val="single" w:sz="4" w:space="0" w:color="000000"/>
              <w:bottom w:val="single" w:sz="4" w:space="0" w:color="000000"/>
              <w:right w:val="single" w:sz="4" w:space="0" w:color="000000"/>
            </w:tcBorders>
            <w:shd w:val="clear" w:color="auto" w:fill="auto"/>
            <w:hideMark/>
          </w:tcPr>
          <w:p w14:paraId="0A1A8C4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Alignment/Mapping scores</w:t>
            </w:r>
          </w:p>
        </w:tc>
        <w:tc>
          <w:tcPr>
            <w:tcW w:w="900" w:type="dxa"/>
            <w:tcBorders>
              <w:top w:val="nil"/>
              <w:left w:val="nil"/>
              <w:bottom w:val="single" w:sz="4" w:space="0" w:color="000000"/>
              <w:right w:val="single" w:sz="4" w:space="0" w:color="000000"/>
            </w:tcBorders>
            <w:shd w:val="clear" w:color="auto" w:fill="auto"/>
          </w:tcPr>
          <w:p w14:paraId="37836285"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4667580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that have poor mapping scores.</w:t>
            </w:r>
          </w:p>
        </w:tc>
      </w:tr>
      <w:tr w:rsidR="006A6885" w:rsidRPr="006A6885" w14:paraId="2869EBAB"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D2E4F0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Improperly paired reads (orientation and distance)</w:t>
            </w:r>
          </w:p>
        </w:tc>
        <w:tc>
          <w:tcPr>
            <w:tcW w:w="900" w:type="dxa"/>
            <w:tcBorders>
              <w:top w:val="nil"/>
              <w:left w:val="nil"/>
              <w:bottom w:val="single" w:sz="4" w:space="0" w:color="000000"/>
              <w:right w:val="single" w:sz="4" w:space="0" w:color="000000"/>
            </w:tcBorders>
            <w:shd w:val="clear" w:color="auto" w:fill="auto"/>
          </w:tcPr>
          <w:p w14:paraId="049B1B03"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4D67F68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paired-reads that are improperly paired (too far apart or incorrectly oriented)</w:t>
            </w:r>
          </w:p>
        </w:tc>
      </w:tr>
      <w:tr w:rsidR="006A6885" w:rsidRPr="006A6885" w14:paraId="45B0451B"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0282C94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Stack depth of coverage</w:t>
            </w:r>
          </w:p>
        </w:tc>
        <w:tc>
          <w:tcPr>
            <w:tcW w:w="900" w:type="dxa"/>
            <w:tcBorders>
              <w:top w:val="nil"/>
              <w:left w:val="nil"/>
              <w:bottom w:val="single" w:sz="4" w:space="0" w:color="000000"/>
              <w:right w:val="single" w:sz="4" w:space="0" w:color="000000"/>
            </w:tcBorders>
            <w:shd w:val="clear" w:color="auto" w:fill="auto"/>
          </w:tcPr>
          <w:p w14:paraId="6E716211"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0ECC10E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Usually for reduced-representation sequencing, removal of loci "stacks" that have too low of a sequencing depth across samples.</w:t>
            </w:r>
          </w:p>
        </w:tc>
      </w:tr>
      <w:tr w:rsidR="006A6885" w:rsidRPr="006A6885" w14:paraId="0256D450" w14:textId="77777777" w:rsidTr="00B167CE">
        <w:trPr>
          <w:trHeight w:val="638"/>
        </w:trPr>
        <w:tc>
          <w:tcPr>
            <w:tcW w:w="3325" w:type="dxa"/>
            <w:tcBorders>
              <w:top w:val="nil"/>
              <w:left w:val="single" w:sz="4" w:space="0" w:color="000000"/>
              <w:bottom w:val="single" w:sz="4" w:space="0" w:color="000000"/>
              <w:right w:val="single" w:sz="4" w:space="0" w:color="000000"/>
            </w:tcBorders>
            <w:shd w:val="clear" w:color="auto" w:fill="auto"/>
            <w:hideMark/>
          </w:tcPr>
          <w:p w14:paraId="1657ED9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Stack mismatches</w:t>
            </w:r>
          </w:p>
        </w:tc>
        <w:tc>
          <w:tcPr>
            <w:tcW w:w="900" w:type="dxa"/>
            <w:tcBorders>
              <w:top w:val="nil"/>
              <w:left w:val="nil"/>
              <w:bottom w:val="single" w:sz="4" w:space="0" w:color="000000"/>
              <w:right w:val="single" w:sz="4" w:space="0" w:color="000000"/>
            </w:tcBorders>
            <w:shd w:val="clear" w:color="auto" w:fill="auto"/>
          </w:tcPr>
          <w:p w14:paraId="46423FA0"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768FB67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Usually for reduced-representation sequencing, removal of loci "stacks" that have too many mismatched base-pairs across samples.</w:t>
            </w:r>
          </w:p>
        </w:tc>
      </w:tr>
      <w:tr w:rsidR="006A6885" w:rsidRPr="006A6885" w14:paraId="499AAFD4" w14:textId="77777777" w:rsidTr="00B167CE">
        <w:trPr>
          <w:trHeight w:val="710"/>
        </w:trPr>
        <w:tc>
          <w:tcPr>
            <w:tcW w:w="3325" w:type="dxa"/>
            <w:tcBorders>
              <w:top w:val="nil"/>
              <w:left w:val="single" w:sz="4" w:space="0" w:color="000000"/>
              <w:bottom w:val="single" w:sz="4" w:space="0" w:color="000000"/>
              <w:right w:val="single" w:sz="4" w:space="0" w:color="000000"/>
            </w:tcBorders>
            <w:shd w:val="clear" w:color="auto" w:fill="auto"/>
            <w:hideMark/>
          </w:tcPr>
          <w:p w14:paraId="581BAAA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lastRenderedPageBreak/>
              <w:t>Number of Alleles</w:t>
            </w:r>
          </w:p>
        </w:tc>
        <w:tc>
          <w:tcPr>
            <w:tcW w:w="900" w:type="dxa"/>
            <w:tcBorders>
              <w:top w:val="nil"/>
              <w:left w:val="nil"/>
              <w:bottom w:val="single" w:sz="4" w:space="0" w:color="000000"/>
              <w:right w:val="single" w:sz="4" w:space="0" w:color="000000"/>
            </w:tcBorders>
            <w:shd w:val="clear" w:color="auto" w:fill="auto"/>
          </w:tcPr>
          <w:p w14:paraId="386E74E1"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 iii</w:t>
            </w:r>
          </w:p>
        </w:tc>
        <w:tc>
          <w:tcPr>
            <w:tcW w:w="9180" w:type="dxa"/>
            <w:tcBorders>
              <w:top w:val="nil"/>
              <w:left w:val="nil"/>
              <w:bottom w:val="single" w:sz="4" w:space="0" w:color="000000"/>
              <w:right w:val="single" w:sz="4" w:space="0" w:color="000000"/>
            </w:tcBorders>
            <w:shd w:val="clear" w:color="auto" w:fill="auto"/>
            <w:hideMark/>
          </w:tcPr>
          <w:p w14:paraId="0086ACA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genotypes, haplotypes, or "stacks" with too many possible alleles. Usually for computational efficiency, but also to remove potential errors.</w:t>
            </w:r>
          </w:p>
        </w:tc>
      </w:tr>
      <w:tr w:rsidR="006A6885" w:rsidRPr="006A6885" w14:paraId="068EEE6E"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E58291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Low coverage/Quality by depth</w:t>
            </w:r>
          </w:p>
        </w:tc>
        <w:tc>
          <w:tcPr>
            <w:tcW w:w="900" w:type="dxa"/>
            <w:tcBorders>
              <w:top w:val="nil"/>
              <w:left w:val="nil"/>
              <w:bottom w:val="single" w:sz="4" w:space="0" w:color="000000"/>
              <w:right w:val="single" w:sz="4" w:space="0" w:color="000000"/>
            </w:tcBorders>
            <w:shd w:val="clear" w:color="auto" w:fill="auto"/>
          </w:tcPr>
          <w:p w14:paraId="272D2AD4"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hideMark/>
          </w:tcPr>
          <w:p w14:paraId="0AD0C7D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 called genotypes that had poor coverage. Joint "Quality-by-depth" often alternatively used.</w:t>
            </w:r>
          </w:p>
        </w:tc>
      </w:tr>
      <w:tr w:rsidR="006A6885" w:rsidRPr="006A6885" w14:paraId="404BA900" w14:textId="77777777" w:rsidTr="00B167CE">
        <w:trPr>
          <w:trHeight w:val="710"/>
        </w:trPr>
        <w:tc>
          <w:tcPr>
            <w:tcW w:w="3325" w:type="dxa"/>
            <w:tcBorders>
              <w:top w:val="nil"/>
              <w:left w:val="single" w:sz="4" w:space="0" w:color="000000"/>
              <w:bottom w:val="single" w:sz="4" w:space="0" w:color="000000"/>
              <w:right w:val="single" w:sz="4" w:space="0" w:color="000000"/>
            </w:tcBorders>
            <w:shd w:val="clear" w:color="auto" w:fill="auto"/>
            <w:noWrap/>
            <w:hideMark/>
          </w:tcPr>
          <w:p w14:paraId="345DA058"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Genotype Quality/Confidence</w:t>
            </w:r>
          </w:p>
        </w:tc>
        <w:tc>
          <w:tcPr>
            <w:tcW w:w="900" w:type="dxa"/>
            <w:tcBorders>
              <w:top w:val="nil"/>
              <w:left w:val="nil"/>
              <w:bottom w:val="single" w:sz="4" w:space="0" w:color="000000"/>
              <w:right w:val="single" w:sz="4" w:space="0" w:color="000000"/>
            </w:tcBorders>
            <w:shd w:val="clear" w:color="auto" w:fill="auto"/>
          </w:tcPr>
          <w:p w14:paraId="06DD1428"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hideMark/>
          </w:tcPr>
          <w:p w14:paraId="6A5B013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individually called genotypes with poor genotyping confidence. Joint "Quality-by-depth" often alternatively or additionally used.</w:t>
            </w:r>
          </w:p>
        </w:tc>
      </w:tr>
      <w:tr w:rsidR="006A6885" w:rsidRPr="006A6885" w14:paraId="438260D3"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319F3A0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High coverage</w:t>
            </w:r>
          </w:p>
        </w:tc>
        <w:tc>
          <w:tcPr>
            <w:tcW w:w="900" w:type="dxa"/>
            <w:tcBorders>
              <w:top w:val="nil"/>
              <w:left w:val="nil"/>
              <w:bottom w:val="single" w:sz="4" w:space="0" w:color="000000"/>
              <w:right w:val="single" w:sz="4" w:space="0" w:color="000000"/>
            </w:tcBorders>
            <w:shd w:val="clear" w:color="auto" w:fill="auto"/>
          </w:tcPr>
          <w:p w14:paraId="4482980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hideMark/>
          </w:tcPr>
          <w:p w14:paraId="611025AE" w14:textId="0D6FD4DF"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 called genotypes with very high coverage (usually indicating errors in the reference, paralogs</w:t>
            </w:r>
            <w:r w:rsidR="00DA726A">
              <w:rPr>
                <w:color w:val="000000"/>
                <w:sz w:val="22"/>
                <w:szCs w:val="22"/>
              </w:rPr>
              <w:t>,</w:t>
            </w:r>
            <w:r w:rsidRPr="006A6885">
              <w:rPr>
                <w:color w:val="000000"/>
                <w:sz w:val="22"/>
                <w:szCs w:val="22"/>
              </w:rPr>
              <w:t xml:space="preserve"> or copy-number variants, all of which require additional investigation).</w:t>
            </w:r>
          </w:p>
        </w:tc>
      </w:tr>
      <w:tr w:rsidR="006A6885" w:rsidRPr="006A6885" w14:paraId="26FF32C8"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BC9459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Insertion-deletions (Indels)</w:t>
            </w:r>
          </w:p>
        </w:tc>
        <w:tc>
          <w:tcPr>
            <w:tcW w:w="900" w:type="dxa"/>
            <w:tcBorders>
              <w:top w:val="nil"/>
              <w:left w:val="nil"/>
              <w:bottom w:val="single" w:sz="4" w:space="0" w:color="000000"/>
              <w:right w:val="single" w:sz="4" w:space="0" w:color="000000"/>
            </w:tcBorders>
            <w:shd w:val="clear" w:color="auto" w:fill="auto"/>
          </w:tcPr>
          <w:p w14:paraId="73804C08"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1BF1D18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insertions or deletions (indels), often required by many down-stream applications</w:t>
            </w:r>
          </w:p>
        </w:tc>
      </w:tr>
      <w:tr w:rsidR="006A6885" w:rsidRPr="006A6885" w14:paraId="44C2764D"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274BF23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Non-biallelic loci</w:t>
            </w:r>
          </w:p>
        </w:tc>
        <w:tc>
          <w:tcPr>
            <w:tcW w:w="900" w:type="dxa"/>
            <w:tcBorders>
              <w:top w:val="nil"/>
              <w:left w:val="nil"/>
              <w:bottom w:val="single" w:sz="4" w:space="0" w:color="000000"/>
              <w:right w:val="single" w:sz="4" w:space="0" w:color="000000"/>
            </w:tcBorders>
            <w:shd w:val="clear" w:color="auto" w:fill="auto"/>
          </w:tcPr>
          <w:p w14:paraId="27989787"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23F9E49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non-biallelic loci (</w:t>
            </w:r>
            <w:r w:rsidRPr="006A6885">
              <w:rPr>
                <w:i/>
                <w:iCs/>
                <w:color w:val="000000"/>
                <w:sz w:val="22"/>
                <w:szCs w:val="22"/>
              </w:rPr>
              <w:t>e.g.</w:t>
            </w:r>
            <w:r w:rsidRPr="006A6885">
              <w:rPr>
                <w:color w:val="000000"/>
                <w:sz w:val="22"/>
                <w:szCs w:val="22"/>
              </w:rPr>
              <w:t>, monomorphic or tri-allelic SNPs); required by many down-stream applications.</w:t>
            </w:r>
          </w:p>
        </w:tc>
      </w:tr>
      <w:tr w:rsidR="006A6885" w:rsidRPr="006A6885" w14:paraId="71366A3A"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34149D4"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Allow/deny listed variants</w:t>
            </w:r>
          </w:p>
        </w:tc>
        <w:tc>
          <w:tcPr>
            <w:tcW w:w="900" w:type="dxa"/>
            <w:tcBorders>
              <w:top w:val="nil"/>
              <w:left w:val="nil"/>
              <w:bottom w:val="single" w:sz="4" w:space="0" w:color="000000"/>
              <w:right w:val="single" w:sz="4" w:space="0" w:color="000000"/>
            </w:tcBorders>
            <w:shd w:val="clear" w:color="auto" w:fill="auto"/>
          </w:tcPr>
          <w:p w14:paraId="2ABA2C66"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43460B9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or inclusion of variants from pre-defined loci. Common for methods that target specific loci but may also sequence some additional off-target loci or where specific variants are known to be problematic.</w:t>
            </w:r>
          </w:p>
        </w:tc>
      </w:tr>
      <w:tr w:rsidR="006A6885" w:rsidRPr="006A6885" w14:paraId="3FD3B70A"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4F9627E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Variant Read Position</w:t>
            </w:r>
          </w:p>
        </w:tc>
        <w:tc>
          <w:tcPr>
            <w:tcW w:w="900" w:type="dxa"/>
            <w:tcBorders>
              <w:top w:val="nil"/>
              <w:left w:val="nil"/>
              <w:bottom w:val="single" w:sz="4" w:space="0" w:color="000000"/>
              <w:right w:val="single" w:sz="4" w:space="0" w:color="000000"/>
            </w:tcBorders>
            <w:shd w:val="clear" w:color="auto" w:fill="auto"/>
          </w:tcPr>
          <w:p w14:paraId="4E84E9D5"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5C0B7D53"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variants that tend to occur in biased positions on shotgun-sequenced reads.</w:t>
            </w:r>
          </w:p>
        </w:tc>
      </w:tr>
      <w:tr w:rsidR="006A6885" w:rsidRPr="006A6885" w14:paraId="7DDB0FFD"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3821C4F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Missing data - per individual</w:t>
            </w:r>
          </w:p>
        </w:tc>
        <w:tc>
          <w:tcPr>
            <w:tcW w:w="900" w:type="dxa"/>
            <w:tcBorders>
              <w:top w:val="nil"/>
              <w:left w:val="nil"/>
              <w:bottom w:val="single" w:sz="4" w:space="0" w:color="000000"/>
              <w:right w:val="single" w:sz="4" w:space="0" w:color="000000"/>
            </w:tcBorders>
            <w:shd w:val="clear" w:color="auto" w:fill="auto"/>
          </w:tcPr>
          <w:p w14:paraId="028DF267"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 xml:space="preserve">iii, iv </w:t>
            </w:r>
          </w:p>
        </w:tc>
        <w:tc>
          <w:tcPr>
            <w:tcW w:w="9180" w:type="dxa"/>
            <w:tcBorders>
              <w:top w:val="nil"/>
              <w:left w:val="nil"/>
              <w:bottom w:val="single" w:sz="4" w:space="0" w:color="000000"/>
              <w:right w:val="single" w:sz="4" w:space="0" w:color="000000"/>
            </w:tcBorders>
            <w:shd w:val="clear" w:color="auto" w:fill="auto"/>
            <w:hideMark/>
          </w:tcPr>
          <w:p w14:paraId="1A991583"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individuals with called genotypes at too few loci.</w:t>
            </w:r>
          </w:p>
        </w:tc>
      </w:tr>
      <w:tr w:rsidR="006A6885" w:rsidRPr="006A6885" w14:paraId="33E5B764"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5801661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Missing data - per locus</w:t>
            </w:r>
          </w:p>
        </w:tc>
        <w:tc>
          <w:tcPr>
            <w:tcW w:w="900" w:type="dxa"/>
            <w:tcBorders>
              <w:top w:val="nil"/>
              <w:left w:val="nil"/>
              <w:bottom w:val="single" w:sz="4" w:space="0" w:color="000000"/>
              <w:right w:val="single" w:sz="4" w:space="0" w:color="000000"/>
            </w:tcBorders>
            <w:shd w:val="clear" w:color="auto" w:fill="auto"/>
          </w:tcPr>
          <w:p w14:paraId="48B6E3C3"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2B4C946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with called genotypes in too few individuals.</w:t>
            </w:r>
          </w:p>
        </w:tc>
      </w:tr>
      <w:tr w:rsidR="006A6885" w:rsidRPr="006A6885" w14:paraId="5BB692DC"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0EB942D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Minor allele frequency</w:t>
            </w:r>
          </w:p>
        </w:tc>
        <w:tc>
          <w:tcPr>
            <w:tcW w:w="900" w:type="dxa"/>
            <w:tcBorders>
              <w:top w:val="nil"/>
              <w:left w:val="nil"/>
              <w:bottom w:val="single" w:sz="4" w:space="0" w:color="000000"/>
              <w:right w:val="single" w:sz="4" w:space="0" w:color="000000"/>
            </w:tcBorders>
            <w:shd w:val="clear" w:color="auto" w:fill="auto"/>
          </w:tcPr>
          <w:p w14:paraId="7446A8F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55CE058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with low minor allele frequencies.</w:t>
            </w:r>
          </w:p>
        </w:tc>
      </w:tr>
      <w:tr w:rsidR="006A6885" w:rsidRPr="006A6885" w14:paraId="443FC55C"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062CF01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Minor allele count</w:t>
            </w:r>
          </w:p>
        </w:tc>
        <w:tc>
          <w:tcPr>
            <w:tcW w:w="900" w:type="dxa"/>
            <w:tcBorders>
              <w:top w:val="nil"/>
              <w:left w:val="nil"/>
              <w:bottom w:val="single" w:sz="4" w:space="0" w:color="000000"/>
              <w:right w:val="single" w:sz="4" w:space="0" w:color="000000"/>
            </w:tcBorders>
            <w:shd w:val="clear" w:color="auto" w:fill="auto"/>
          </w:tcPr>
          <w:p w14:paraId="05029678"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4F532859"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with a low count of the minor allele across samples.</w:t>
            </w:r>
          </w:p>
        </w:tc>
      </w:tr>
      <w:tr w:rsidR="006A6885" w:rsidRPr="006A6885" w14:paraId="45876F90"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5D832AE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Hardy-Weinberg proportions</w:t>
            </w:r>
          </w:p>
        </w:tc>
        <w:tc>
          <w:tcPr>
            <w:tcW w:w="900" w:type="dxa"/>
            <w:tcBorders>
              <w:top w:val="nil"/>
              <w:left w:val="nil"/>
              <w:bottom w:val="single" w:sz="4" w:space="0" w:color="000000"/>
              <w:right w:val="single" w:sz="4" w:space="0" w:color="000000"/>
            </w:tcBorders>
            <w:shd w:val="clear" w:color="auto" w:fill="auto"/>
          </w:tcPr>
          <w:p w14:paraId="0C11702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1409582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significantly out of Hardy-Weinberg proportions.</w:t>
            </w:r>
          </w:p>
        </w:tc>
      </w:tr>
      <w:tr w:rsidR="006A6885" w:rsidRPr="006A6885" w14:paraId="38AF9476"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7CFC54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lastRenderedPageBreak/>
              <w:t>Strand Bias</w:t>
            </w:r>
          </w:p>
        </w:tc>
        <w:tc>
          <w:tcPr>
            <w:tcW w:w="900" w:type="dxa"/>
            <w:tcBorders>
              <w:top w:val="nil"/>
              <w:left w:val="nil"/>
              <w:bottom w:val="single" w:sz="4" w:space="0" w:color="000000"/>
              <w:right w:val="single" w:sz="4" w:space="0" w:color="000000"/>
            </w:tcBorders>
            <w:shd w:val="clear" w:color="auto" w:fill="auto"/>
          </w:tcPr>
          <w:p w14:paraId="78CFDFB9"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59C6BF8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where specific alleles are detected primarily on only the forward or reverse DNA strand.</w:t>
            </w:r>
          </w:p>
        </w:tc>
      </w:tr>
      <w:tr w:rsidR="006A6885" w:rsidRPr="006A6885" w14:paraId="0C7B4FA8"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42DF3F98"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Copy number variation</w:t>
            </w:r>
          </w:p>
        </w:tc>
        <w:tc>
          <w:tcPr>
            <w:tcW w:w="900" w:type="dxa"/>
            <w:tcBorders>
              <w:top w:val="nil"/>
              <w:left w:val="nil"/>
              <w:bottom w:val="single" w:sz="4" w:space="0" w:color="000000"/>
              <w:right w:val="single" w:sz="4" w:space="0" w:color="000000"/>
            </w:tcBorders>
            <w:shd w:val="clear" w:color="auto" w:fill="auto"/>
          </w:tcPr>
          <w:p w14:paraId="09978410"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14B2052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copy number variants. Often remain undiscovered.</w:t>
            </w:r>
          </w:p>
        </w:tc>
      </w:tr>
      <w:tr w:rsidR="006A6885" w:rsidRPr="006A6885" w14:paraId="46B8FD95"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1AB87E4"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Structural variants</w:t>
            </w:r>
          </w:p>
        </w:tc>
        <w:tc>
          <w:tcPr>
            <w:tcW w:w="900" w:type="dxa"/>
            <w:tcBorders>
              <w:top w:val="nil"/>
              <w:left w:val="nil"/>
              <w:bottom w:val="single" w:sz="4" w:space="0" w:color="000000"/>
              <w:right w:val="single" w:sz="4" w:space="0" w:color="000000"/>
            </w:tcBorders>
            <w:shd w:val="clear" w:color="auto" w:fill="auto"/>
          </w:tcPr>
          <w:p w14:paraId="5C8927F1"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14CE3AF8"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structural variants, such as inversions. Often remain undiscovered.</w:t>
            </w:r>
          </w:p>
        </w:tc>
      </w:tr>
      <w:tr w:rsidR="006A6885" w:rsidRPr="006A6885" w14:paraId="0870F4E6"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41E50D8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Sex-linked loci</w:t>
            </w:r>
          </w:p>
        </w:tc>
        <w:tc>
          <w:tcPr>
            <w:tcW w:w="900" w:type="dxa"/>
            <w:tcBorders>
              <w:top w:val="nil"/>
              <w:left w:val="nil"/>
              <w:bottom w:val="single" w:sz="4" w:space="0" w:color="000000"/>
              <w:right w:val="single" w:sz="4" w:space="0" w:color="000000"/>
            </w:tcBorders>
            <w:shd w:val="clear" w:color="auto" w:fill="auto"/>
          </w:tcPr>
          <w:p w14:paraId="0B44CA10"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69088F5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sex-linked loci, which may have biased statistical outcomes due to sex-specific sampling or behave in unexpected ways.</w:t>
            </w:r>
          </w:p>
        </w:tc>
      </w:tr>
      <w:tr w:rsidR="006A6885" w:rsidRPr="006A6885" w14:paraId="361A7B71"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06FD6A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Paralogs - allelic imbalance/depth/heterozygosity</w:t>
            </w:r>
          </w:p>
        </w:tc>
        <w:tc>
          <w:tcPr>
            <w:tcW w:w="900" w:type="dxa"/>
            <w:tcBorders>
              <w:top w:val="nil"/>
              <w:left w:val="nil"/>
              <w:bottom w:val="single" w:sz="4" w:space="0" w:color="000000"/>
              <w:right w:val="single" w:sz="4" w:space="0" w:color="000000"/>
            </w:tcBorders>
            <w:shd w:val="clear" w:color="auto" w:fill="auto"/>
          </w:tcPr>
          <w:p w14:paraId="0D8B6A64"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 iii, iv</w:t>
            </w:r>
          </w:p>
        </w:tc>
        <w:tc>
          <w:tcPr>
            <w:tcW w:w="9180" w:type="dxa"/>
            <w:tcBorders>
              <w:top w:val="nil"/>
              <w:left w:val="nil"/>
              <w:bottom w:val="single" w:sz="4" w:space="0" w:color="000000"/>
              <w:right w:val="single" w:sz="4" w:space="0" w:color="000000"/>
            </w:tcBorders>
            <w:shd w:val="clear" w:color="auto" w:fill="auto"/>
          </w:tcPr>
          <w:p w14:paraId="387D330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 xml:space="preserve">Removal of reads aligned to </w:t>
            </w:r>
            <w:proofErr w:type="spellStart"/>
            <w:r w:rsidRPr="006A6885">
              <w:rPr>
                <w:color w:val="000000"/>
                <w:sz w:val="22"/>
                <w:szCs w:val="22"/>
              </w:rPr>
              <w:t>paralagous</w:t>
            </w:r>
            <w:proofErr w:type="spellEnd"/>
            <w:r w:rsidRPr="006A6885">
              <w:rPr>
                <w:color w:val="000000"/>
                <w:sz w:val="22"/>
                <w:szCs w:val="22"/>
              </w:rPr>
              <w:t xml:space="preserve"> loci, where for recent paralogs it can be unclear from which of the gene copies the read was sequenced. Additional analyses are required. </w:t>
            </w:r>
          </w:p>
        </w:tc>
      </w:tr>
      <w:tr w:rsidR="006A6885" w:rsidRPr="006A6885" w14:paraId="483E8738"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30FE5BD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Mislabeling/Contamination</w:t>
            </w:r>
          </w:p>
        </w:tc>
        <w:tc>
          <w:tcPr>
            <w:tcW w:w="900" w:type="dxa"/>
            <w:tcBorders>
              <w:top w:val="nil"/>
              <w:left w:val="nil"/>
              <w:bottom w:val="single" w:sz="4" w:space="0" w:color="000000"/>
              <w:right w:val="single" w:sz="4" w:space="0" w:color="000000"/>
            </w:tcBorders>
            <w:shd w:val="clear" w:color="auto" w:fill="auto"/>
          </w:tcPr>
          <w:p w14:paraId="291727DF"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iv</w:t>
            </w:r>
          </w:p>
        </w:tc>
        <w:tc>
          <w:tcPr>
            <w:tcW w:w="9180" w:type="dxa"/>
            <w:tcBorders>
              <w:top w:val="nil"/>
              <w:left w:val="nil"/>
              <w:bottom w:val="single" w:sz="4" w:space="0" w:color="000000"/>
              <w:right w:val="single" w:sz="4" w:space="0" w:color="000000"/>
            </w:tcBorders>
            <w:shd w:val="clear" w:color="auto" w:fill="auto"/>
          </w:tcPr>
          <w:p w14:paraId="78614FC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 xml:space="preserve">Removal of individuals or loci that are likely </w:t>
            </w:r>
            <w:proofErr w:type="spellStart"/>
            <w:r w:rsidRPr="006A6885">
              <w:rPr>
                <w:color w:val="000000"/>
                <w:sz w:val="22"/>
                <w:szCs w:val="22"/>
              </w:rPr>
              <w:t>mislabled</w:t>
            </w:r>
            <w:proofErr w:type="spellEnd"/>
            <w:r w:rsidRPr="006A6885">
              <w:rPr>
                <w:color w:val="000000"/>
                <w:sz w:val="22"/>
                <w:szCs w:val="22"/>
              </w:rPr>
              <w:t>, contaminated, or have similar issues. Can often be identified via PCA and other comparative analyses.</w:t>
            </w:r>
          </w:p>
        </w:tc>
      </w:tr>
      <w:tr w:rsidR="006A6885" w:rsidRPr="006A6885" w14:paraId="39815E46"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noWrap/>
          </w:tcPr>
          <w:p w14:paraId="21D647F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Transition-transversion bias</w:t>
            </w:r>
          </w:p>
        </w:tc>
        <w:tc>
          <w:tcPr>
            <w:tcW w:w="900" w:type="dxa"/>
            <w:tcBorders>
              <w:top w:val="nil"/>
              <w:left w:val="nil"/>
              <w:bottom w:val="single" w:sz="4" w:space="0" w:color="000000"/>
              <w:right w:val="single" w:sz="4" w:space="0" w:color="000000"/>
            </w:tcBorders>
            <w:shd w:val="clear" w:color="auto" w:fill="auto"/>
          </w:tcPr>
          <w:p w14:paraId="349463D1"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iv</w:t>
            </w:r>
          </w:p>
        </w:tc>
        <w:tc>
          <w:tcPr>
            <w:tcW w:w="9180" w:type="dxa"/>
            <w:tcBorders>
              <w:top w:val="nil"/>
              <w:left w:val="nil"/>
              <w:bottom w:val="single" w:sz="4" w:space="0" w:color="000000"/>
              <w:right w:val="single" w:sz="4" w:space="0" w:color="000000"/>
            </w:tcBorders>
            <w:shd w:val="clear" w:color="auto" w:fill="auto"/>
          </w:tcPr>
          <w:p w14:paraId="3BC6178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 xml:space="preserve">Removal of loci from genomic regions with unexpected </w:t>
            </w:r>
            <w:proofErr w:type="spellStart"/>
            <w:r w:rsidRPr="006A6885">
              <w:rPr>
                <w:color w:val="000000"/>
                <w:sz w:val="22"/>
                <w:szCs w:val="22"/>
              </w:rPr>
              <w:t>transition:transversion</w:t>
            </w:r>
            <w:proofErr w:type="spellEnd"/>
            <w:r w:rsidRPr="006A6885">
              <w:rPr>
                <w:color w:val="000000"/>
                <w:sz w:val="22"/>
                <w:szCs w:val="22"/>
              </w:rPr>
              <w:t xml:space="preserve"> ratios.</w:t>
            </w:r>
          </w:p>
        </w:tc>
      </w:tr>
      <w:tr w:rsidR="006A6885" w:rsidRPr="006A6885" w14:paraId="2E9EE07E" w14:textId="77777777" w:rsidTr="00B167CE">
        <w:trPr>
          <w:trHeight w:val="630"/>
        </w:trPr>
        <w:tc>
          <w:tcPr>
            <w:tcW w:w="3325" w:type="dxa"/>
            <w:tcBorders>
              <w:top w:val="nil"/>
              <w:left w:val="single" w:sz="4" w:space="0" w:color="000000"/>
              <w:bottom w:val="single" w:sz="4" w:space="0" w:color="000000"/>
              <w:right w:val="single" w:sz="4" w:space="0" w:color="000000"/>
            </w:tcBorders>
            <w:shd w:val="clear" w:color="auto" w:fill="auto"/>
            <w:noWrap/>
          </w:tcPr>
          <w:p w14:paraId="330A812B"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F</w:t>
            </w:r>
            <w:r w:rsidRPr="006A6885">
              <w:rPr>
                <w:color w:val="000000"/>
                <w:sz w:val="22"/>
                <w:szCs w:val="22"/>
                <w:vertAlign w:val="subscript"/>
              </w:rPr>
              <w:t>ST</w:t>
            </w:r>
            <w:r w:rsidRPr="006A6885">
              <w:rPr>
                <w:color w:val="000000"/>
                <w:sz w:val="22"/>
                <w:szCs w:val="22"/>
              </w:rPr>
              <w:t>/selection Outliers</w:t>
            </w:r>
          </w:p>
        </w:tc>
        <w:tc>
          <w:tcPr>
            <w:tcW w:w="900" w:type="dxa"/>
            <w:tcBorders>
              <w:top w:val="nil"/>
              <w:left w:val="nil"/>
              <w:bottom w:val="single" w:sz="4" w:space="0" w:color="000000"/>
              <w:right w:val="single" w:sz="4" w:space="0" w:color="000000"/>
            </w:tcBorders>
            <w:shd w:val="clear" w:color="auto" w:fill="auto"/>
          </w:tcPr>
          <w:p w14:paraId="350A0B04"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iv</w:t>
            </w:r>
          </w:p>
        </w:tc>
        <w:tc>
          <w:tcPr>
            <w:tcW w:w="9180" w:type="dxa"/>
            <w:tcBorders>
              <w:top w:val="nil"/>
              <w:left w:val="nil"/>
              <w:bottom w:val="single" w:sz="4" w:space="0" w:color="000000"/>
              <w:right w:val="single" w:sz="4" w:space="0" w:color="000000"/>
            </w:tcBorders>
            <w:shd w:val="clear" w:color="auto" w:fill="auto"/>
          </w:tcPr>
          <w:p w14:paraId="5D555B5D"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outlier loci likely to be under selection. Useful for cases where putatively neutral processes specifically are of interest (</w:t>
            </w:r>
            <w:r w:rsidRPr="006A6885">
              <w:rPr>
                <w:i/>
                <w:iCs/>
                <w:color w:val="000000"/>
                <w:sz w:val="22"/>
                <w:szCs w:val="22"/>
              </w:rPr>
              <w:t>e.g.</w:t>
            </w:r>
            <w:r w:rsidRPr="006A6885">
              <w:rPr>
                <w:color w:val="000000"/>
                <w:sz w:val="22"/>
                <w:szCs w:val="22"/>
              </w:rPr>
              <w:t>, gene flow).</w:t>
            </w:r>
          </w:p>
        </w:tc>
      </w:tr>
    </w:tbl>
    <w:p w14:paraId="13284DB0" w14:textId="77777777" w:rsidR="00367E56" w:rsidRDefault="00367E56" w:rsidP="003F76ED">
      <w:pPr>
        <w:suppressLineNumbers/>
      </w:pPr>
      <w:r>
        <w:br w:type="page"/>
      </w:r>
    </w:p>
    <w:p w14:paraId="03B50F26" w14:textId="42FB886E" w:rsidR="00367E56" w:rsidRDefault="00367E56" w:rsidP="00F263B4">
      <w:pPr>
        <w:spacing w:line="240" w:lineRule="auto"/>
        <w:ind w:firstLine="0"/>
        <w:rPr>
          <w:bCs/>
        </w:rPr>
      </w:pPr>
      <w:r>
        <w:rPr>
          <w:b/>
        </w:rPr>
        <w:lastRenderedPageBreak/>
        <w:t xml:space="preserve">Table 2: </w:t>
      </w:r>
      <w:r>
        <w:t>A simplified example of how investigators could report the types of datasets (from different filtering) produced during filtering, containing several examples of filtered sets with suggested standardized nomenclature</w:t>
      </w:r>
      <w:r w:rsidR="00DA726A">
        <w:t>/notation</w:t>
      </w:r>
      <w:r>
        <w:t xml:space="preserve">. </w:t>
      </w:r>
      <w:r w:rsidR="00DA726A">
        <w:t>In this example</w:t>
      </w:r>
      <w:r>
        <w:t xml:space="preserve"> we assume that all filtering was performed on the same dataset. Filtering should be first guided by the types of questions investigators </w:t>
      </w:r>
      <w:r w:rsidR="00717BCE">
        <w:t>wish</w:t>
      </w:r>
      <w:r>
        <w:t xml:space="preserve"> to answer</w:t>
      </w:r>
      <w:r w:rsidR="00DA726A">
        <w:t>, but we also</w:t>
      </w:r>
      <w:r>
        <w:rPr>
          <w:bCs/>
        </w:rPr>
        <w:t xml:space="preserve"> strongly recommend that different filtering thresholds should be used to address the same question</w:t>
      </w:r>
      <w:r w:rsidR="00DA726A">
        <w:rPr>
          <w:bCs/>
        </w:rPr>
        <w:t xml:space="preserve"> for comparison. F</w:t>
      </w:r>
      <w:r>
        <w:rPr>
          <w:bCs/>
        </w:rPr>
        <w:t xml:space="preserve">or population structure, </w:t>
      </w:r>
      <w:r w:rsidR="00DA726A">
        <w:rPr>
          <w:bCs/>
        </w:rPr>
        <w:t xml:space="preserve">for example, </w:t>
      </w:r>
      <w:r>
        <w:rPr>
          <w:bCs/>
        </w:rPr>
        <w:t xml:space="preserve">investigators may want to examine the effects of </w:t>
      </w:r>
      <w:r w:rsidR="00DA726A">
        <w:rPr>
          <w:bCs/>
        </w:rPr>
        <w:t>several different</w:t>
      </w:r>
      <w:r>
        <w:rPr>
          <w:bCs/>
        </w:rPr>
        <w:t xml:space="preserve"> MAF </w:t>
      </w:r>
      <w:r w:rsidR="00DA726A">
        <w:rPr>
          <w:bCs/>
        </w:rPr>
        <w:t xml:space="preserve">thresholds, and therefore create several different similar datasets. </w:t>
      </w:r>
      <w:r w:rsidR="007C334C">
        <w:rPr>
          <w:bCs/>
        </w:rPr>
        <w:t>We show this below, although</w:t>
      </w:r>
      <w:r>
        <w:rPr>
          <w:bCs/>
        </w:rPr>
        <w:t xml:space="preserve"> in practice several thresholds should be used for most questions</w:t>
      </w:r>
      <w:r w:rsidR="007C334C">
        <w:rPr>
          <w:bCs/>
        </w:rPr>
        <w:t>, and more questions should be tested at multiple filtering thresholds</w:t>
      </w:r>
      <w:r>
        <w:rPr>
          <w:bCs/>
        </w:rPr>
        <w:t xml:space="preserve">. Notice that different questions suggest that different levels of filtering, types of filters, and filter thresholds should be applied. </w:t>
      </w:r>
      <w:r w:rsidR="007C334C">
        <w:rPr>
          <w:bCs/>
        </w:rPr>
        <w:t>As a final note, we also suggest that filtered VCF files be retained and archived for each dataset used in the analysis, and the names of those files clearly listed in this table or in the supplementary material for reproducibility purposes.</w:t>
      </w:r>
    </w:p>
    <w:tbl>
      <w:tblPr>
        <w:tblW w:w="19368" w:type="dxa"/>
        <w:tblInd w:w="-905" w:type="dxa"/>
        <w:tblLayout w:type="fixed"/>
        <w:tblLook w:val="04A0" w:firstRow="1" w:lastRow="0" w:firstColumn="1" w:lastColumn="0" w:noHBand="0" w:noVBand="1"/>
      </w:tblPr>
      <w:tblGrid>
        <w:gridCol w:w="1438"/>
        <w:gridCol w:w="1442"/>
        <w:gridCol w:w="1097"/>
        <w:gridCol w:w="95"/>
        <w:gridCol w:w="1102"/>
        <w:gridCol w:w="39"/>
        <w:gridCol w:w="900"/>
        <w:gridCol w:w="351"/>
        <w:gridCol w:w="885"/>
        <w:gridCol w:w="206"/>
        <w:gridCol w:w="528"/>
        <w:gridCol w:w="517"/>
        <w:gridCol w:w="890"/>
        <w:gridCol w:w="394"/>
        <w:gridCol w:w="528"/>
        <w:gridCol w:w="428"/>
        <w:gridCol w:w="667"/>
        <w:gridCol w:w="273"/>
        <w:gridCol w:w="1360"/>
        <w:gridCol w:w="108"/>
        <w:gridCol w:w="1172"/>
        <w:gridCol w:w="87"/>
        <w:gridCol w:w="527"/>
        <w:gridCol w:w="630"/>
        <w:gridCol w:w="1148"/>
        <w:gridCol w:w="1188"/>
        <w:gridCol w:w="1368"/>
      </w:tblGrid>
      <w:tr w:rsidR="006A6885" w:rsidRPr="006A6885" w14:paraId="77F1E273" w14:textId="77777777" w:rsidTr="00B167CE">
        <w:trPr>
          <w:gridAfter w:val="5"/>
          <w:wAfter w:w="4861" w:type="dxa"/>
          <w:trHeight w:val="315"/>
        </w:trPr>
        <w:tc>
          <w:tcPr>
            <w:tcW w:w="1438" w:type="dxa"/>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30EE29E0"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Questions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tcPr>
          <w:p w14:paraId="3BC93FF5" w14:textId="77777777" w:rsidR="006A6885" w:rsidRPr="006A6885" w:rsidRDefault="006A6885" w:rsidP="006A6885">
            <w:pPr>
              <w:spacing w:before="0" w:after="0" w:line="240" w:lineRule="auto"/>
              <w:ind w:firstLine="0"/>
              <w:jc w:val="center"/>
              <w:rPr>
                <w:b/>
                <w:bCs/>
                <w:color w:val="000000"/>
                <w:sz w:val="20"/>
                <w:szCs w:val="20"/>
              </w:rPr>
            </w:pPr>
            <w:r w:rsidRPr="006A6885">
              <w:rPr>
                <w:b/>
                <w:bCs/>
                <w:color w:val="000000"/>
                <w:sz w:val="20"/>
                <w:szCs w:val="20"/>
              </w:rPr>
              <w:t>Level</w:t>
            </w:r>
          </w:p>
        </w:tc>
        <w:tc>
          <w:tcPr>
            <w:tcW w:w="1097" w:type="dxa"/>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2A75BB8"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Mapping Quality</w:t>
            </w:r>
          </w:p>
        </w:tc>
        <w:tc>
          <w:tcPr>
            <w:tcW w:w="1236" w:type="dxa"/>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597660C8"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Genotype Quality</w:t>
            </w:r>
          </w:p>
        </w:tc>
        <w:tc>
          <w:tcPr>
            <w:tcW w:w="1251"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D6BC8AD"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MAF/MAC</w:t>
            </w:r>
          </w:p>
        </w:tc>
        <w:tc>
          <w:tcPr>
            <w:tcW w:w="1091"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1AFE5D88"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HWE*</w:t>
            </w:r>
          </w:p>
        </w:tc>
        <w:tc>
          <w:tcPr>
            <w:tcW w:w="528" w:type="dxa"/>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B56E53A"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LD</w:t>
            </w:r>
          </w:p>
        </w:tc>
        <w:tc>
          <w:tcPr>
            <w:tcW w:w="1407"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FA4AC1A"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Missing Data - Individuals</w:t>
            </w:r>
          </w:p>
        </w:tc>
        <w:tc>
          <w:tcPr>
            <w:tcW w:w="1350" w:type="dxa"/>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B6B269B"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Missing Data - Loci</w:t>
            </w:r>
          </w:p>
        </w:tc>
        <w:tc>
          <w:tcPr>
            <w:tcW w:w="940"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48B4D4E3" w14:textId="77777777" w:rsidR="006A6885" w:rsidRPr="006A6885" w:rsidRDefault="006A6885" w:rsidP="006A6885">
            <w:pPr>
              <w:spacing w:before="0" w:after="0" w:line="240" w:lineRule="auto"/>
              <w:ind w:firstLine="0"/>
              <w:rPr>
                <w:b/>
                <w:bCs/>
                <w:color w:val="000000"/>
                <w:sz w:val="20"/>
                <w:szCs w:val="20"/>
              </w:rPr>
            </w:pPr>
            <w:r w:rsidRPr="006A6885">
              <w:rPr>
                <w:b/>
                <w:bCs/>
                <w:i/>
                <w:iCs/>
                <w:color w:val="000000"/>
                <w:sz w:val="20"/>
                <w:szCs w:val="20"/>
              </w:rPr>
              <w:t>F</w:t>
            </w:r>
            <w:r w:rsidRPr="006A6885">
              <w:rPr>
                <w:b/>
                <w:bCs/>
                <w:i/>
                <w:iCs/>
                <w:color w:val="000000"/>
                <w:sz w:val="20"/>
                <w:szCs w:val="20"/>
                <w:vertAlign w:val="subscript"/>
              </w:rPr>
              <w:t>ST</w:t>
            </w:r>
            <w:r w:rsidRPr="006A6885">
              <w:rPr>
                <w:b/>
                <w:bCs/>
                <w:color w:val="000000"/>
                <w:sz w:val="20"/>
                <w:szCs w:val="20"/>
              </w:rPr>
              <w:t xml:space="preserve"> Outliers</w:t>
            </w:r>
          </w:p>
        </w:tc>
        <w:tc>
          <w:tcPr>
            <w:tcW w:w="1360" w:type="dxa"/>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5C57D45E"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 SNPs**</w:t>
            </w:r>
          </w:p>
        </w:tc>
        <w:tc>
          <w:tcPr>
            <w:tcW w:w="1367" w:type="dxa"/>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07AF410"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 Individuals</w:t>
            </w:r>
          </w:p>
        </w:tc>
      </w:tr>
      <w:tr w:rsidR="006A6885" w:rsidRPr="006A6885" w14:paraId="58A67CA7" w14:textId="77777777" w:rsidTr="00B167CE">
        <w:trPr>
          <w:gridAfter w:val="5"/>
          <w:wAfter w:w="4861" w:type="dxa"/>
          <w:trHeight w:val="503"/>
        </w:trPr>
        <w:tc>
          <w:tcPr>
            <w:tcW w:w="1438" w:type="dxa"/>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15895169"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Population structure</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5004F7E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Study-wide</w:t>
            </w:r>
          </w:p>
        </w:tc>
        <w:tc>
          <w:tcPr>
            <w:tcW w:w="1097" w:type="dxa"/>
            <w:tcBorders>
              <w:top w:val="nil"/>
              <w:left w:val="nil"/>
              <w:bottom w:val="single" w:sz="4" w:space="0" w:color="000000"/>
              <w:right w:val="single" w:sz="4" w:space="0" w:color="000000"/>
            </w:tcBorders>
            <w:shd w:val="clear" w:color="auto" w:fill="DBE5F1" w:themeFill="accent1" w:themeFillTint="33"/>
            <w:vAlign w:val="center"/>
          </w:tcPr>
          <w:p w14:paraId="69A6E25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DBE5F1" w:themeFill="accent1" w:themeFillTint="33"/>
            <w:vAlign w:val="center"/>
          </w:tcPr>
          <w:p w14:paraId="4246B8E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DBE5F1" w:themeFill="accent1" w:themeFillTint="33"/>
            <w:vAlign w:val="center"/>
          </w:tcPr>
          <w:p w14:paraId="2E30CC84" w14:textId="12830A7B" w:rsidR="006A6885" w:rsidRPr="006A6885" w:rsidRDefault="007C334C" w:rsidP="006A6885">
            <w:pPr>
              <w:spacing w:before="0" w:after="0" w:line="240" w:lineRule="auto"/>
              <w:ind w:firstLine="0"/>
              <w:rPr>
                <w:color w:val="000000"/>
                <w:sz w:val="20"/>
                <w:szCs w:val="20"/>
              </w:rPr>
            </w:pPr>
            <w:r>
              <w:rPr>
                <w:color w:val="000000"/>
                <w:sz w:val="20"/>
                <w:szCs w:val="20"/>
              </w:rPr>
              <w:t xml:space="preserve">&gt; </w:t>
            </w:r>
            <w:r w:rsidR="006A6885" w:rsidRPr="006A6885">
              <w:rPr>
                <w:color w:val="000000"/>
                <w:sz w:val="20"/>
                <w:szCs w:val="20"/>
              </w:rPr>
              <w:t>0.05</w:t>
            </w:r>
          </w:p>
        </w:tc>
        <w:tc>
          <w:tcPr>
            <w:tcW w:w="1091" w:type="dxa"/>
            <w:gridSpan w:val="2"/>
            <w:tcBorders>
              <w:top w:val="nil"/>
              <w:left w:val="nil"/>
              <w:bottom w:val="single" w:sz="4" w:space="0" w:color="000000"/>
              <w:right w:val="single" w:sz="4" w:space="0" w:color="000000"/>
            </w:tcBorders>
            <w:shd w:val="clear" w:color="auto" w:fill="DBE5F1" w:themeFill="accent1" w:themeFillTint="33"/>
            <w:vAlign w:val="center"/>
          </w:tcPr>
          <w:p w14:paraId="21229FD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0.01*</w:t>
            </w:r>
          </w:p>
        </w:tc>
        <w:tc>
          <w:tcPr>
            <w:tcW w:w="528" w:type="dxa"/>
            <w:tcBorders>
              <w:top w:val="nil"/>
              <w:left w:val="nil"/>
              <w:bottom w:val="single" w:sz="4" w:space="0" w:color="000000"/>
              <w:right w:val="single" w:sz="4" w:space="0" w:color="000000"/>
            </w:tcBorders>
            <w:shd w:val="clear" w:color="auto" w:fill="DBE5F1" w:themeFill="accent1" w:themeFillTint="33"/>
            <w:vAlign w:val="center"/>
          </w:tcPr>
          <w:p w14:paraId="485A1A26"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407" w:type="dxa"/>
            <w:gridSpan w:val="2"/>
            <w:tcBorders>
              <w:top w:val="nil"/>
              <w:left w:val="nil"/>
              <w:bottom w:val="single" w:sz="4" w:space="0" w:color="000000"/>
              <w:right w:val="single" w:sz="4" w:space="0" w:color="000000"/>
            </w:tcBorders>
            <w:shd w:val="clear" w:color="auto" w:fill="DBE5F1" w:themeFill="accent1" w:themeFillTint="33"/>
            <w:vAlign w:val="center"/>
          </w:tcPr>
          <w:p w14:paraId="43A9FBF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1350" w:type="dxa"/>
            <w:gridSpan w:val="3"/>
            <w:tcBorders>
              <w:top w:val="nil"/>
              <w:left w:val="nil"/>
              <w:bottom w:val="single" w:sz="4" w:space="0" w:color="000000"/>
              <w:right w:val="single" w:sz="4" w:space="0" w:color="000000"/>
            </w:tcBorders>
            <w:shd w:val="clear" w:color="auto" w:fill="DBE5F1" w:themeFill="accent1" w:themeFillTint="33"/>
            <w:vAlign w:val="center"/>
          </w:tcPr>
          <w:p w14:paraId="6B35377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940" w:type="dxa"/>
            <w:gridSpan w:val="2"/>
            <w:tcBorders>
              <w:top w:val="nil"/>
              <w:left w:val="nil"/>
              <w:bottom w:val="single" w:sz="4" w:space="0" w:color="000000"/>
              <w:right w:val="single" w:sz="4" w:space="0" w:color="000000"/>
            </w:tcBorders>
            <w:shd w:val="clear" w:color="auto" w:fill="DBE5F1" w:themeFill="accent1" w:themeFillTint="33"/>
            <w:vAlign w:val="center"/>
          </w:tcPr>
          <w:p w14:paraId="739D6AD4"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360" w:type="dxa"/>
            <w:tcBorders>
              <w:top w:val="nil"/>
              <w:left w:val="nil"/>
              <w:bottom w:val="single" w:sz="4" w:space="0" w:color="000000"/>
              <w:right w:val="single" w:sz="4" w:space="0" w:color="000000"/>
            </w:tcBorders>
            <w:shd w:val="clear" w:color="auto" w:fill="DBE5F1" w:themeFill="accent1" w:themeFillTint="33"/>
            <w:vAlign w:val="center"/>
          </w:tcPr>
          <w:p w14:paraId="7918336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400,000</w:t>
            </w:r>
          </w:p>
        </w:tc>
        <w:tc>
          <w:tcPr>
            <w:tcW w:w="1367" w:type="dxa"/>
            <w:gridSpan w:val="3"/>
            <w:tcBorders>
              <w:top w:val="nil"/>
              <w:left w:val="nil"/>
              <w:bottom w:val="single" w:sz="4" w:space="0" w:color="000000"/>
              <w:right w:val="single" w:sz="4" w:space="0" w:color="000000"/>
            </w:tcBorders>
            <w:shd w:val="clear" w:color="auto" w:fill="DBE5F1" w:themeFill="accent1" w:themeFillTint="33"/>
            <w:vAlign w:val="center"/>
          </w:tcPr>
          <w:p w14:paraId="307A233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190</w:t>
            </w:r>
          </w:p>
        </w:tc>
      </w:tr>
      <w:tr w:rsidR="006A6885" w:rsidRPr="006A6885" w14:paraId="3B0A7E9A" w14:textId="77777777" w:rsidTr="00B167CE">
        <w:trPr>
          <w:gridAfter w:val="5"/>
          <w:wAfter w:w="4861" w:type="dxa"/>
          <w:trHeight w:val="503"/>
        </w:trPr>
        <w:tc>
          <w:tcPr>
            <w:tcW w:w="1438" w:type="dxa"/>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0608F3E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Population structure</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20829C19"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Study-wide</w:t>
            </w:r>
          </w:p>
        </w:tc>
        <w:tc>
          <w:tcPr>
            <w:tcW w:w="1097" w:type="dxa"/>
            <w:tcBorders>
              <w:top w:val="nil"/>
              <w:left w:val="nil"/>
              <w:bottom w:val="single" w:sz="4" w:space="0" w:color="000000"/>
              <w:right w:val="single" w:sz="4" w:space="0" w:color="000000"/>
            </w:tcBorders>
            <w:shd w:val="clear" w:color="auto" w:fill="DBE5F1" w:themeFill="accent1" w:themeFillTint="33"/>
            <w:vAlign w:val="center"/>
          </w:tcPr>
          <w:p w14:paraId="4DAB2C1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DBE5F1" w:themeFill="accent1" w:themeFillTint="33"/>
            <w:vAlign w:val="center"/>
          </w:tcPr>
          <w:p w14:paraId="3AC86E37"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DBE5F1" w:themeFill="accent1" w:themeFillTint="33"/>
            <w:vAlign w:val="center"/>
          </w:tcPr>
          <w:p w14:paraId="3638FC5D" w14:textId="5179AD27" w:rsidR="006A6885" w:rsidRPr="006A6885" w:rsidRDefault="007C334C" w:rsidP="006A6885">
            <w:pPr>
              <w:spacing w:before="0" w:after="0" w:line="240" w:lineRule="auto"/>
              <w:ind w:firstLine="0"/>
              <w:rPr>
                <w:color w:val="000000"/>
                <w:sz w:val="20"/>
                <w:szCs w:val="20"/>
              </w:rPr>
            </w:pPr>
            <w:r>
              <w:rPr>
                <w:color w:val="000000"/>
                <w:sz w:val="20"/>
                <w:szCs w:val="20"/>
              </w:rPr>
              <w:t xml:space="preserve">&gt; </w:t>
            </w:r>
            <w:r w:rsidR="006A6885" w:rsidRPr="006A6885">
              <w:rPr>
                <w:color w:val="000000"/>
                <w:sz w:val="20"/>
                <w:szCs w:val="20"/>
              </w:rPr>
              <w:t>0.1</w:t>
            </w:r>
          </w:p>
        </w:tc>
        <w:tc>
          <w:tcPr>
            <w:tcW w:w="1091" w:type="dxa"/>
            <w:gridSpan w:val="2"/>
            <w:tcBorders>
              <w:top w:val="nil"/>
              <w:left w:val="nil"/>
              <w:bottom w:val="single" w:sz="4" w:space="0" w:color="000000"/>
              <w:right w:val="single" w:sz="4" w:space="0" w:color="000000"/>
            </w:tcBorders>
            <w:shd w:val="clear" w:color="auto" w:fill="DBE5F1" w:themeFill="accent1" w:themeFillTint="33"/>
            <w:vAlign w:val="center"/>
          </w:tcPr>
          <w:p w14:paraId="43364118"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0.01*</w:t>
            </w:r>
          </w:p>
        </w:tc>
        <w:tc>
          <w:tcPr>
            <w:tcW w:w="528" w:type="dxa"/>
            <w:tcBorders>
              <w:top w:val="nil"/>
              <w:left w:val="nil"/>
              <w:bottom w:val="single" w:sz="4" w:space="0" w:color="000000"/>
              <w:right w:val="single" w:sz="4" w:space="0" w:color="000000"/>
            </w:tcBorders>
            <w:shd w:val="clear" w:color="auto" w:fill="DBE5F1" w:themeFill="accent1" w:themeFillTint="33"/>
            <w:vAlign w:val="center"/>
          </w:tcPr>
          <w:p w14:paraId="136C103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407" w:type="dxa"/>
            <w:gridSpan w:val="2"/>
            <w:tcBorders>
              <w:top w:val="nil"/>
              <w:left w:val="nil"/>
              <w:bottom w:val="single" w:sz="4" w:space="0" w:color="000000"/>
              <w:right w:val="single" w:sz="4" w:space="0" w:color="000000"/>
            </w:tcBorders>
            <w:shd w:val="clear" w:color="auto" w:fill="DBE5F1" w:themeFill="accent1" w:themeFillTint="33"/>
            <w:vAlign w:val="center"/>
          </w:tcPr>
          <w:p w14:paraId="33B7917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1350" w:type="dxa"/>
            <w:gridSpan w:val="3"/>
            <w:tcBorders>
              <w:top w:val="nil"/>
              <w:left w:val="nil"/>
              <w:bottom w:val="single" w:sz="4" w:space="0" w:color="000000"/>
              <w:right w:val="single" w:sz="4" w:space="0" w:color="000000"/>
            </w:tcBorders>
            <w:shd w:val="clear" w:color="auto" w:fill="DBE5F1" w:themeFill="accent1" w:themeFillTint="33"/>
            <w:vAlign w:val="center"/>
          </w:tcPr>
          <w:p w14:paraId="2454102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940" w:type="dxa"/>
            <w:gridSpan w:val="2"/>
            <w:tcBorders>
              <w:top w:val="nil"/>
              <w:left w:val="nil"/>
              <w:bottom w:val="single" w:sz="4" w:space="0" w:color="000000"/>
              <w:right w:val="single" w:sz="4" w:space="0" w:color="000000"/>
            </w:tcBorders>
            <w:shd w:val="clear" w:color="auto" w:fill="DBE5F1" w:themeFill="accent1" w:themeFillTint="33"/>
            <w:vAlign w:val="center"/>
          </w:tcPr>
          <w:p w14:paraId="47FD1338"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360" w:type="dxa"/>
            <w:tcBorders>
              <w:top w:val="nil"/>
              <w:left w:val="nil"/>
              <w:bottom w:val="single" w:sz="4" w:space="0" w:color="000000"/>
              <w:right w:val="single" w:sz="4" w:space="0" w:color="000000"/>
            </w:tcBorders>
            <w:shd w:val="clear" w:color="auto" w:fill="DBE5F1" w:themeFill="accent1" w:themeFillTint="33"/>
            <w:vAlign w:val="center"/>
          </w:tcPr>
          <w:p w14:paraId="52D71DC4"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300,000</w:t>
            </w:r>
          </w:p>
        </w:tc>
        <w:tc>
          <w:tcPr>
            <w:tcW w:w="1367" w:type="dxa"/>
            <w:gridSpan w:val="3"/>
            <w:tcBorders>
              <w:top w:val="nil"/>
              <w:left w:val="nil"/>
              <w:bottom w:val="single" w:sz="4" w:space="0" w:color="000000"/>
              <w:right w:val="single" w:sz="4" w:space="0" w:color="000000"/>
            </w:tcBorders>
            <w:shd w:val="clear" w:color="auto" w:fill="DBE5F1" w:themeFill="accent1" w:themeFillTint="33"/>
            <w:vAlign w:val="center"/>
          </w:tcPr>
          <w:p w14:paraId="219DBA8D"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190</w:t>
            </w:r>
          </w:p>
        </w:tc>
      </w:tr>
      <w:tr w:rsidR="006A6885" w:rsidRPr="006A6885" w14:paraId="643F461D" w14:textId="77777777" w:rsidTr="00B167CE">
        <w:trPr>
          <w:gridAfter w:val="5"/>
          <w:wAfter w:w="4861" w:type="dxa"/>
          <w:trHeight w:val="620"/>
        </w:trPr>
        <w:tc>
          <w:tcPr>
            <w:tcW w:w="1438" w:type="dxa"/>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1CA7A972"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GWAS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671C4989"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Study-wide</w:t>
            </w:r>
          </w:p>
        </w:tc>
        <w:tc>
          <w:tcPr>
            <w:tcW w:w="1097" w:type="dxa"/>
            <w:tcBorders>
              <w:top w:val="nil"/>
              <w:left w:val="nil"/>
              <w:bottom w:val="single" w:sz="4" w:space="0" w:color="000000"/>
              <w:right w:val="single" w:sz="4" w:space="0" w:color="000000"/>
            </w:tcBorders>
            <w:shd w:val="clear" w:color="auto" w:fill="DBE5F1" w:themeFill="accent1" w:themeFillTint="33"/>
            <w:vAlign w:val="center"/>
          </w:tcPr>
          <w:p w14:paraId="433E05C7"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&gt;30</w:t>
            </w:r>
          </w:p>
        </w:tc>
        <w:tc>
          <w:tcPr>
            <w:tcW w:w="1236" w:type="dxa"/>
            <w:gridSpan w:val="3"/>
            <w:tcBorders>
              <w:top w:val="nil"/>
              <w:left w:val="nil"/>
              <w:bottom w:val="single" w:sz="4" w:space="0" w:color="000000"/>
              <w:right w:val="single" w:sz="4" w:space="0" w:color="000000"/>
            </w:tcBorders>
            <w:shd w:val="clear" w:color="auto" w:fill="DBE5F1" w:themeFill="accent1" w:themeFillTint="33"/>
            <w:vAlign w:val="center"/>
          </w:tcPr>
          <w:p w14:paraId="3D708A8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 (99% confidence)</w:t>
            </w:r>
          </w:p>
        </w:tc>
        <w:tc>
          <w:tcPr>
            <w:tcW w:w="1251" w:type="dxa"/>
            <w:gridSpan w:val="2"/>
            <w:tcBorders>
              <w:top w:val="nil"/>
              <w:left w:val="nil"/>
              <w:bottom w:val="single" w:sz="4" w:space="0" w:color="000000"/>
              <w:right w:val="single" w:sz="4" w:space="0" w:color="000000"/>
            </w:tcBorders>
            <w:shd w:val="clear" w:color="auto" w:fill="DBE5F1" w:themeFill="accent1" w:themeFillTint="33"/>
            <w:vAlign w:val="center"/>
          </w:tcPr>
          <w:p w14:paraId="217FDBE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 0.05</w:t>
            </w:r>
          </w:p>
        </w:tc>
        <w:tc>
          <w:tcPr>
            <w:tcW w:w="1091" w:type="dxa"/>
            <w:gridSpan w:val="2"/>
            <w:tcBorders>
              <w:top w:val="nil"/>
              <w:left w:val="nil"/>
              <w:bottom w:val="single" w:sz="4" w:space="0" w:color="000000"/>
              <w:right w:val="single" w:sz="4" w:space="0" w:color="000000"/>
            </w:tcBorders>
            <w:shd w:val="clear" w:color="auto" w:fill="DBE5F1" w:themeFill="accent1" w:themeFillTint="33"/>
            <w:vAlign w:val="center"/>
          </w:tcPr>
          <w:p w14:paraId="4122F10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0.01*</w:t>
            </w:r>
          </w:p>
        </w:tc>
        <w:tc>
          <w:tcPr>
            <w:tcW w:w="528" w:type="dxa"/>
            <w:tcBorders>
              <w:top w:val="nil"/>
              <w:left w:val="nil"/>
              <w:bottom w:val="single" w:sz="4" w:space="0" w:color="000000"/>
              <w:right w:val="single" w:sz="4" w:space="0" w:color="000000"/>
            </w:tcBorders>
            <w:shd w:val="clear" w:color="auto" w:fill="DBE5F1" w:themeFill="accent1" w:themeFillTint="33"/>
            <w:vAlign w:val="center"/>
          </w:tcPr>
          <w:p w14:paraId="7484518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407" w:type="dxa"/>
            <w:gridSpan w:val="2"/>
            <w:tcBorders>
              <w:top w:val="nil"/>
              <w:left w:val="nil"/>
              <w:bottom w:val="single" w:sz="4" w:space="0" w:color="000000"/>
              <w:right w:val="single" w:sz="4" w:space="0" w:color="000000"/>
            </w:tcBorders>
            <w:shd w:val="clear" w:color="auto" w:fill="DBE5F1" w:themeFill="accent1" w:themeFillTint="33"/>
            <w:vAlign w:val="center"/>
          </w:tcPr>
          <w:p w14:paraId="1339BC82"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1350" w:type="dxa"/>
            <w:gridSpan w:val="3"/>
            <w:tcBorders>
              <w:top w:val="nil"/>
              <w:left w:val="nil"/>
              <w:bottom w:val="single" w:sz="4" w:space="0" w:color="000000"/>
              <w:right w:val="single" w:sz="4" w:space="0" w:color="000000"/>
            </w:tcBorders>
            <w:shd w:val="clear" w:color="auto" w:fill="DBE5F1" w:themeFill="accent1" w:themeFillTint="33"/>
            <w:vAlign w:val="center"/>
          </w:tcPr>
          <w:p w14:paraId="29018DE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 xml:space="preserve"> &lt; 20%</w:t>
            </w:r>
          </w:p>
        </w:tc>
        <w:tc>
          <w:tcPr>
            <w:tcW w:w="940" w:type="dxa"/>
            <w:gridSpan w:val="2"/>
            <w:tcBorders>
              <w:top w:val="nil"/>
              <w:left w:val="nil"/>
              <w:bottom w:val="single" w:sz="4" w:space="0" w:color="000000"/>
              <w:right w:val="single" w:sz="4" w:space="0" w:color="000000"/>
            </w:tcBorders>
            <w:shd w:val="clear" w:color="auto" w:fill="DBE5F1" w:themeFill="accent1" w:themeFillTint="33"/>
            <w:vAlign w:val="center"/>
          </w:tcPr>
          <w:p w14:paraId="3BACFBF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360" w:type="dxa"/>
            <w:tcBorders>
              <w:top w:val="nil"/>
              <w:left w:val="nil"/>
              <w:bottom w:val="single" w:sz="4" w:space="0" w:color="000000"/>
              <w:right w:val="single" w:sz="4" w:space="0" w:color="000000"/>
            </w:tcBorders>
            <w:shd w:val="clear" w:color="auto" w:fill="DBE5F1" w:themeFill="accent1" w:themeFillTint="33"/>
            <w:vAlign w:val="center"/>
          </w:tcPr>
          <w:p w14:paraId="764AAC3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200,000</w:t>
            </w:r>
          </w:p>
        </w:tc>
        <w:tc>
          <w:tcPr>
            <w:tcW w:w="1367" w:type="dxa"/>
            <w:gridSpan w:val="3"/>
            <w:tcBorders>
              <w:top w:val="nil"/>
              <w:left w:val="nil"/>
              <w:bottom w:val="single" w:sz="4" w:space="0" w:color="000000"/>
              <w:right w:val="single" w:sz="4" w:space="0" w:color="000000"/>
            </w:tcBorders>
            <w:shd w:val="clear" w:color="auto" w:fill="DBE5F1" w:themeFill="accent1" w:themeFillTint="33"/>
            <w:vAlign w:val="center"/>
          </w:tcPr>
          <w:p w14:paraId="29BD7507"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100</w:t>
            </w:r>
          </w:p>
        </w:tc>
      </w:tr>
      <w:tr w:rsidR="006A6885" w:rsidRPr="006A6885" w14:paraId="5AD4A699" w14:textId="77777777" w:rsidTr="00B167CE">
        <w:trPr>
          <w:gridAfter w:val="5"/>
          <w:wAfter w:w="4861" w:type="dxa"/>
          <w:trHeight w:val="315"/>
        </w:trPr>
        <w:tc>
          <w:tcPr>
            <w:tcW w:w="1438" w:type="dxa"/>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6A71A5B1" w14:textId="22CE91F4" w:rsidR="006A6885" w:rsidRPr="006A6885" w:rsidRDefault="006A6885" w:rsidP="006A6885">
            <w:pPr>
              <w:spacing w:before="0" w:after="0" w:line="240" w:lineRule="auto"/>
              <w:ind w:firstLine="0"/>
              <w:rPr>
                <w:color w:val="000000"/>
                <w:sz w:val="20"/>
                <w:szCs w:val="20"/>
              </w:rPr>
            </w:pPr>
            <w:r w:rsidRPr="006A6885">
              <w:rPr>
                <w:color w:val="000000"/>
                <w:sz w:val="20"/>
                <w:szCs w:val="20"/>
              </w:rPr>
              <w:t>Tajima’s D;</w:t>
            </w:r>
            <w:r w:rsidRPr="006A6885">
              <w:rPr>
                <w:color w:val="000000"/>
                <w:sz w:val="20"/>
                <w:szCs w:val="20"/>
              </w:rPr>
              <w:br/>
              <w:t>SFS based estimators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24EE6B5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Within Sample-Group</w:t>
            </w:r>
          </w:p>
        </w:tc>
        <w:tc>
          <w:tcPr>
            <w:tcW w:w="1097" w:type="dxa"/>
            <w:tcBorders>
              <w:top w:val="nil"/>
              <w:left w:val="nil"/>
              <w:bottom w:val="single" w:sz="4" w:space="0" w:color="000000"/>
              <w:right w:val="single" w:sz="4" w:space="0" w:color="000000"/>
            </w:tcBorders>
            <w:shd w:val="clear" w:color="auto" w:fill="EAF1DD" w:themeFill="accent3" w:themeFillTint="33"/>
            <w:vAlign w:val="center"/>
            <w:hideMark/>
          </w:tcPr>
          <w:p w14:paraId="6999B67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48FA9BD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513A984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MAC &gt; 1</w:t>
            </w:r>
          </w:p>
        </w:tc>
        <w:tc>
          <w:tcPr>
            <w:tcW w:w="109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4FF07C3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1e-6</w:t>
            </w:r>
          </w:p>
        </w:tc>
        <w:tc>
          <w:tcPr>
            <w:tcW w:w="528" w:type="dxa"/>
            <w:tcBorders>
              <w:top w:val="nil"/>
              <w:left w:val="nil"/>
              <w:bottom w:val="single" w:sz="4" w:space="0" w:color="000000"/>
              <w:right w:val="single" w:sz="4" w:space="0" w:color="000000"/>
            </w:tcBorders>
            <w:shd w:val="clear" w:color="auto" w:fill="EAF1DD" w:themeFill="accent3" w:themeFillTint="33"/>
            <w:vAlign w:val="center"/>
            <w:hideMark/>
          </w:tcPr>
          <w:p w14:paraId="57DAFC96"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407"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0718EAD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50%</w:t>
            </w:r>
          </w:p>
        </w:tc>
        <w:tc>
          <w:tcPr>
            <w:tcW w:w="1350"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61F55C72"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50%</w:t>
            </w:r>
          </w:p>
        </w:tc>
        <w:tc>
          <w:tcPr>
            <w:tcW w:w="940"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1CE8594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360" w:type="dxa"/>
            <w:tcBorders>
              <w:top w:val="nil"/>
              <w:left w:val="nil"/>
              <w:bottom w:val="single" w:sz="4" w:space="0" w:color="000000"/>
              <w:right w:val="single" w:sz="4" w:space="0" w:color="000000"/>
            </w:tcBorders>
            <w:shd w:val="clear" w:color="auto" w:fill="EAF1DD" w:themeFill="accent3" w:themeFillTint="33"/>
            <w:vAlign w:val="center"/>
            <w:hideMark/>
          </w:tcPr>
          <w:p w14:paraId="18B6E1A6"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1,500,000**</w:t>
            </w:r>
          </w:p>
        </w:tc>
        <w:tc>
          <w:tcPr>
            <w:tcW w:w="1367"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3AFB6EC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200</w:t>
            </w:r>
          </w:p>
        </w:tc>
      </w:tr>
      <w:tr w:rsidR="006A6885" w:rsidRPr="006A6885" w14:paraId="7B59ECB6" w14:textId="77777777" w:rsidTr="00B167CE">
        <w:trPr>
          <w:gridAfter w:val="5"/>
          <w:wAfter w:w="4861" w:type="dxa"/>
          <w:trHeight w:val="315"/>
        </w:trPr>
        <w:tc>
          <w:tcPr>
            <w:tcW w:w="1438" w:type="dxa"/>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2B08162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Genetic diversity</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7047609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Within Sample-Group</w:t>
            </w:r>
          </w:p>
        </w:tc>
        <w:tc>
          <w:tcPr>
            <w:tcW w:w="1097" w:type="dxa"/>
            <w:tcBorders>
              <w:top w:val="nil"/>
              <w:left w:val="nil"/>
              <w:bottom w:val="single" w:sz="4" w:space="0" w:color="000000"/>
              <w:right w:val="single" w:sz="4" w:space="0" w:color="000000"/>
            </w:tcBorders>
            <w:shd w:val="clear" w:color="auto" w:fill="EAF1DD" w:themeFill="accent3" w:themeFillTint="33"/>
            <w:vAlign w:val="center"/>
            <w:hideMark/>
          </w:tcPr>
          <w:p w14:paraId="7D523D9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571128D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4857898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MAC &gt; 5</w:t>
            </w:r>
          </w:p>
        </w:tc>
        <w:tc>
          <w:tcPr>
            <w:tcW w:w="109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614300D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&gt;1e-4</w:t>
            </w:r>
          </w:p>
        </w:tc>
        <w:tc>
          <w:tcPr>
            <w:tcW w:w="528" w:type="dxa"/>
            <w:tcBorders>
              <w:top w:val="nil"/>
              <w:left w:val="nil"/>
              <w:bottom w:val="single" w:sz="4" w:space="0" w:color="000000"/>
              <w:right w:val="single" w:sz="4" w:space="0" w:color="000000"/>
            </w:tcBorders>
            <w:shd w:val="clear" w:color="auto" w:fill="EAF1DD" w:themeFill="accent3" w:themeFillTint="33"/>
            <w:vAlign w:val="center"/>
            <w:hideMark/>
          </w:tcPr>
          <w:p w14:paraId="62831B6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407"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5AC02C1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1350"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1967719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940"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307DEA3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360" w:type="dxa"/>
            <w:tcBorders>
              <w:top w:val="nil"/>
              <w:left w:val="nil"/>
              <w:bottom w:val="single" w:sz="4" w:space="0" w:color="000000"/>
              <w:right w:val="single" w:sz="4" w:space="0" w:color="000000"/>
            </w:tcBorders>
            <w:shd w:val="clear" w:color="auto" w:fill="EAF1DD" w:themeFill="accent3" w:themeFillTint="33"/>
            <w:vAlign w:val="center"/>
            <w:hideMark/>
          </w:tcPr>
          <w:p w14:paraId="698F7F4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500,000**</w:t>
            </w:r>
          </w:p>
        </w:tc>
        <w:tc>
          <w:tcPr>
            <w:tcW w:w="1367"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41126FD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170</w:t>
            </w:r>
          </w:p>
        </w:tc>
      </w:tr>
      <w:tr w:rsidR="006A6885" w:rsidRPr="006A6885" w14:paraId="15A12AE0" w14:textId="77777777" w:rsidTr="00B167CE">
        <w:trPr>
          <w:gridAfter w:val="5"/>
          <w:wAfter w:w="4861" w:type="dxa"/>
          <w:trHeight w:val="315"/>
        </w:trPr>
        <w:tc>
          <w:tcPr>
            <w:tcW w:w="1438" w:type="dxa"/>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43DAFF3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Selection; Selective sweeps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37EFAE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Within Sample-Group</w:t>
            </w:r>
          </w:p>
        </w:tc>
        <w:tc>
          <w:tcPr>
            <w:tcW w:w="1097" w:type="dxa"/>
            <w:tcBorders>
              <w:top w:val="nil"/>
              <w:left w:val="nil"/>
              <w:bottom w:val="single" w:sz="4" w:space="0" w:color="000000"/>
              <w:right w:val="single" w:sz="4" w:space="0" w:color="000000"/>
            </w:tcBorders>
            <w:shd w:val="clear" w:color="auto" w:fill="EAF1DD" w:themeFill="accent3" w:themeFillTint="33"/>
            <w:vAlign w:val="center"/>
            <w:hideMark/>
          </w:tcPr>
          <w:p w14:paraId="796CB37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5A2E52A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3E2653F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Any within group MAF &gt; 0.05</w:t>
            </w:r>
          </w:p>
        </w:tc>
        <w:tc>
          <w:tcPr>
            <w:tcW w:w="109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5F712A5D"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1e-4</w:t>
            </w:r>
          </w:p>
        </w:tc>
        <w:tc>
          <w:tcPr>
            <w:tcW w:w="528" w:type="dxa"/>
            <w:tcBorders>
              <w:top w:val="nil"/>
              <w:left w:val="nil"/>
              <w:bottom w:val="single" w:sz="4" w:space="0" w:color="000000"/>
              <w:right w:val="single" w:sz="4" w:space="0" w:color="000000"/>
            </w:tcBorders>
            <w:shd w:val="clear" w:color="auto" w:fill="EAF1DD" w:themeFill="accent3" w:themeFillTint="33"/>
            <w:vAlign w:val="center"/>
            <w:hideMark/>
          </w:tcPr>
          <w:p w14:paraId="13730BA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407"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3F91CAC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1350"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571DCD7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940"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2D6175B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360" w:type="dxa"/>
            <w:tcBorders>
              <w:top w:val="nil"/>
              <w:left w:val="nil"/>
              <w:bottom w:val="single" w:sz="4" w:space="0" w:color="000000"/>
              <w:right w:val="single" w:sz="4" w:space="0" w:color="000000"/>
            </w:tcBorders>
            <w:shd w:val="clear" w:color="auto" w:fill="EAF1DD" w:themeFill="accent3" w:themeFillTint="33"/>
            <w:vAlign w:val="center"/>
            <w:hideMark/>
          </w:tcPr>
          <w:p w14:paraId="0EEE2C5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700,000**</w:t>
            </w:r>
          </w:p>
        </w:tc>
        <w:tc>
          <w:tcPr>
            <w:tcW w:w="1367"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6227382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180</w:t>
            </w:r>
          </w:p>
        </w:tc>
      </w:tr>
      <w:tr w:rsidR="006A6885" w:rsidRPr="006A6885" w14:paraId="764F8AB6" w14:textId="77777777" w:rsidTr="00B167CE">
        <w:trPr>
          <w:trHeight w:val="315"/>
        </w:trPr>
        <w:tc>
          <w:tcPr>
            <w:tcW w:w="1438" w:type="dxa"/>
            <w:tcBorders>
              <w:top w:val="nil"/>
              <w:left w:val="nil"/>
              <w:bottom w:val="nil"/>
              <w:right w:val="nil"/>
            </w:tcBorders>
            <w:shd w:val="clear" w:color="auto" w:fill="auto"/>
            <w:noWrap/>
            <w:vAlign w:val="bottom"/>
            <w:hideMark/>
          </w:tcPr>
          <w:p w14:paraId="62F68187" w14:textId="77777777" w:rsidR="006A6885" w:rsidRPr="006A6885" w:rsidRDefault="006A6885" w:rsidP="006A6885">
            <w:pPr>
              <w:spacing w:before="0" w:after="0" w:line="240" w:lineRule="auto"/>
              <w:ind w:firstLine="0"/>
              <w:rPr>
                <w:sz w:val="20"/>
                <w:szCs w:val="20"/>
              </w:rPr>
            </w:pPr>
          </w:p>
        </w:tc>
        <w:tc>
          <w:tcPr>
            <w:tcW w:w="1442" w:type="dxa"/>
            <w:tcBorders>
              <w:top w:val="nil"/>
              <w:left w:val="nil"/>
              <w:bottom w:val="nil"/>
              <w:right w:val="nil"/>
            </w:tcBorders>
          </w:tcPr>
          <w:p w14:paraId="25D4140D" w14:textId="77777777" w:rsidR="006A6885" w:rsidRPr="006A6885" w:rsidRDefault="006A6885" w:rsidP="006A6885">
            <w:pPr>
              <w:spacing w:before="0" w:after="0" w:line="240" w:lineRule="auto"/>
              <w:ind w:firstLine="0"/>
              <w:rPr>
                <w:sz w:val="20"/>
                <w:szCs w:val="20"/>
              </w:rPr>
            </w:pPr>
          </w:p>
        </w:tc>
        <w:tc>
          <w:tcPr>
            <w:tcW w:w="1192" w:type="dxa"/>
            <w:gridSpan w:val="2"/>
            <w:tcBorders>
              <w:top w:val="nil"/>
              <w:left w:val="nil"/>
              <w:bottom w:val="nil"/>
              <w:right w:val="nil"/>
            </w:tcBorders>
            <w:shd w:val="clear" w:color="auto" w:fill="auto"/>
            <w:noWrap/>
            <w:vAlign w:val="bottom"/>
            <w:hideMark/>
          </w:tcPr>
          <w:p w14:paraId="541201CD" w14:textId="77777777" w:rsidR="006A6885" w:rsidRPr="006A6885" w:rsidRDefault="006A6885" w:rsidP="006A6885">
            <w:pPr>
              <w:spacing w:before="0" w:after="0" w:line="240" w:lineRule="auto"/>
              <w:ind w:firstLine="0"/>
              <w:rPr>
                <w:sz w:val="20"/>
                <w:szCs w:val="20"/>
              </w:rPr>
            </w:pPr>
          </w:p>
        </w:tc>
        <w:tc>
          <w:tcPr>
            <w:tcW w:w="1102" w:type="dxa"/>
            <w:tcBorders>
              <w:top w:val="nil"/>
              <w:left w:val="nil"/>
              <w:bottom w:val="nil"/>
              <w:right w:val="nil"/>
            </w:tcBorders>
            <w:shd w:val="clear" w:color="auto" w:fill="auto"/>
            <w:noWrap/>
            <w:vAlign w:val="bottom"/>
            <w:hideMark/>
          </w:tcPr>
          <w:p w14:paraId="51DBEF76" w14:textId="77777777" w:rsidR="006A6885" w:rsidRPr="006A6885" w:rsidRDefault="006A6885" w:rsidP="006A6885">
            <w:pPr>
              <w:spacing w:before="0" w:after="0" w:line="240" w:lineRule="auto"/>
              <w:ind w:firstLine="0"/>
              <w:rPr>
                <w:sz w:val="20"/>
                <w:szCs w:val="20"/>
              </w:rPr>
            </w:pPr>
          </w:p>
        </w:tc>
        <w:tc>
          <w:tcPr>
            <w:tcW w:w="939" w:type="dxa"/>
            <w:gridSpan w:val="2"/>
            <w:tcBorders>
              <w:top w:val="nil"/>
              <w:left w:val="nil"/>
              <w:bottom w:val="nil"/>
              <w:right w:val="nil"/>
            </w:tcBorders>
            <w:shd w:val="clear" w:color="auto" w:fill="auto"/>
            <w:noWrap/>
            <w:vAlign w:val="bottom"/>
            <w:hideMark/>
          </w:tcPr>
          <w:p w14:paraId="7D7E6179" w14:textId="77777777" w:rsidR="006A6885" w:rsidRPr="006A6885" w:rsidRDefault="006A6885" w:rsidP="006A6885">
            <w:pPr>
              <w:spacing w:before="0" w:after="0" w:line="240" w:lineRule="auto"/>
              <w:ind w:firstLine="0"/>
              <w:rPr>
                <w:sz w:val="20"/>
                <w:szCs w:val="20"/>
              </w:rPr>
            </w:pPr>
          </w:p>
        </w:tc>
        <w:tc>
          <w:tcPr>
            <w:tcW w:w="1236" w:type="dxa"/>
            <w:gridSpan w:val="2"/>
            <w:tcBorders>
              <w:top w:val="nil"/>
              <w:left w:val="nil"/>
              <w:bottom w:val="nil"/>
              <w:right w:val="nil"/>
            </w:tcBorders>
            <w:shd w:val="clear" w:color="auto" w:fill="auto"/>
            <w:noWrap/>
            <w:vAlign w:val="bottom"/>
            <w:hideMark/>
          </w:tcPr>
          <w:p w14:paraId="746E5677" w14:textId="77777777" w:rsidR="006A6885" w:rsidRPr="006A6885" w:rsidRDefault="006A6885" w:rsidP="006A6885">
            <w:pPr>
              <w:spacing w:before="0" w:after="0" w:line="240" w:lineRule="auto"/>
              <w:ind w:firstLine="0"/>
              <w:rPr>
                <w:sz w:val="20"/>
                <w:szCs w:val="20"/>
              </w:rPr>
            </w:pPr>
          </w:p>
        </w:tc>
        <w:tc>
          <w:tcPr>
            <w:tcW w:w="1251" w:type="dxa"/>
            <w:gridSpan w:val="3"/>
            <w:tcBorders>
              <w:top w:val="nil"/>
              <w:left w:val="nil"/>
              <w:bottom w:val="nil"/>
              <w:right w:val="nil"/>
            </w:tcBorders>
            <w:shd w:val="clear" w:color="auto" w:fill="auto"/>
            <w:noWrap/>
            <w:vAlign w:val="bottom"/>
            <w:hideMark/>
          </w:tcPr>
          <w:p w14:paraId="47F808A5" w14:textId="77777777" w:rsidR="006A6885" w:rsidRPr="006A6885" w:rsidRDefault="006A6885" w:rsidP="006A6885">
            <w:pPr>
              <w:spacing w:before="0" w:after="0" w:line="240" w:lineRule="auto"/>
              <w:ind w:firstLine="0"/>
              <w:rPr>
                <w:sz w:val="20"/>
                <w:szCs w:val="20"/>
              </w:rPr>
            </w:pPr>
          </w:p>
        </w:tc>
        <w:tc>
          <w:tcPr>
            <w:tcW w:w="1284" w:type="dxa"/>
            <w:gridSpan w:val="2"/>
            <w:tcBorders>
              <w:top w:val="nil"/>
              <w:left w:val="nil"/>
              <w:bottom w:val="nil"/>
              <w:right w:val="nil"/>
            </w:tcBorders>
            <w:shd w:val="clear" w:color="auto" w:fill="auto"/>
            <w:noWrap/>
            <w:vAlign w:val="bottom"/>
            <w:hideMark/>
          </w:tcPr>
          <w:p w14:paraId="11706DB2" w14:textId="77777777" w:rsidR="006A6885" w:rsidRPr="006A6885" w:rsidRDefault="006A6885" w:rsidP="006A6885">
            <w:pPr>
              <w:spacing w:before="0" w:after="0" w:line="240" w:lineRule="auto"/>
              <w:ind w:firstLine="0"/>
              <w:rPr>
                <w:sz w:val="20"/>
                <w:szCs w:val="20"/>
              </w:rPr>
            </w:pPr>
          </w:p>
        </w:tc>
        <w:tc>
          <w:tcPr>
            <w:tcW w:w="528" w:type="dxa"/>
            <w:tcBorders>
              <w:top w:val="nil"/>
              <w:left w:val="nil"/>
              <w:bottom w:val="nil"/>
              <w:right w:val="nil"/>
            </w:tcBorders>
            <w:shd w:val="clear" w:color="auto" w:fill="auto"/>
            <w:noWrap/>
            <w:vAlign w:val="bottom"/>
            <w:hideMark/>
          </w:tcPr>
          <w:p w14:paraId="212D11A5" w14:textId="77777777" w:rsidR="006A6885" w:rsidRPr="006A6885" w:rsidRDefault="006A6885" w:rsidP="006A6885">
            <w:pPr>
              <w:spacing w:before="0" w:after="0" w:line="240" w:lineRule="auto"/>
              <w:ind w:firstLine="0"/>
              <w:rPr>
                <w:sz w:val="20"/>
                <w:szCs w:val="20"/>
              </w:rPr>
            </w:pPr>
          </w:p>
        </w:tc>
        <w:tc>
          <w:tcPr>
            <w:tcW w:w="1095" w:type="dxa"/>
            <w:gridSpan w:val="2"/>
            <w:tcBorders>
              <w:top w:val="nil"/>
              <w:left w:val="nil"/>
              <w:bottom w:val="nil"/>
              <w:right w:val="nil"/>
            </w:tcBorders>
            <w:shd w:val="clear" w:color="auto" w:fill="auto"/>
            <w:noWrap/>
            <w:vAlign w:val="bottom"/>
            <w:hideMark/>
          </w:tcPr>
          <w:p w14:paraId="590AA176" w14:textId="77777777" w:rsidR="006A6885" w:rsidRPr="006A6885" w:rsidRDefault="006A6885" w:rsidP="006A6885">
            <w:pPr>
              <w:spacing w:before="0" w:after="0" w:line="240" w:lineRule="auto"/>
              <w:ind w:firstLine="0"/>
              <w:rPr>
                <w:sz w:val="20"/>
                <w:szCs w:val="20"/>
              </w:rPr>
            </w:pPr>
          </w:p>
        </w:tc>
        <w:tc>
          <w:tcPr>
            <w:tcW w:w="1741" w:type="dxa"/>
            <w:gridSpan w:val="3"/>
            <w:tcBorders>
              <w:top w:val="nil"/>
              <w:left w:val="nil"/>
              <w:bottom w:val="nil"/>
              <w:right w:val="nil"/>
            </w:tcBorders>
            <w:shd w:val="clear" w:color="auto" w:fill="auto"/>
            <w:noWrap/>
            <w:vAlign w:val="bottom"/>
            <w:hideMark/>
          </w:tcPr>
          <w:p w14:paraId="07E10064" w14:textId="77777777" w:rsidR="006A6885" w:rsidRPr="006A6885" w:rsidRDefault="006A6885" w:rsidP="006A6885">
            <w:pPr>
              <w:spacing w:before="0" w:after="0" w:line="240" w:lineRule="auto"/>
              <w:ind w:firstLine="0"/>
              <w:rPr>
                <w:sz w:val="20"/>
                <w:szCs w:val="20"/>
              </w:rPr>
            </w:pPr>
          </w:p>
        </w:tc>
        <w:tc>
          <w:tcPr>
            <w:tcW w:w="1172" w:type="dxa"/>
            <w:tcBorders>
              <w:top w:val="nil"/>
              <w:left w:val="nil"/>
              <w:bottom w:val="nil"/>
              <w:right w:val="nil"/>
            </w:tcBorders>
            <w:shd w:val="clear" w:color="auto" w:fill="auto"/>
            <w:noWrap/>
            <w:vAlign w:val="bottom"/>
            <w:hideMark/>
          </w:tcPr>
          <w:p w14:paraId="5DD8AB9B" w14:textId="77777777" w:rsidR="006A6885" w:rsidRPr="006A6885" w:rsidRDefault="006A6885" w:rsidP="006A6885">
            <w:pPr>
              <w:spacing w:before="0" w:after="0" w:line="240" w:lineRule="auto"/>
              <w:ind w:firstLine="0"/>
              <w:rPr>
                <w:sz w:val="20"/>
                <w:szCs w:val="20"/>
              </w:rPr>
            </w:pPr>
          </w:p>
        </w:tc>
        <w:tc>
          <w:tcPr>
            <w:tcW w:w="614" w:type="dxa"/>
            <w:gridSpan w:val="2"/>
            <w:tcBorders>
              <w:top w:val="nil"/>
              <w:left w:val="nil"/>
              <w:bottom w:val="nil"/>
              <w:right w:val="nil"/>
            </w:tcBorders>
            <w:shd w:val="clear" w:color="auto" w:fill="auto"/>
            <w:noWrap/>
            <w:vAlign w:val="bottom"/>
            <w:hideMark/>
          </w:tcPr>
          <w:p w14:paraId="5C3C4AC0" w14:textId="77777777" w:rsidR="006A6885" w:rsidRPr="006A6885" w:rsidRDefault="006A6885" w:rsidP="006A6885">
            <w:pPr>
              <w:spacing w:before="0" w:after="0" w:line="240" w:lineRule="auto"/>
              <w:ind w:firstLine="0"/>
              <w:rPr>
                <w:sz w:val="20"/>
                <w:szCs w:val="20"/>
              </w:rPr>
            </w:pPr>
          </w:p>
        </w:tc>
        <w:tc>
          <w:tcPr>
            <w:tcW w:w="630" w:type="dxa"/>
            <w:tcBorders>
              <w:top w:val="nil"/>
              <w:left w:val="nil"/>
              <w:bottom w:val="nil"/>
              <w:right w:val="nil"/>
            </w:tcBorders>
            <w:shd w:val="clear" w:color="auto" w:fill="auto"/>
            <w:noWrap/>
            <w:vAlign w:val="bottom"/>
            <w:hideMark/>
          </w:tcPr>
          <w:p w14:paraId="100C81BE" w14:textId="77777777" w:rsidR="006A6885" w:rsidRPr="006A6885" w:rsidRDefault="006A6885" w:rsidP="006A6885">
            <w:pPr>
              <w:spacing w:before="0" w:after="0" w:line="240" w:lineRule="auto"/>
              <w:ind w:firstLine="0"/>
              <w:rPr>
                <w:sz w:val="20"/>
                <w:szCs w:val="20"/>
              </w:rPr>
            </w:pPr>
          </w:p>
        </w:tc>
        <w:tc>
          <w:tcPr>
            <w:tcW w:w="1148" w:type="dxa"/>
            <w:tcBorders>
              <w:top w:val="nil"/>
              <w:left w:val="nil"/>
              <w:bottom w:val="nil"/>
              <w:right w:val="nil"/>
            </w:tcBorders>
            <w:shd w:val="clear" w:color="auto" w:fill="auto"/>
            <w:noWrap/>
            <w:vAlign w:val="bottom"/>
            <w:hideMark/>
          </w:tcPr>
          <w:p w14:paraId="4ADA0F45" w14:textId="77777777" w:rsidR="006A6885" w:rsidRPr="006A6885" w:rsidRDefault="006A6885" w:rsidP="006A6885">
            <w:pPr>
              <w:spacing w:before="0" w:after="0" w:line="240" w:lineRule="auto"/>
              <w:ind w:firstLine="0"/>
              <w:rPr>
                <w:sz w:val="20"/>
                <w:szCs w:val="20"/>
              </w:rPr>
            </w:pPr>
          </w:p>
        </w:tc>
        <w:tc>
          <w:tcPr>
            <w:tcW w:w="1188" w:type="dxa"/>
            <w:tcBorders>
              <w:top w:val="nil"/>
              <w:left w:val="nil"/>
              <w:bottom w:val="nil"/>
              <w:right w:val="nil"/>
            </w:tcBorders>
            <w:shd w:val="clear" w:color="auto" w:fill="auto"/>
            <w:noWrap/>
            <w:vAlign w:val="bottom"/>
            <w:hideMark/>
          </w:tcPr>
          <w:p w14:paraId="2A889B37" w14:textId="77777777" w:rsidR="006A6885" w:rsidRPr="006A6885" w:rsidRDefault="006A6885" w:rsidP="006A6885">
            <w:pPr>
              <w:spacing w:before="0" w:after="0" w:line="240" w:lineRule="auto"/>
              <w:ind w:firstLine="0"/>
              <w:rPr>
                <w:sz w:val="20"/>
                <w:szCs w:val="20"/>
              </w:rPr>
            </w:pPr>
          </w:p>
        </w:tc>
        <w:tc>
          <w:tcPr>
            <w:tcW w:w="1368" w:type="dxa"/>
            <w:tcBorders>
              <w:top w:val="nil"/>
              <w:left w:val="nil"/>
              <w:bottom w:val="nil"/>
              <w:right w:val="nil"/>
            </w:tcBorders>
            <w:shd w:val="clear" w:color="auto" w:fill="auto"/>
            <w:noWrap/>
            <w:vAlign w:val="bottom"/>
            <w:hideMark/>
          </w:tcPr>
          <w:p w14:paraId="55B75BF4" w14:textId="77777777" w:rsidR="006A6885" w:rsidRPr="006A6885" w:rsidRDefault="006A6885" w:rsidP="006A6885">
            <w:pPr>
              <w:spacing w:before="0" w:after="0" w:line="240" w:lineRule="auto"/>
              <w:ind w:firstLine="0"/>
              <w:rPr>
                <w:sz w:val="20"/>
                <w:szCs w:val="20"/>
              </w:rPr>
            </w:pPr>
          </w:p>
        </w:tc>
      </w:tr>
    </w:tbl>
    <w:p w14:paraId="56C1390F" w14:textId="18E50DCA" w:rsidR="00F263B4" w:rsidRDefault="00367E56" w:rsidP="00F263B4">
      <w:pPr>
        <w:spacing w:line="240" w:lineRule="auto"/>
        <w:ind w:firstLine="0"/>
        <w:rPr>
          <w:bCs/>
        </w:rPr>
      </w:pPr>
      <w:r>
        <w:rPr>
          <w:bCs/>
        </w:rPr>
        <w:t>*</w:t>
      </w:r>
      <w:r w:rsidR="007C334C">
        <w:rPr>
          <w:bCs/>
        </w:rPr>
        <w:t>Filters for loci out of</w:t>
      </w:r>
      <w:r>
        <w:rPr>
          <w:bCs/>
        </w:rPr>
        <w:t xml:space="preserve"> HWE should only be applied at a within sample-group level (see </w:t>
      </w:r>
      <w:r w:rsidR="007C334C">
        <w:rPr>
          <w:bCs/>
        </w:rPr>
        <w:t xml:space="preserve">Pearman </w:t>
      </w:r>
      <w:r w:rsidR="007C334C" w:rsidRPr="007C334C">
        <w:rPr>
          <w:bCs/>
          <w:i/>
          <w:iCs/>
        </w:rPr>
        <w:t>et al</w:t>
      </w:r>
      <w:r w:rsidR="007C334C">
        <w:rPr>
          <w:bCs/>
        </w:rPr>
        <w:t xml:space="preserve"> 2022</w:t>
      </w:r>
      <w:r w:rsidR="007C334C">
        <w:rPr>
          <w:bCs/>
        </w:rPr>
        <w:fldChar w:fldCharType="begin"/>
      </w:r>
      <w:r w:rsidR="00724FF9">
        <w:rPr>
          <w:bCs/>
        </w:rPr>
        <w:instrText xml:space="preserve"> ADDIN ZOTERO_ITEM CSL_CITATION {"citationID":"UtewcYbx","properties":{"formattedCitation":"\\super 53\\nosupersub{}","plainCitation":"53","noteIndex":0},"citationItems":[{"id":"y5pQWal7/bfyP10dW","uris":["http://zotero.org/users/local/nWY58Val/items/P24LDBB6"],"itemData":{"id":"ttQi3pPg/qP0yF1wA","type":"article-journal","container-title":"Molecular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7C334C">
        <w:rPr>
          <w:bCs/>
        </w:rPr>
        <w:fldChar w:fldCharType="separate"/>
      </w:r>
      <w:r w:rsidR="007C334C" w:rsidRPr="007C334C">
        <w:rPr>
          <w:vertAlign w:val="superscript"/>
        </w:rPr>
        <w:t>53</w:t>
      </w:r>
      <w:r w:rsidR="007C334C">
        <w:rPr>
          <w:bCs/>
        </w:rPr>
        <w:fldChar w:fldCharType="end"/>
      </w:r>
      <w:r w:rsidR="007C334C">
        <w:rPr>
          <w:bCs/>
        </w:rPr>
        <w:t>)</w:t>
      </w:r>
      <w:r w:rsidRPr="007C334C">
        <w:rPr>
          <w:bCs/>
        </w:rPr>
        <w:t>.</w:t>
      </w:r>
    </w:p>
    <w:p w14:paraId="109CB526" w14:textId="61B83FAB" w:rsidR="00AB68AB" w:rsidRDefault="00367E56" w:rsidP="00F263B4">
      <w:pPr>
        <w:spacing w:line="240" w:lineRule="auto"/>
        <w:ind w:firstLine="0"/>
      </w:pPr>
      <w:r>
        <w:rPr>
          <w:bCs/>
        </w:rPr>
        <w:t>**When filtering SNPs within sample-group</w:t>
      </w:r>
      <w:r w:rsidR="007C334C">
        <w:rPr>
          <w:bCs/>
        </w:rPr>
        <w:t>s</w:t>
      </w:r>
      <w:r>
        <w:rPr>
          <w:bCs/>
        </w:rPr>
        <w:t>, different sample groups will contain different numbers of polymorphic SNPs. The numbers here reflect a hypothetical mean across all sample grou</w:t>
      </w:r>
      <w:r w:rsidR="00F263B4">
        <w:rPr>
          <w:bCs/>
        </w:rPr>
        <w:t>p</w:t>
      </w:r>
      <w:r w:rsidR="00D14DC7">
        <w:rPr>
          <w:bCs/>
        </w:rPr>
        <w:t>s</w:t>
      </w:r>
      <w:r w:rsidR="00F263B4">
        <w:rPr>
          <w:bCs/>
        </w:rPr>
        <w:t>.</w:t>
      </w:r>
    </w:p>
    <w:sectPr w:rsidR="00AB68AB" w:rsidSect="00F263B4">
      <w:footerReference w:type="default" r:id="rId14"/>
      <w:footerReference w:type="first" r:id="rId15"/>
      <w:type w:val="continuous"/>
      <w:pgSz w:w="15840" w:h="12240" w:orient="landscape"/>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A5E90" w14:textId="77777777" w:rsidR="001E1AB3" w:rsidRDefault="001E1AB3">
      <w:pPr>
        <w:spacing w:before="0" w:after="0" w:line="240" w:lineRule="auto"/>
      </w:pPr>
      <w:r>
        <w:separator/>
      </w:r>
    </w:p>
  </w:endnote>
  <w:endnote w:type="continuationSeparator" w:id="0">
    <w:p w14:paraId="5A4F0B70" w14:textId="77777777" w:rsidR="001E1AB3" w:rsidRDefault="001E1A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49470" w14:textId="77777777" w:rsidR="00441483" w:rsidRDefault="00441483">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D873" w14:textId="77777777" w:rsidR="00441483" w:rsidRDefault="0044148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FA42" w14:textId="77777777" w:rsidR="00441483" w:rsidRDefault="00441483">
    <w:pPr>
      <w:jc w:val="right"/>
    </w:pPr>
    <w:r>
      <w:fldChar w:fldCharType="begin"/>
    </w:r>
    <w:r>
      <w:instrText>PAGE</w:instrText>
    </w:r>
    <w:r>
      <w:fldChar w:fldCharType="separate"/>
    </w:r>
    <w:r>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CC6E0" w14:textId="77777777" w:rsidR="00441483" w:rsidRDefault="004414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96252" w14:textId="77777777" w:rsidR="001E1AB3" w:rsidRDefault="001E1AB3">
      <w:pPr>
        <w:spacing w:before="0" w:after="0" w:line="240" w:lineRule="auto"/>
      </w:pPr>
      <w:r>
        <w:separator/>
      </w:r>
    </w:p>
  </w:footnote>
  <w:footnote w:type="continuationSeparator" w:id="0">
    <w:p w14:paraId="2535FFA2" w14:textId="77777777" w:rsidR="001E1AB3" w:rsidRDefault="001E1AB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B3C15"/>
    <w:multiLevelType w:val="multilevel"/>
    <w:tmpl w:val="7BC820D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3B5E4F14"/>
    <w:multiLevelType w:val="multilevel"/>
    <w:tmpl w:val="D60AE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F6230F"/>
    <w:multiLevelType w:val="multilevel"/>
    <w:tmpl w:val="47562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5978264">
    <w:abstractNumId w:val="0"/>
  </w:num>
  <w:num w:numId="2" w16cid:durableId="1040516386">
    <w:abstractNumId w:val="1"/>
  </w:num>
  <w:num w:numId="3" w16cid:durableId="18118989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8AB"/>
    <w:rsid w:val="000133AE"/>
    <w:rsid w:val="00061789"/>
    <w:rsid w:val="000A265F"/>
    <w:rsid w:val="000A2A37"/>
    <w:rsid w:val="000E010A"/>
    <w:rsid w:val="000E0E42"/>
    <w:rsid w:val="00115B42"/>
    <w:rsid w:val="001410B7"/>
    <w:rsid w:val="0014207C"/>
    <w:rsid w:val="00162680"/>
    <w:rsid w:val="001A4CFB"/>
    <w:rsid w:val="001A6DE5"/>
    <w:rsid w:val="001B68D5"/>
    <w:rsid w:val="001C2D5C"/>
    <w:rsid w:val="001D5E7E"/>
    <w:rsid w:val="001D7C78"/>
    <w:rsid w:val="001E1AB3"/>
    <w:rsid w:val="001F0CF4"/>
    <w:rsid w:val="001F6002"/>
    <w:rsid w:val="00207DE7"/>
    <w:rsid w:val="00246EED"/>
    <w:rsid w:val="00253184"/>
    <w:rsid w:val="002C2EEA"/>
    <w:rsid w:val="002C3DE4"/>
    <w:rsid w:val="002D4BBD"/>
    <w:rsid w:val="002E40A1"/>
    <w:rsid w:val="002F6B43"/>
    <w:rsid w:val="00317ACF"/>
    <w:rsid w:val="00326560"/>
    <w:rsid w:val="003300D8"/>
    <w:rsid w:val="00350764"/>
    <w:rsid w:val="00350FBC"/>
    <w:rsid w:val="003675BD"/>
    <w:rsid w:val="00367E56"/>
    <w:rsid w:val="00377B20"/>
    <w:rsid w:val="00390FC3"/>
    <w:rsid w:val="003C3E1E"/>
    <w:rsid w:val="003C6FDD"/>
    <w:rsid w:val="003F5B51"/>
    <w:rsid w:val="003F5FAC"/>
    <w:rsid w:val="003F76ED"/>
    <w:rsid w:val="00441483"/>
    <w:rsid w:val="004472CF"/>
    <w:rsid w:val="00454F3E"/>
    <w:rsid w:val="00466F8E"/>
    <w:rsid w:val="0047757E"/>
    <w:rsid w:val="00485395"/>
    <w:rsid w:val="00492FDA"/>
    <w:rsid w:val="004B6BC7"/>
    <w:rsid w:val="004D4CC4"/>
    <w:rsid w:val="004D7166"/>
    <w:rsid w:val="004E2E2F"/>
    <w:rsid w:val="00535255"/>
    <w:rsid w:val="00555EDB"/>
    <w:rsid w:val="00575C05"/>
    <w:rsid w:val="00576E2F"/>
    <w:rsid w:val="005922CB"/>
    <w:rsid w:val="005A7DF4"/>
    <w:rsid w:val="005D2FC3"/>
    <w:rsid w:val="005F6117"/>
    <w:rsid w:val="005F6A90"/>
    <w:rsid w:val="0060295E"/>
    <w:rsid w:val="00625508"/>
    <w:rsid w:val="00633F5A"/>
    <w:rsid w:val="00695B80"/>
    <w:rsid w:val="006A6885"/>
    <w:rsid w:val="006B3E8A"/>
    <w:rsid w:val="00701E6E"/>
    <w:rsid w:val="00717BCE"/>
    <w:rsid w:val="00724FF9"/>
    <w:rsid w:val="00731B8F"/>
    <w:rsid w:val="007C334C"/>
    <w:rsid w:val="007E6284"/>
    <w:rsid w:val="007F1A7F"/>
    <w:rsid w:val="0083149F"/>
    <w:rsid w:val="00862066"/>
    <w:rsid w:val="008633FD"/>
    <w:rsid w:val="008A45DA"/>
    <w:rsid w:val="008B62B5"/>
    <w:rsid w:val="008D4E2D"/>
    <w:rsid w:val="0091171B"/>
    <w:rsid w:val="0092317F"/>
    <w:rsid w:val="00951AC5"/>
    <w:rsid w:val="00992026"/>
    <w:rsid w:val="009967A2"/>
    <w:rsid w:val="00997149"/>
    <w:rsid w:val="009A05FF"/>
    <w:rsid w:val="009A362C"/>
    <w:rsid w:val="009A6460"/>
    <w:rsid w:val="009B6A4D"/>
    <w:rsid w:val="009C58B5"/>
    <w:rsid w:val="009F7E8C"/>
    <w:rsid w:val="00A0239A"/>
    <w:rsid w:val="00A05F97"/>
    <w:rsid w:val="00A13FEB"/>
    <w:rsid w:val="00A230AC"/>
    <w:rsid w:val="00A261D3"/>
    <w:rsid w:val="00A32AF9"/>
    <w:rsid w:val="00A54EC9"/>
    <w:rsid w:val="00A6046E"/>
    <w:rsid w:val="00A612FC"/>
    <w:rsid w:val="00A702E9"/>
    <w:rsid w:val="00AA0587"/>
    <w:rsid w:val="00AB33C4"/>
    <w:rsid w:val="00AB5718"/>
    <w:rsid w:val="00AB68AB"/>
    <w:rsid w:val="00AC7C23"/>
    <w:rsid w:val="00AD7C49"/>
    <w:rsid w:val="00B036CB"/>
    <w:rsid w:val="00B167CE"/>
    <w:rsid w:val="00B36878"/>
    <w:rsid w:val="00B37301"/>
    <w:rsid w:val="00B46925"/>
    <w:rsid w:val="00B85545"/>
    <w:rsid w:val="00BA444C"/>
    <w:rsid w:val="00BA7632"/>
    <w:rsid w:val="00BB5B01"/>
    <w:rsid w:val="00BC4C45"/>
    <w:rsid w:val="00BC77B3"/>
    <w:rsid w:val="00BE0904"/>
    <w:rsid w:val="00BE6C45"/>
    <w:rsid w:val="00BF108F"/>
    <w:rsid w:val="00BF39FE"/>
    <w:rsid w:val="00BF731D"/>
    <w:rsid w:val="00C00D8C"/>
    <w:rsid w:val="00C04E28"/>
    <w:rsid w:val="00C16345"/>
    <w:rsid w:val="00C37469"/>
    <w:rsid w:val="00C603A0"/>
    <w:rsid w:val="00C60465"/>
    <w:rsid w:val="00C977DD"/>
    <w:rsid w:val="00CB4BBD"/>
    <w:rsid w:val="00CE50D0"/>
    <w:rsid w:val="00D14DC7"/>
    <w:rsid w:val="00D35E1B"/>
    <w:rsid w:val="00DA2DF2"/>
    <w:rsid w:val="00DA726A"/>
    <w:rsid w:val="00DA7A74"/>
    <w:rsid w:val="00DB50A0"/>
    <w:rsid w:val="00DE295E"/>
    <w:rsid w:val="00E308E8"/>
    <w:rsid w:val="00E65A8D"/>
    <w:rsid w:val="00E70B9F"/>
    <w:rsid w:val="00E805BC"/>
    <w:rsid w:val="00EA0876"/>
    <w:rsid w:val="00EB061F"/>
    <w:rsid w:val="00EF66EA"/>
    <w:rsid w:val="00F00FCC"/>
    <w:rsid w:val="00F14815"/>
    <w:rsid w:val="00F263B4"/>
    <w:rsid w:val="00F30B3E"/>
    <w:rsid w:val="00F45CF7"/>
    <w:rsid w:val="00F50FD7"/>
    <w:rsid w:val="00F61006"/>
    <w:rsid w:val="00F84385"/>
    <w:rsid w:val="00F97456"/>
    <w:rsid w:val="00FA7992"/>
    <w:rsid w:val="00FB598B"/>
    <w:rsid w:val="00FC42E5"/>
    <w:rsid w:val="00FE1D12"/>
    <w:rsid w:val="00FF2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7C90"/>
  <w15:docId w15:val="{6DD48522-6BC8-41B0-912D-7FB3DC98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8E8"/>
  </w:style>
  <w:style w:type="paragraph" w:styleId="Heading1">
    <w:name w:val="heading 1"/>
    <w:basedOn w:val="Normal"/>
    <w:next w:val="Normal"/>
    <w:uiPriority w:val="9"/>
    <w:qFormat/>
    <w:pPr>
      <w:keepNext/>
      <w:keepLines/>
      <w:spacing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367E56"/>
    <w:pPr>
      <w:tabs>
        <w:tab w:val="left" w:pos="504"/>
      </w:tabs>
      <w:spacing w:after="0"/>
      <w:ind w:left="504" w:hanging="504"/>
    </w:pPr>
  </w:style>
  <w:style w:type="character" w:styleId="Hyperlink">
    <w:name w:val="Hyperlink"/>
    <w:basedOn w:val="DefaultParagraphFont"/>
    <w:uiPriority w:val="99"/>
    <w:unhideWhenUsed/>
    <w:rsid w:val="00367E56"/>
    <w:rPr>
      <w:color w:val="0000FF" w:themeColor="hyperlink"/>
      <w:u w:val="single"/>
    </w:rPr>
  </w:style>
  <w:style w:type="character" w:styleId="UnresolvedMention">
    <w:name w:val="Unresolved Mention"/>
    <w:basedOn w:val="DefaultParagraphFont"/>
    <w:uiPriority w:val="99"/>
    <w:semiHidden/>
    <w:unhideWhenUsed/>
    <w:rsid w:val="00367E56"/>
    <w:rPr>
      <w:color w:val="605E5C"/>
      <w:shd w:val="clear" w:color="auto" w:fill="E1DFDD"/>
    </w:rPr>
  </w:style>
  <w:style w:type="character" w:styleId="LineNumber">
    <w:name w:val="line number"/>
    <w:basedOn w:val="DefaultParagraphFont"/>
    <w:uiPriority w:val="99"/>
    <w:semiHidden/>
    <w:unhideWhenUsed/>
    <w:rsid w:val="00367E56"/>
  </w:style>
  <w:style w:type="table" w:styleId="TableGrid">
    <w:name w:val="Table Grid"/>
    <w:basedOn w:val="TableNormal"/>
    <w:uiPriority w:val="39"/>
    <w:rsid w:val="00367E56"/>
    <w:pPr>
      <w:spacing w:before="0" w:after="0" w:line="240" w:lineRule="auto"/>
      <w:ind w:firstLine="0"/>
    </w:pPr>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E40A1"/>
    <w:rPr>
      <w:color w:val="808080"/>
    </w:rPr>
  </w:style>
  <w:style w:type="paragraph" w:styleId="CommentSubject">
    <w:name w:val="annotation subject"/>
    <w:basedOn w:val="CommentText"/>
    <w:next w:val="CommentText"/>
    <w:link w:val="CommentSubjectChar"/>
    <w:uiPriority w:val="99"/>
    <w:semiHidden/>
    <w:unhideWhenUsed/>
    <w:rsid w:val="007C334C"/>
    <w:rPr>
      <w:b/>
      <w:bCs/>
    </w:rPr>
  </w:style>
  <w:style w:type="character" w:customStyle="1" w:styleId="CommentSubjectChar">
    <w:name w:val="Comment Subject Char"/>
    <w:basedOn w:val="CommentTextChar"/>
    <w:link w:val="CommentSubject"/>
    <w:uiPriority w:val="99"/>
    <w:semiHidden/>
    <w:rsid w:val="007C334C"/>
    <w:rPr>
      <w:b/>
      <w:bCs/>
      <w:sz w:val="20"/>
      <w:szCs w:val="20"/>
    </w:rPr>
  </w:style>
  <w:style w:type="paragraph" w:styleId="Revision">
    <w:name w:val="Revision"/>
    <w:hidden/>
    <w:uiPriority w:val="99"/>
    <w:semiHidden/>
    <w:rsid w:val="00701E6E"/>
    <w:pPr>
      <w:spacing w:before="0" w:after="0" w:line="240" w:lineRule="auto"/>
      <w:ind w:firstLine="0"/>
    </w:pPr>
  </w:style>
  <w:style w:type="paragraph" w:styleId="BalloonText">
    <w:name w:val="Balloon Text"/>
    <w:basedOn w:val="Normal"/>
    <w:link w:val="BalloonTextChar"/>
    <w:uiPriority w:val="99"/>
    <w:semiHidden/>
    <w:unhideWhenUsed/>
    <w:rsid w:val="00B167C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7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717070">
      <w:bodyDiv w:val="1"/>
      <w:marLeft w:val="0"/>
      <w:marRight w:val="0"/>
      <w:marTop w:val="0"/>
      <w:marBottom w:val="0"/>
      <w:divBdr>
        <w:top w:val="none" w:sz="0" w:space="0" w:color="auto"/>
        <w:left w:val="none" w:sz="0" w:space="0" w:color="auto"/>
        <w:bottom w:val="none" w:sz="0" w:space="0" w:color="auto"/>
        <w:right w:val="none" w:sz="0" w:space="0" w:color="auto"/>
      </w:divBdr>
    </w:div>
    <w:div w:id="1154447821">
      <w:bodyDiv w:val="1"/>
      <w:marLeft w:val="0"/>
      <w:marRight w:val="0"/>
      <w:marTop w:val="0"/>
      <w:marBottom w:val="0"/>
      <w:divBdr>
        <w:top w:val="none" w:sz="0" w:space="0" w:color="auto"/>
        <w:left w:val="none" w:sz="0" w:space="0" w:color="auto"/>
        <w:bottom w:val="none" w:sz="0" w:space="0" w:color="auto"/>
        <w:right w:val="none" w:sz="0" w:space="0" w:color="auto"/>
      </w:divBdr>
    </w:div>
    <w:div w:id="1178160425">
      <w:bodyDiv w:val="1"/>
      <w:marLeft w:val="0"/>
      <w:marRight w:val="0"/>
      <w:marTop w:val="0"/>
      <w:marBottom w:val="0"/>
      <w:divBdr>
        <w:top w:val="none" w:sz="0" w:space="0" w:color="auto"/>
        <w:left w:val="none" w:sz="0" w:space="0" w:color="auto"/>
        <w:bottom w:val="none" w:sz="0" w:space="0" w:color="auto"/>
        <w:right w:val="none" w:sz="0" w:space="0" w:color="auto"/>
      </w:divBdr>
    </w:div>
    <w:div w:id="1317609833">
      <w:bodyDiv w:val="1"/>
      <w:marLeft w:val="0"/>
      <w:marRight w:val="0"/>
      <w:marTop w:val="0"/>
      <w:marBottom w:val="0"/>
      <w:divBdr>
        <w:top w:val="none" w:sz="0" w:space="0" w:color="auto"/>
        <w:left w:val="none" w:sz="0" w:space="0" w:color="auto"/>
        <w:bottom w:val="none" w:sz="0" w:space="0" w:color="auto"/>
        <w:right w:val="none" w:sz="0" w:space="0" w:color="auto"/>
      </w:divBdr>
    </w:div>
    <w:div w:id="1770272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whemstro@purdue.edu"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293EC-9AC6-4DA9-A174-D4EAC0456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57</Pages>
  <Words>60845</Words>
  <Characters>346823</Characters>
  <Application>Microsoft Office Word</Application>
  <DocSecurity>0</DocSecurity>
  <Lines>2890</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H</dc:creator>
  <cp:lastModifiedBy>Hemstrom, William Beryl</cp:lastModifiedBy>
  <cp:revision>4</cp:revision>
  <dcterms:created xsi:type="dcterms:W3CDTF">2023-07-16T18:34:00Z</dcterms:created>
  <dcterms:modified xsi:type="dcterms:W3CDTF">2023-07-16T18:55:00Z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{"style":{"styleID":"http://www.zotero.org/styles/nature-reviews-genetics","hasBibliography":true,"bibliographyStyleHasBeenSet":true},"prefs":{"fieldType":"Field","automaticJournalAbbreviations":true,"delayCitationUpdates":false,"noteType":0,"dontAskDelay</vt:lpwstr>
  </property>
  <property fmtid="{D5CDD505-2E9C-101B-9397-08002B2CF9AE}" pid="3" name="ZOTERO_PREF_2">
    <vt:lpwstr>CitationUpdates":true},"sessionID":"y5pQWal7","zoteroVersion":"6.0.26","dataVersion":4}</vt:lpwstr>
  </property>
  <property fmtid="{D5CDD505-2E9C-101B-9397-08002B2CF9AE}" pid="4" name="MSIP_Label_4044bd30-2ed7-4c9d-9d12-46200872a97b_Enabled">
    <vt:lpwstr>true</vt:lpwstr>
  </property>
  <property fmtid="{D5CDD505-2E9C-101B-9397-08002B2CF9AE}" pid="5" name="MSIP_Label_4044bd30-2ed7-4c9d-9d12-46200872a97b_SetDate">
    <vt:lpwstr>2023-07-15T04:05:22Z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8046509a-20e4-47a0-863e-6b34ade5839c</vt:lpwstr>
  </property>
  <property fmtid="{D5CDD505-2E9C-101B-9397-08002B2CF9AE}" pid="10" name="MSIP_Label_4044bd30-2ed7-4c9d-9d12-46200872a97b_ContentBits">
    <vt:lpwstr>0</vt:lpwstr>
  </property>
  <property fmtid="{D5CDD505-2E9C-101B-9397-08002B2CF9AE}" pid="11" name="GrammarlyDocumentId">
    <vt:lpwstr>ebfdab46c8d5b834a6ee08b7e285502c783163af9dce1bc3afdffd1fcb9b91e2</vt:lpwstr>
  </property>
</Properties>
</file>