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PharmaKeep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Micro-Pharmacy Inventory &amp; Expiry Tracking System</w:t>
      </w:r>
    </w:p>
    <w:p>
      <w:pPr>
        <w:spacing w:after="60" w:before="0"/>
      </w:pPr>
    </w:p>
    <w:p>
      <w:pPr>
        <w:pBdr>
          <w:bottom w:val="single" w:color="2E86C1" w:sz="8" w:space="1"/>
        </w:pBdr>
        <w:spacing w:after="20" w:before="0"/>
        <w:jc w:val="center"/>
      </w:pPr>
    </w:p>
    <w:p>
      <w:pPr>
        <w:spacing w:after="60" w:before="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Database Systems Lab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ERD &amp; Relational Database Schema Description</w:t>
      </w:r>
    </w:p>
    <w:p>
      <w:pPr>
        <w:spacing w:after="300" w:before="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</w:tblGrid>
      <w:tr>
        <w:tc>
          <w:tcPr>
            <w:tcW w:type="dxa" w:w="2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5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Awais Qarni</w:t>
            </w:r>
          </w:p>
        </w:tc>
      </w:tr>
      <w:tr>
        <w:tc>
          <w:tcPr>
            <w:tcW w:type="dxa" w:w="2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Major</w:t>
            </w:r>
          </w:p>
        </w:tc>
        <w:tc>
          <w:tcPr>
            <w:tcW w:type="dxa" w:w="5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BSSE</w:t>
            </w:r>
          </w:p>
        </w:tc>
      </w:tr>
      <w:tr>
        <w:tc>
          <w:tcPr>
            <w:tcW w:type="dxa" w:w="2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Group</w:t>
            </w:r>
          </w:p>
        </w:tc>
        <w:tc>
          <w:tcPr>
            <w:tcW w:type="dxa" w:w="5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Project</w:t>
            </w:r>
          </w:p>
        </w:tc>
        <w:tc>
          <w:tcPr>
            <w:tcW w:type="dxa" w:w="5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PharmaKeep</w:t>
            </w:r>
          </w:p>
        </w:tc>
      </w:tr>
      <w:tr>
        <w:tc>
          <w:tcPr>
            <w:tcW w:type="dxa" w:w="2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Tool Used</w:t>
            </w:r>
          </w:p>
        </w:tc>
        <w:tc>
          <w:tcPr>
            <w:tcW w:type="dxa" w:w="5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draw.io</w:t>
            </w:r>
          </w:p>
        </w:tc>
      </w:tr>
      <w:tr>
        <w:tc>
          <w:tcPr>
            <w:tcW w:type="dxa" w:w="22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5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Sunday, 26 April 2026</w:t>
            </w:r>
          </w:p>
        </w:tc>
      </w:tr>
    </w:tbl>
    <w:p>
      <w:pPr>
        <w:spacing w:after="20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— Awais Qarni  |  BSSE  |  Group B —</w:t>
      </w:r>
    </w:p>
    <w:p>
      <w:r>
        <w:br w:type="page"/>
      </w:r>
    </w:p>
    <w:p>
      <w:pPr>
        <w:pBdr>
          <w:bottom w:val="single" w:color="2E86C1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Part 1 — Entity Relationship Diagram (ERD)</w:t>
      </w:r>
    </w:p>
    <w:p>
      <w:pPr>
        <w:spacing w:after="60" w:before="0"/>
      </w:pPr>
    </w:p>
    <w:p>
      <w:pPr>
        <w:spacing w:after="60" w:before="60"/>
        <w:jc w:val="both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The ERD below represents the complete database design for the PharmaKeep system. It uses Crow's Foot Notation, consistent with draw.io standards, to show all entities, attributes (with PK/FK markers), and the cardinality of each relationship.</w:t>
      </w:r>
    </w:p>
    <w:p>
      <w:pPr>
        <w:spacing w:after="100" w:before="0"/>
      </w:pPr>
    </w:p>
    <w:p>
      <w:pPr>
        <w:jc w:val="center"/>
      </w:pPr>
      <w:r>
        <w:drawing>
          <wp:inline distT="0" distB="0" distL="0" distR="0">
            <wp:extent cx="6477000" cy="441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Figure 1: PharmaKeep ERD — Crow's Foot Notation (draw.io)  |  PK = Primary Key  |  FK = Foreign Key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ERD Narrative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Staff → Sales:  One staff member can process many sales transactions.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Category → Medicines:  One category classifies many medicine types.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Medicines → Batches:  One medicine can arrive in many batches, each with its own Expiry Date and quantity.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Suppliers → Batches:  One supplier can deliver many different batches.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Sales → SaleItems:  One sale invoice can contain many line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Batches → SaleItems:  Each line item references a specific Batch — ensuring correct, expiry-date-aware inventory deduction.</w:t>
      </w:r>
    </w:p>
    <w:p>
      <w:r>
        <w:br w:type="page"/>
      </w:r>
    </w:p>
    <w:p>
      <w:pPr>
        <w:pBdr>
          <w:bottom w:val="single" w:color="2E86C1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Part 2 — Relational Database Schema Description</w:t>
      </w:r>
    </w:p>
    <w:p>
      <w:pPr>
        <w:spacing w:after="60" w:before="0"/>
      </w:pPr>
    </w:p>
    <w:p>
      <w:pPr>
        <w:spacing w:after="60" w:before="60"/>
        <w:jc w:val="both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This section translates the ERD into fully defined relational database tables. Each table specifies attribute names, data types, primary/foreign keys, and constraints required to enforce data integrity and business rules.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Key Notation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500"/>
      </w:tblGrid>
      <w:tr>
        <w:trPr>
          <w:tblHeader/>
        </w:trPr>
        <w:tc>
          <w:tcPr>
            <w:tcW w:type="dxa" w:w="1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Notation</w:t>
            </w:r>
          </w:p>
        </w:tc>
        <w:tc>
          <w:tcPr>
            <w:tcW w:type="dxa" w:w="6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PK</w:t>
            </w:r>
          </w:p>
        </w:tc>
        <w:tc>
          <w:tcPr>
            <w:tcW w:type="dxa" w:w="6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Primary Key — unique identifier for each record in the table</w:t>
            </w:r>
          </w:p>
        </w:tc>
      </w:tr>
      <w:tr>
        <w:tc>
          <w:tcPr>
            <w:tcW w:type="dxa" w:w="1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FK</w:t>
            </w:r>
          </w:p>
        </w:tc>
        <w:tc>
          <w:tcPr>
            <w:tcW w:type="dxa" w:w="6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Foreign Key — references a Primary Key in another table</w:t>
            </w:r>
          </w:p>
        </w:tc>
      </w:tr>
      <w:tr>
        <w:tc>
          <w:tcPr>
            <w:tcW w:type="dxa" w:w="1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AI</w:t>
            </w:r>
          </w:p>
        </w:tc>
        <w:tc>
          <w:tcPr>
            <w:tcW w:type="dxa" w:w="6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Auto-Increment — value is generated automatically by the database</w:t>
            </w:r>
          </w:p>
        </w:tc>
      </w:tr>
      <w:tr>
        <w:tc>
          <w:tcPr>
            <w:tcW w:type="dxa" w:w="1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NN</w:t>
            </w:r>
          </w:p>
        </w:tc>
        <w:tc>
          <w:tcPr>
            <w:tcW w:type="dxa" w:w="6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Not Null — a value must always be provided for this field</w:t>
            </w:r>
          </w:p>
        </w:tc>
      </w:tr>
      <w:tr>
        <w:tc>
          <w:tcPr>
            <w:tcW w:type="dxa" w:w="14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U</w:t>
            </w:r>
          </w:p>
        </w:tc>
        <w:tc>
          <w:tcPr>
            <w:tcW w:type="dxa" w:w="65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Unique — the value must be unique across all rows in the table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1.  Table: Staff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Stores information about system users — pharmacists and administrators who log into PharmaKeep.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StaffID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PK, AI, 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Unique identifier for each staff member.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FullName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Full name of the staff member.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NN, U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Unique login username.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PasswordHash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Securely hashed password (never stored in plain text).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ENUM('Admin','Pharmacist')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Permission level: Admin or Pharmacist.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2.  Table: Category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Broad classifications for medicines (e.g., Antibiotics, Analgesics, Vitamins &amp; Supplements).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CategoryID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PK, AI, 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Unique identifier for the category.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CategoryName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NN, U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Descriptive name of the category (must be unique).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3.  Table: Medicines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The core medicine catalogue. Describes what a medicine IS — not how much stock is available. Stock is tracked at the Batch level.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MedicineID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PK, AI, 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Unique identifier for the medicine type.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BrandName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Commercial name (e.g., Panadol, Augmentin).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GenericName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Chemical/generic name (e.g., Paracetamol).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696"/>
                <w:sz w:val="17"/>
                <w:szCs w:val="17"/>
              </w:rPr>
              <w:t xml:space="preserve">CategoryID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696"/>
                <w:sz w:val="17"/>
                <w:szCs w:val="17"/>
              </w:rPr>
              <w:t xml:space="preserve">FK, 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References Category(CategoryID).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/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Optional usage notes or details.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4.  Table: Suppliers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Stores information about vendors who supply medicine stock to the pharmacy.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SupplierID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PK, AI, 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Unique identifier for the supplier.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SupplierName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NN, U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Name of the supplying company (must be unique).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ContactPerson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/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Main contact person at the supplier.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PhoneNumber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Primary contact number.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/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Contact email address (optional).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5.  Table: Batches  — Core Inventory Table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The heart of the inventory system. Tracks each delivery consignment separately with its own expiry date and current stock quantity.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BatchID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PK, AI, 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Internal unique ID for this batch record.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BatchNumber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Manufacturer's batch code printed on packaging.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696"/>
                <w:sz w:val="17"/>
                <w:szCs w:val="17"/>
              </w:rPr>
              <w:t xml:space="preserve">MedicineID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696"/>
                <w:sz w:val="17"/>
                <w:szCs w:val="17"/>
              </w:rPr>
              <w:t xml:space="preserve">FK, 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References Medicines(MedicineID).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696"/>
                <w:sz w:val="17"/>
                <w:szCs w:val="17"/>
              </w:rPr>
              <w:t xml:space="preserve">SupplierID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696"/>
                <w:sz w:val="17"/>
                <w:szCs w:val="17"/>
              </w:rPr>
              <w:t xml:space="preserve">FK, 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References Suppliers(SupplierID).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ExpiryDate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Critical field: the expiry date of this specific batch.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QuantityReceived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NN, Check &gt; 0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Total units purchased from supplier initially.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QuantityOnHand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NN, Check &gt;= 0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Current units remaining available for sale.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CostPrice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Cost per unit paid to the supplier.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SellingPrice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Retail price per unit charged to customer.</w:t>
            </w:r>
          </w:p>
        </w:tc>
      </w:tr>
    </w:tbl>
    <w:p>
      <w:pPr>
        <w:spacing w:after="60" w:before="0"/>
      </w:pPr>
    </w:p>
    <w:p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Note: BatchNumber must be unique per Medicine (composite unique constraint on BatchNumber + MedicineID).</w:t>
      </w:r>
    </w:p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6.  Table: Sales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The master record for each checkout transaction (invoice). Links to the staff member who processed the sale.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SaleID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PK, AI, 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Unique transaction / invoice number.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SaleDateTime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NN, Default NOW()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Exact date and time of the sale.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696"/>
                <w:sz w:val="17"/>
                <w:szCs w:val="17"/>
              </w:rPr>
              <w:t xml:space="preserve">StaffID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696"/>
                <w:sz w:val="17"/>
                <w:szCs w:val="17"/>
              </w:rPr>
              <w:t xml:space="preserve">FK, 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References Staff(StaffID).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TotalAmount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Total invoice amount (sum of all SaleItems).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PaymentMethod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ENUM('Cash','Card')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NN, Default 'Cash'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Payment method used by the customer.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7.  Table: SaleItems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C2833"/>
          <w:sz w:val="19"/>
          <w:szCs w:val="19"/>
        </w:rPr>
        <w:t xml:space="preserve">Bridge table listing each line item in a sale. Links to a specific Batch (not just a Medicine) so the correct stock is deducted and expired batches are never sold.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SaleItemID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17"/>
                <w:szCs w:val="17"/>
              </w:rPr>
              <w:t xml:space="preserve">PK, AI, 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Unique ID for this line item.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696"/>
                <w:sz w:val="17"/>
                <w:szCs w:val="17"/>
              </w:rPr>
              <w:t xml:space="preserve">SaleID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696"/>
                <w:sz w:val="17"/>
                <w:szCs w:val="17"/>
              </w:rPr>
              <w:t xml:space="preserve">FK, 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References Sales(SaleID).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696"/>
                <w:sz w:val="17"/>
                <w:szCs w:val="17"/>
              </w:rPr>
              <w:t xml:space="preserve">BatchID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696"/>
                <w:sz w:val="17"/>
                <w:szCs w:val="17"/>
              </w:rPr>
              <w:t xml:space="preserve">FK, 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References Batches(BatchID) — ensures correct inventory deduction.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QuantitySold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INT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NN, Check &gt; 0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Number of units sold in this line.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UnitPrice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Selling price at the time of sale (snapshot for audit).</w:t>
            </w:r>
          </w:p>
        </w:tc>
      </w:tr>
      <w:tr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SubTotal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7"/>
                <w:szCs w:val="17"/>
              </w:rPr>
              <w:t xml:space="preserve">NN</w:t>
            </w:r>
          </w:p>
        </w:tc>
        <w:tc>
          <w:tcPr>
            <w:tcW w:type="dxa" w:w="3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Calculated: QuantitySold x UnitPrice.</w:t>
            </w:r>
          </w:p>
        </w:tc>
      </w:tr>
    </w:tbl>
    <w:p>
      <w:pPr>
        <w:spacing w:after="160" w:before="0"/>
      </w:pPr>
    </w:p>
    <w:p>
      <w:pPr>
        <w:pBdr>
          <w:bottom w:val="single" w:color="2E86C1" w:sz="8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Key Relationships &amp; Business Logic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The same medicine can have multiple batches with different expiry dates. Stock queries must filter: ExpiryDate &gt; CURRENT_DATE AND QuantityOnHand &gt; 0.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Inventory tracked at Batch level: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Each SaleItem references a specific BatchID, allowing the system to verify the batch is not expired before completing the sale.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Expiry-aware selling: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On every sale, QuantityOnHand on the referenced Batch is decremented by QuantitySold.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Automatic stock deduction: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Sales linked to StaffID creates a full log of who sold what and when — essential for a regulated pharmacy environment.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Audit trail: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UnitPrice is stored in SaleItems at the time of sale, ensuring historical invoices remain accurate even if the selling price changes later.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Price snapshot: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C2833"/>
          <w:sz w:val="19"/>
          <w:szCs w:val="19"/>
        </w:rPr>
        <w:t xml:space="preserve">The schema is in Third Normal Form (3NF): no repeating groups, all non-key attributes depend only on their primary key, with no transitive dependencies.</w:t>
      </w:r>
      <w:r>
        <w:rPr>
          <w:rFonts w:ascii="Arial" w:cs="Arial" w:eastAsia="Arial" w:hAnsi="Arial"/>
          <w:color w:val="1C2833"/>
          <w:sz w:val="19"/>
          <w:szCs w:val="19"/>
        </w:rPr>
        <w:t xml:space="preserve">Normalization:  </w:t>
      </w:r>
    </w:p>
    <w:p>
      <w:pPr>
        <w:spacing w:after="200" w:before="0"/>
      </w:pPr>
    </w:p>
    <w:p>
      <w:pPr>
        <w:pBdr>
          <w:top w:val="single" w:color="2E86C1" w:sz="6" w:space="4"/>
        </w:pBdr>
        <w:spacing w:after="60" w:before="80"/>
        <w:jc w:val="center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Awais Qarni  |  BSSE  |  Group B  |  PharmaKeep  |  Database Systems Lab  |  26 April 2026</w:t>
      </w:r>
    </w:p>
    <w:sectPr>
      <w:headerReference w:type="default" r:id="rId7"/>
      <w:footerReference w:type="default" r:id="rId8"/>
      <w:pgSz w:w="12240" w:h="15840" w:orient="portrait"/>
      <w:pgMar w:top="144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D6F1" w:sz="4" w:space="4"/>
      </w:pBdr>
      <w:spacing w:before="60"/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  <w:spacing w:after="80" w:before="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PharmaKeep  |  Database Systems Lab</w:t>
    </w:r>
    <w:r>
      <w:rPr>
        <w:rFonts w:ascii="Arial" w:cs="Arial" w:eastAsia="Arial" w:hAnsi="Arial"/>
        <w:color w:val="5D6D7E"/>
        <w:sz w:val="16"/>
        <w:szCs w:val="16"/>
      </w:rPr>
      <w:t xml:space="preserve">    Awais Qarni  |  BSSE  |  Group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e95d42818bfdc38f63f74a615734691e071a06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2026-04-26T18:04:47.734Z</dcterms:created>
  <dcterms:modified xsi:type="dcterms:W3CDTF">2026-04-26T18:04:47.735Z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