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РОССИЙСКОЙ ФЕДЕРАЦИИ</w:t>
      </w:r>
    </w:p>
    <w:p>
      <w:pPr>
        <w:spacing w:line="276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ОБРАЗОВАТЕЛЬНОЕ УЧРЕЖДЕНИЕ ВЫСШЕГО ОБРАЗОВАНИЯ</w:t>
      </w:r>
    </w:p>
    <w:p>
      <w:pPr>
        <w:spacing w:line="276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«МОСКОВСКИЙ АВИАЦИОННЫЙ ИНСТИТУТ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(НАЦИОНАЛЬНЫЙ ИССЛЕДОВАТЕЛЬСКИЙ УНИВЕРСИТЕТ)»</w:t>
      </w:r>
    </w:p>
    <w:p>
      <w:pPr>
        <w:spacing w:line="276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№ 8 «Компьютерные науки и прикладная математика»</w:t>
      </w:r>
    </w:p>
    <w:p>
      <w:pPr>
        <w:spacing w:line="276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Направление: фундаментальная информатика</w:t>
      </w:r>
    </w:p>
    <w:p>
      <w:pPr>
        <w:spacing w:line="276" w:lineRule="auto" w:before="0" w:after="1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 информационные технологии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КУРСОВАЯ РАБОТА (ПРОЕКТ)</w:t>
      </w:r>
    </w:p>
    <w:p>
      <w:pPr>
        <w:spacing w:line="276" w:lineRule="auto" w:before="0" w:after="9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системному программированию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«Система управления базами данных,</w:t>
      </w:r>
    </w:p>
    <w:p>
      <w:pPr>
        <w:spacing w:line="276" w:lineRule="auto" w:before="0" w:after="12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вариант 1 (B-tree)»</w:t>
      </w:r>
    </w:p>
    <w:p>
      <w:pPr>
        <w:spacing w:line="276" w:lineRule="auto" w:before="0" w:after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Выполнил:</w:t>
      </w:r>
    </w:p>
    <w:p>
      <w:pPr>
        <w:spacing w:line="276" w:lineRule="auto" w:before="0" w:after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 группы М8О-214БВ-24</w:t>
      </w:r>
    </w:p>
    <w:p>
      <w:pPr>
        <w:spacing w:line="276" w:lineRule="auto" w:before="0" w:after="24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Богданов М. А.                            ____________</w:t>
      </w:r>
    </w:p>
    <w:p>
      <w:pPr>
        <w:spacing w:line="276" w:lineRule="auto" w:before="0" w:after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Проверил:</w:t>
      </w:r>
    </w:p>
    <w:p>
      <w:pPr>
        <w:spacing w:line="276" w:lineRule="auto" w:before="0" w:after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_______________________________</w:t>
      </w:r>
    </w:p>
    <w:p>
      <w:pPr>
        <w:spacing w:line="276" w:lineRule="auto" w:before="0" w:after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_______________________________   ____________</w:t>
      </w:r>
    </w:p>
    <w:p>
      <w:pPr>
        <w:spacing w:line="276" w:lineRule="auto" w:before="240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Москва, 2026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Оглавление формируется автоматически в Word: вкладка «Ссылки» → «Оглавление» → выбрать стиль. Все Heading 1 и Heading 2 разделов попадут в оглавление со сквозной нумерацией.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Введение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курсовой работы — файловая СУБД на C++. В одном проекте приходится одновременно работать с лексическим и синтаксическим разбором, дисковым хранением, индексной структурой и сетевым слоем. Получается небольшой, но цельный системный проект.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написать СУБД с собственным SQL-подобным языком запросов и индексом на основе B-дерева (вариант 1 по ТЗ cw2026).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Чтобы добиться цели, пришлось решить несколько задач. Продумать структуру хранения «система — база — таблица». Написать лексер и парсер. Спроектировать формат страниц таблицы и записей. Реализовать B-дерево на диске и встроить его в исполнитель запросов. Сделать интерактивный и пакетный режимы CLI. И, наконец, выполнить часть дополнительных заданий из ТЗ.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обязательному пункту 0 готова базовая СУБД: типы INT и STRING, DDL-операторы (CREATE/DROP DATABASE, USE, CREATE/DROP TABLE), DML-операторы (INSERT, SELECT, UPDATE, DELETE), условия WHERE со сравнениями, BETWEEN и LIKE, ограничения NOT NULL и INDEXED, вывод результатов в JSON и дисковый B-tree индекс.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Сверх обязательной части сделаны шесть дополнительных заданий: задание 3 (клиент-серверная архитектура через gRPC), задание 7 (журнал активности Access Logs), задание 8 (телеметрия: RPS, среднее время обработки запроса, Error Rate), задание 10 (модификатор DEFAULT в CREATE TABLE), задание 11 (составные условия AND/OR со скобками в WHERE) и задание 12 (агрегаты SUM, COUNT, AVG в SELECT).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работе использованы C++17, CMake, GoogleTest, gRPC поверх Protocol Buffers для сетевого слоя, библиотека nlohmann/json для JSON-вывода и Docker для упаковки серверного и клиентского приложений. Объём кода около 9500 строк: примерно 3200 строк — основная реализация (lexer, parser, executor, CLI), 1500 строк — хранение и индекс, 600 строк — gRPC, журнал и телеметрия, ещё 3200 строк — автоматические тесты. Всего 133 теста, все проходят.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Основная часть</w:t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Пункт 0. Базовая СУБД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Эта часть закрывает обязательные требования ТЗ: двухуровневая структура хранения, записи с типами INT и STRING, операторы DDL и DML, ограничения NOT NULL и INDEXED, B-tree индекс для ускорения выборки по индексируемым колонкам, валидация запросов, два режима работы CLI.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1.1. Архитектура и общая схема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Код разделён на несколько слоёв. CLI отвечает за ввод и вывод. SqlApi — обёртка над выполнением одной SQL-команды. Lexer разбирает строку SQL на токены. Parser собирает из них AST. Executor выполняет команды над каталогом БД. Catalog поддерживает структуру «система — база — таблица». Storage работает с файлами таблиц, Index — с файлами индексов.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Обработка запроса проходит так. Строка SQL попадает в Lexer и разбивается на токены. Parser строит из токенов AST, упакованный в std::variant над структурами Statement. Executor валидирует команду, обращается к Catalog и к слоям Storage и Index, формирует результат. Результат возвращается в CLI или в gRPC-обработчик. Общая схема — на рисунке 1.</w:t>
      </w:r>
    </w:p>
    <w:p>
      <w:pPr>
        <w:spacing w:line="240" w:lineRule="auto" w:before="8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1. Общая схема обработки SQL-запроса (см. theory/111_updated.jpg)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Слои тестируются независимо: каталог проверяется на уровне C++ без CLI, парсер — отдельно от исполнителя, исполнитель — на готовых AST, CLI — на SQL-скриптах. Под это в проекте собрано четыре бинарника GoogleTest: dbms_tests, dbms_sql_tests, dbms_cli_tests и dbms_tz_point0_tests.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1.2. Лексический анализатор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Лексер — класс Lexer (src/sql/lexer.cpp). Принимает на вход строку SQL, возвращает std::vector&lt;Token&gt;. Структура токена показана в листинге 1.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1. Структура токена и набор ключевых слов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enum class TokenType {</w:t>
        <w:br/>
        <w:t xml:space="preserve">    eof_token, identifier, number, string_literal, keyword, symbol</w:t>
        <w:br/>
        <w:t>};</w:t>
        <w:br/>
        <w:br/>
        <w:t>enum class Keyword {</w:t>
        <w:br/>
        <w:t xml:space="preserve">    create_kw, drop_kw, use_kw, insert_kw, into_kw, select_kw,</w:t>
        <w:br/>
        <w:t xml:space="preserve">    from_kw, where_kw, update_kw, set_kw, delete_kw, as_kw,</w:t>
        <w:br/>
        <w:t xml:space="preserve">    between_kw, and_kw, like_kw, value_kw, values_kw, table_kw,</w:t>
        <w:br/>
        <w:t xml:space="preserve">    database_kw, int_kw, string_kw, bool_kw, not_kw, null_kw,</w:t>
        <w:br/>
        <w:t xml:space="preserve">    indexed_kw, default_kw, or_kw, sum_kw, count_kw, avg_kw</w:t>
        <w:br/>
        <w:t>};</w:t>
        <w:br/>
        <w:br/>
        <w:t>struct Token {</w:t>
        <w:br/>
        <w:t xml:space="preserve">    TokenType type;</w:t>
        <w:br/>
        <w:t xml:space="preserve">    std::string text;</w:t>
        <w:br/>
        <w:t xml:space="preserve">    Keyword keyword;</w:t>
        <w:br/>
        <w:t xml:space="preserve">    char symbol;</w:t>
        <w:br/>
        <w:t>};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простой: посимвольное сканирование с классификацией текущей лексемы. Пробельные символы пропускаются. Первый значащий символ задаёт ветку: буква или подчёркивание — это идентификатор либо ключевое слово; цифра — число; двойная кавычка — строковый литерал. Одиночные символы и составные операторы (==, !=, &lt;=, &gt;=) обрабатываются отдельно. По требованию ТЗ ключевые слова регистронезависимы, но смешанный регистр внутри одного слова запрещён: лексер проверяет, что идентификатор либо весь в нижнем, либо весь в верхнем регистре. Строковые литералы только в двойных кавычках, одиночные кавычки отбрасываются.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C++ используются std::string и std::vector для текста и токенов, enum class для типов токенов и категорий ключевых слов, классификация символов через std::isalpha, std::isdigit и std::isalnum.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1.3. Синтаксический анализатор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Парсер написан методом рекурсивного спуска (src/sql/parser.cpp). Класс Parser получает поток токенов и возвращает значение типа Statement. Statement — это std::variant над всеми возможными формами SQL-команд. Такой подход даёт единый тип AST: в исполнителе достаточно std::visit или std::get_if, иерархия виртуальных методов не нужна.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Грамматика построена по требованиям ТЗ. Команды могут занимать несколько строк, завершаются «;». Реализованные правила (в нотации, близкой к EBNF): CREATE DATABASE name; DROP DATABASE name; USE name; CREATE TABLE name (colDef {, colDef}); DROP TABLE name; INSERT INTO name (cols) VALUE row {, row}; SELECT (* | item {, item}) FROM name [WHERE cond]; UPDATE name SET assign {, assign} [WHERE cond]; DELETE FROM name [WHERE cond].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Условия WHERE парсятся через три уровня приоритета. Самый низкий — OR, выше — AND, самый высокий — атомарное условие: сравнение, BETWEEN, LIKE или вложенное выражение в скобках. Этому естественно отвечают три взаимно рекурсивные функции: parse_where_or, parse_where_and, parse_where_atom. Узлы AND и OR не могут лежать прямо в std::variant (тип получился бы рекурсивным через самого себя), поэтому они обёрнуты в std::unique_ptr и попадают в WhereCondition как std::unique_ptr&lt;WhereAnd&gt; и std::unique_ptr&lt;WhereOr&gt; (листинг 2).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 Узлы AST условий WHERE с поддержкой AND, OR, BETWEEN и LIKE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struct WhereComparison { Operand lhs; ComparisonOp op; Operand rhs; };</w:t>
        <w:br/>
        <w:t>struct WhereBetween   { Operand value; Operand low; Operand high; };</w:t>
        <w:br/>
        <w:t>struct WhereLike      { Operand value; Operand pattern; };</w:t>
        <w:br/>
        <w:br/>
        <w:t>struct WhereAnd; struct WhereOr;</w:t>
        <w:br/>
        <w:br/>
        <w:t>using WhereCondition = std::variant&lt;</w:t>
        <w:br/>
        <w:t xml:space="preserve">    WhereComparison,</w:t>
        <w:br/>
        <w:t xml:space="preserve">    WhereBetween,</w:t>
        <w:br/>
        <w:t xml:space="preserve">    WhereLike,</w:t>
        <w:br/>
        <w:t xml:space="preserve">    std::unique_ptr&lt;WhereAnd&gt;,</w:t>
        <w:br/>
        <w:t xml:space="preserve">    std::unique_ptr&lt;WhereOr&gt;</w:t>
        <w:br/>
        <w:t>&gt;;</w:t>
        <w:br/>
        <w:br/>
        <w:t>struct WhereAnd { WhereCondition left; WhereCondition right; };</w:t>
        <w:br/>
        <w:t>struct WhereOr  { WhereCondition left; WhereCondition right; };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Имена баз, таблиц и колонок ограничены правилами ТЗ: латинские буквы, цифры и подчёркивания, причём первый символ — не цифра. Проверка идёт в парсере. Если правило нарушено, бросается std::runtime_error с описанием места ошибки. Это исключение ловится в SqlApi и превращается в текстовое сообщение пользователю.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1.4. Семантика и исполнение запросов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 собран в классе Executor (src/sql/executor.cpp, около 2200 строк). Точка входа — метод execute(stmt). Через std::visit он диспетчеризует выполнение на конкретные методы: execute_create_database, execute_create_table, execute_insert, execute_select, execute_update, execute_delete и так далее. Семантика отдельных операторов описана в приложении Б.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Любой DML-оператор проходит общие этапы. Сначала разрешается имя таблицы (resolve_table_name): либо через активную базу из USE, либо по явной нотации database.table. Дальше проверяется WHERE по типам и именам колонок (validate_where_condition). Потом пробуется построить индексный план (try_build_index_where_plan). Записи собираются через индекс или полным сканом. К ним применяется проекция или модификация, после чего формируется JSON-результат.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INSERT, UPDATE и DELETE поддерживается согласованность файла таблицы с индексами. Порядок такой. Сначала валидация: типы, NOT NULL, уникальность INDEXED. Потом запись в .tbl. И только после удачной записи — синхронные изменения в .idx. Индексы меняются через apply_index_mutations_with_rollback: если очередная операция упала на ошибке ввода-вывода, уже применённые изменения откатываются в обратном порядке, а заголовок таблицы восстанавливается из ранее прочитанной копии страницы 0. Это даёт согласованность при штатных сбоях записи без полноценного WAL.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оператор возвращает bool — признак успеха. На семантические ошибки (нет такой базы, нет такой колонки, неверный тип, нарушение NOT NULL или INDEXED, дубль уникального ключа) бросается исключение с описанием. Его ловит SqlApi, и программа не падает. По ТЗ это обязательное требование.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1.5. Хранение данных на диске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— это отдельная директория внутри корневого каталога данных. Путь задаётся переменной окружения DBMS_DATA_ROOT. Каждая таблица лежит в файле с расширением .tbl, каждый индекс — в файле .idx с именем вида table__column.idx. Так удобно: DROP TABLE — это удаление нескольких файлов, а перенос базы — обычное копирование директории.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.tbl разбит на страницы по 4096 байт. Страница 0 хранит TableHeader и сериализованную схему колонок: имя, тип, флаги NOT NULL и INDEXED, значение DEFAULT. Страницы 1..next_page_id-1 хранят сами записи в slotted-формате (листинг 3). Физический адрес записи — пара (page_id, slot_id), структура Rid. Именно Rid лежит в индексе как значение, поэтому индекс не дублирует сами записи (требование ТЗ).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3. Заголовок страницы и слот записи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static constexpr std::size_t kPageSize = 4096;</w:t>
        <w:br/>
        <w:br/>
        <w:t>struct PageHeader {</w:t>
        <w:br/>
        <w:t xml:space="preserve">    int slots_count;</w:t>
        <w:br/>
        <w:t xml:space="preserve">    int free_start;</w:t>
        <w:br/>
        <w:t xml:space="preserve">    int free_end;</w:t>
        <w:br/>
        <w:t>};</w:t>
        <w:br/>
        <w:br/>
        <w:t>struct Slot {</w:t>
        <w:br/>
        <w:t xml:space="preserve">    int offset;</w:t>
        <w:br/>
        <w:t xml:space="preserve">    int size;</w:t>
        <w:br/>
        <w:t>};</w:t>
        <w:br/>
        <w:br/>
        <w:t>struct RecordHeader {</w:t>
        <w:br/>
        <w:t xml:space="preserve">    int size;</w:t>
        <w:br/>
        <w:t xml:space="preserve">    int null_bytes;</w:t>
        <w:br/>
        <w:t>};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Запись сериализуется функцией serialize_record. Формат такой: сначала RecordHeader с размером записи и размером null-карты, потом сама null-карта (битовый вектор, где единичный бит на позиции i означает NULL в i-й колонке), потом по очереди значения не-NULL колонок. Числа пишутся как 4-байтовый int, строки — как (длина: int) + (байты строки). Обратная операция deserialize_record читает заголовок, восстанавливает null-карту и складывает значения в Record::values типа std::vector&lt;std::optional&lt;std::string&gt;&gt;. У формата два плюса: строки переменной длины не требуют максимального буфера, а NULL обходится без зарезервированного значения.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Удаление логическое: размер слота ставится в 0, остальные слоты не сдвигаются. Так не ломаются ранее выданные Rid, в том числе те, что лежат в индексах по другим колонкам этой же таблицы. Уплотнения страниц в текущей версии нет, это намеренное упрощение для пункта 0.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1.6. B-tree индекс на диске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Индекс — шаблонный класс BTreeDiskIndex&lt;tkey, t&gt; (include/dbms/index/b_tree_disk_index.h, около 570 строк). Параметр t — степень дерева, в работе используется t = 5: минимум 4 ключа в узле, максимум 9. Шаблонность по tkey закрывает оба случая из ТЗ — INT INDEXED и STRING INDEXED. Для строк определена обёртка StringKey фиксированного размера, которая удовлетворяет условию std::is_trivially_copyable_v&lt;tkey&gt;.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Раскладка индексного файла повторяет идею файла таблицы. Страница 0 — это IndexHeader: идентификатор корня, порядок дерева и следующий свободный id узла. Страницы 1..next_page_id-1 — сами узлы. В узле хранится: флаг is_leaf, текущее число ключей, массив ключей размера 2t−1, массив значений типа Rid размера 2t−1 и массив идентификаторов потомков размера 2t (листинг 4).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4. Узел B-дерева на диске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template&lt;typename tkey, std::size_t t = 5&gt;</w:t>
        <w:br/>
        <w:t>class BTreeDiskIndex {</w:t>
        <w:br/>
        <w:t xml:space="preserve">    static constexpr int kMinKeys     = static_cast&lt;int&gt;(t - 1);</w:t>
        <w:br/>
        <w:t xml:space="preserve">    static constexpr int kMaxKeys     = static_cast&lt;int&gt;(2 * t - 1);</w:t>
        <w:br/>
        <w:t xml:space="preserve">    static constexpr int kMaxChildren = static_cast&lt;int&gt;(2 * t);</w:t>
        <w:br/>
        <w:br/>
        <w:t xml:space="preserve">    struct Node {</w:t>
        <w:br/>
        <w:t xml:space="preserve">        int id;</w:t>
        <w:br/>
        <w:t xml:space="preserve">        int is_leaf;</w:t>
        <w:br/>
        <w:t xml:space="preserve">        int keys_count;</w:t>
        <w:br/>
        <w:t xml:space="preserve">        std::array&lt;tkey, kMaxKeys + 1&gt;     keys;</w:t>
        <w:br/>
        <w:t xml:space="preserve">        std::array&lt;Rid,  kMaxKeys + 1&gt;     values;</w:t>
        <w:br/>
        <w:t xml:space="preserve">        std::array&lt;int,  kMaxChildren + 1&gt; children;</w:t>
        <w:br/>
        <w:t xml:space="preserve">    };</w:t>
        <w:br/>
        <w:t xml:space="preserve">    // ... insert, find, erase, range</w:t>
        <w:br/>
        <w:t>};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Реализованы стандартные операции из учебника Кормена. Вставка (insert) — с проактивным расщеплением полных узлов на пути вниз. Поиск (find и contains) — обычный спуск по дереву. Удаление (erase) — с тремя случаями: удаление из листа, слияние потомков и заимствование ключа у соседнего ребёнка. Интервальный обход (range) используется для BETWEEN и неравенств. Все операции обращаются к диску через IndexPageManager: он читает и пишет страницы целиком и выделяет новые идентификаторы узлов в IndexHeader.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Индекс используется для оптимизации условий вида indexed_column op literal, где op — это ==, !=, &lt;, &lt;=, &gt;, &gt;= или BETWEEN (литерал может стоять и слева). Для каждого подходящего условия исполнитель выбирает операцию B-дерева (find или range), получает множество Rid, а потом читает по этим Rid сами записи из файла таблицы. Условия, которые не сводятся к этому шаблону (сравнение двух колонок, LIKE по регулярному выражению, сложные AND/OR), обрабатываются полным сканом страниц. Корректность выбора пути проверена тестами, в том числе через диагностический флаг Executor::last_operation_used_index().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1.7. Командный интерфейс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Командный интерфейс — класс Cli (src/sql/cli.cpp). Режим переключается аргументом командной строки. Без аргументов (./prog) запускается интерактивный режим. Пользователь вводит SQL построчно, Cli накапливает буфер до символа «;», передаёт команду в SqlApi и печатает результат: короткое OK для DDL/DML или JSON-массив для SELECT. Приглашение зависит от состояния буфера: «&gt; » для новой команды, «... » для продолжения многострочной.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 именем файла (./prog script.sql) включается пакетный режим. Файл читается целиком, разбивается на команды по «;» вне строковых литералов и выполняется по порядку. Ошибка одной команды не валит весь скрипт: сообщение об ошибке печатается, следующая команда продолжает работу. Этим выполняется требование ТЗ «программа не должна завершаться аварийно».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Дополнительное задание 3. Клиент-Сервер (gRPC)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сетевого слоя выбран gRPC поверх Protocol Buffers v3. У него два удобства. Во-первых, по одной schema-схеме генерируются и клиент, и сервер на C++. Во-вторых, транспорт идёт «из коробки», не нужно руками сериализовать и десериализовать сообщения поверх сокетов.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сервиса описана в proto/sql_service.proto (листинг 5). API простой, всего три метода. OpenSession создаёт серверную сессию и возвращает её строковый идентификатор. Execute принимает идентификатор сессии и текст SQL, возвращает признак успеха, признак того, что это SELECT, и либо JSON-результат, либо текст ошибки. CloseSession освобождает ресурсы сессии. Сессии хранятся в std::unordered_map под std::mutex, потому что к нему ходят разные потоки gRPC.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5. Описание сервиса в Protocol Buffers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syntax = "proto3";</w:t>
        <w:br/>
        <w:t>package dbms.rpc;</w:t>
        <w:br/>
        <w:br/>
        <w:t>message OpenSessionResponse  { bool ok=1; string session_id=2; string error=3; }</w:t>
        <w:br/>
        <w:t>message ExecuteRequest       { string session_id=1; string sql=2; }</w:t>
        <w:br/>
        <w:t>message ExecuteResponse      { bool ok=1; bool is_select=2;</w:t>
        <w:br/>
        <w:t xml:space="preserve">                                string json=3; string error=4; }</w:t>
        <w:br/>
        <w:t>message CloseSessionRequest  { string session_id=1; }</w:t>
        <w:br/>
        <w:br/>
        <w:t>service SqlService {</w:t>
        <w:br/>
        <w:t xml:space="preserve">  rpc OpenSession (OpenSessionRequest)  returns (OpenSessionResponse);</w:t>
        <w:br/>
        <w:t xml:space="preserve">  rpc Execute     (ExecuteRequest)       returns (ExecuteResponse);</w:t>
        <w:br/>
        <w:t xml:space="preserve">  rpc CloseSession(CloseSessionRequest)  returns (CloseSessionResponse);</w:t>
        <w:br/>
        <w:t>}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(src/grpc/grpc_server_main.cpp) принимает аргументы «host:port» и путь к каталогу данных. Внутри обработчика Execute вызывается тот же путь, что и в локальном CLI: SqlApi → Lexer → Parser → Executor. Поведение получается одинаковым в локальном и сетевом режимах, и не приходится дублировать код.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 (src/grpc/grpc_client_main.cpp) умеет оба режима, интерактивный и пакетный, и по поведению повторяет локальный CLI: многострочные команды до «;», разные приглашения, обработка нескольких команд в одной строке. Идея — чтобы пользователь не замечал разницы между локальной СУБД и сервером по сети.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и клиент собраны в Docker-образы awak3r/dbms-server и awak3r/dbms-client и опубликованы на Docker Hub. Сервер монтирует том /data под базы и слушает порт 50051.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Дополнительное задание 7. Логирование активности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Подсистема логов — класс AccessLogger (include/dbms/grpc/access_logger.h, src/grpc/access_logger.cpp), подключённый к gRPC-обработчику Execute. На каждый запрос в журнал пишется строка с фиксированным набором полей: идентификатор клиента (берётся из peer-адреса gRPC), идентификатор обработчика (имя RPC-метода), тело запроса (текст SQL), время начала и время конца обработки, признак успеха и статус (OK или текст исключения).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6. Интерфейс AccessLogger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class AccessLogger {</w:t>
        <w:br/>
        <w:t>public:</w:t>
        <w:br/>
        <w:t xml:space="preserve">    explicit AccessLogger(const std::filesystem::path&amp; log_path);</w:t>
        <w:br/>
        <w:br/>
        <w:t xml:space="preserve">    void log(const std::string&amp; client_id,</w:t>
        <w:br/>
        <w:t xml:space="preserve">             const std::string&amp; handler_id,</w:t>
        <w:br/>
        <w:t xml:space="preserve">             const std::string&amp; body,</w:t>
        <w:br/>
        <w:t xml:space="preserve">             std::chrono::system_clock::time_point start,</w:t>
        <w:br/>
        <w:t xml:space="preserve">             std::chrono::system_clock::time_point end,</w:t>
        <w:br/>
        <w:t xml:space="preserve">             bool ok,</w:t>
        <w:br/>
        <w:t xml:space="preserve">             const std::string&amp; status);</w:t>
        <w:br/>
        <w:br/>
        <w:t>private:</w:t>
        <w:br/>
        <w:t xml:space="preserve">    std::ofstream _file;</w:t>
        <w:br/>
        <w:t xml:space="preserve">    std::mutex    _mutex;</w:t>
        <w:br/>
        <w:t>};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открывается в режиме append. Одновременная запись из разных gRPC-потоков защищена std::mutex, поэтому строки в файле не перемешиваются. Время пишется в формате ISO 8601 с миллисекундной точностью через std::chrono::system_clock и std::put_time. Этот формат и читается глазами, и легко разбирается машинными анализаторами.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Дополнительное задание 8. Подсистема телеметрии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Подсистема телеметрии — класс TelemetryCollector (include/dbms/grpc/telemetry.h, src/grpc/telemetry.cpp). Он считает в реальном времени четыре метрики из ТЗ: текущий RPS (число запросов в секунду), средний и максимальный RPS за последние 10 минут, среднее время обработки запроса за последние 10 секунд и Error Rate за последнюю минуту.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основе — скользящее окно. Каждой секунде соответствует один элемент кольцевого массива длиной kWindowMax = 600 (10 минут — это максимальное окно из ТЗ). Элемент — структура Bucket: Unix-секунда, число успешных запросов, число ошибок и суммарное время обработки в микросекундах (листинг 7). На каждый вызов record() из gRPC-обработчика счётчики соответствующего бакета увеличиваются. Когда наступает новая секунда, бакет переинициализируется новым timestamp и нулевыми счётчиками. Так старые значения автоматически «истекают», и не приходится вручную чистить память.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7. Структура бакета телеметрии и кольцевого окна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class TelemetryCollector {</w:t>
        <w:br/>
        <w:t xml:space="preserve">    struct Bucket {</w:t>
        <w:br/>
        <w:t xml:space="preserve">        int64_t  timestamp = 0;</w:t>
        <w:br/>
        <w:t xml:space="preserve">        uint64_t requests  = 0;</w:t>
        <w:br/>
        <w:t xml:space="preserve">        uint64_t errors    = 0;</w:t>
        <w:br/>
        <w:t xml:space="preserve">        uint64_t total_us  = 0;</w:t>
        <w:br/>
        <w:t xml:space="preserve">    };</w:t>
        <w:br/>
        <w:br/>
        <w:t xml:space="preserve">    static constexpr int kWindowMax = 600; // 10 минут</w:t>
        <w:br/>
        <w:br/>
        <w:t xml:space="preserve">    std::array&lt;Bucket, kWindowMax&gt; _buckets{};</w:t>
        <w:br/>
        <w:t xml:space="preserve">    std::mutex                     _mutex;</w:t>
        <w:br/>
        <w:t xml:space="preserve">    std::ofstream                  _file;</w:t>
        <w:br/>
        <w:t xml:space="preserve">    std::thread                    _thread;</w:t>
        <w:br/>
        <w:t xml:space="preserve">    std::atomic&lt;bool&gt;              _stop{false};</w:t>
        <w:br/>
        <w:t>};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Подсчёт и вывод метрик идут в фоновом потоке (background_loop). Поток просыпается раз в секунду, суммирует значения по нужным бакетам и пишет строку отчёта. Поток завершается через std::atomic&lt;bool&gt; _stop, который выставляется в деструкторе. Для синхронизации записи и чтения бакетов используется std::mutex. Версия на atomic-полях усложнила бы код без заметного выигрыша по производительности.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Дополнительное задание 10. Модификатор DEFAULT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DEFAULT добавлен как расширение грамматики CREATE TABLE: после типа колонки можно указать DEFAULT &lt;литерал&gt;. Значение пишется в структуру ColumnDef в поле std::optional&lt;std::string&gt; default_value и попадает в сериализованную схему таблицы рядом с типом и флагами.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INSERT для каждой пропущенной в списке колонки проверяется default_value. Если оно есть — записывается как значение поля. Если default_value нет, а колонка не помечена NOT NULL — пишется NULL. Если колонка NOT NULL и DEFAULT не задан — бросается ошибка с описанием. Поведение совпадает с тем, как DEFAULT работает в обычных промышленных СУБД, и соответствует ТЗ.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INDEXED-колонок DEFAULT тоже разрешён, но он не может быть NULL: INDEXED запрещает NULL по ТЗ. Эта проверка идёт на стадии CREATE TABLE; при нарушении таблица не создаётся.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Дополнительное задание 11. Составные условия в WHERE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Расширение WHERE сделано через два новых узла AST — WhereAnd и WhereOr — и три взаимно рекурсивные функции парсера: parse_where_or, parse_where_and, parse_where_atom. parse_where_or принимает любое число условий, разделённых OR. parse_where_and — любое число условий, разделённых AND. parse_where_atom распознаёт одно элементарное условие (сравнение, BETWEEN, LIKE) или вложенное выражение в круглых скобках. Такая структура автоматически даёт AND приоритет выше OR — как в стандарте SQL и в обычных промышленных СУБД.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Узлы хранят детей по значению в виде WhereCondition. Из-за этого тип получался бы рекурсивным через самого себя, поэтому WhereAnd и WhereOr пришлось обернуть в std::unique_ptr. Это стандартный приём для рекурсивных AST на std::variant в C++.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 обходит дерево условий рекурсивно. Для составных узлов вычисляются значения левого и правого поддерева и комбинируются логической операцией. Для атомарных условий вызывается evaluate_where_condition. Использование индекса для составных условий не реализовано: оптимизация индексных планов под AND/OR в общем случае требует отдельной фазы планирования и в обязательную часть не входила.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Дополнительное задание 12. Агрегатные функции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Агрегаты в SELECT поддержаны в формате FUNC(column_name), где FUNC — это SUM, COUNT или AVG. В AST элемент списка проекций — структура SelectItem с опциональным полем std::optional&lt;AggregateFunc&gt; aggregate. Если поле пустое (std::nullopt) — колонка выводится как обычно. Если заполнено — исполнитель переключается в агрегатный режим.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агрегации простой. Исполнитель собирает подходящие строки тем же путём, что и при обычном SELECT (через индекс или полный скан), но вместо JSON-массива со всеми строками за один проход накапливает по каждому агрегатному выражению счётчик и сумму. COUNT учитывает только не-NULL значения. SUM суммирует числа (NULL пропускается). AVG возвращает SUM/COUNT с двумя знаками после запятой. Для пустого результата AVG возвращает null. В JSON выводится одна агрегатная строка, а не множество исходных.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спроектирована и реализована файловая СУБД на C++17. Обязательный пункт 0 закрыт полностью. Поддерживаются DDL-операторы (CREATE/DROP DATABASE, USE, CREATE/DROP TABLE) и DML-операторы (INSERT, SELECT, UPDATE, DELETE), типы INT и STRING, ограничения NOT NULL и INDEXED, условия WHERE со сравнениями, BETWEEN и LIKE, вывод результатов в JSON, дисковый B-tree индекс.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обязательной части выполнено шесть дополнительных заданий из ТЗ: клиент-серверная архитектура на gRPC и Protocol Buffers (№ 3), журнал активности (№ 7), телеметрия со скользящим окном (№ 8), модификатор DEFAULT в CREATE TABLE (№ 10), составные условия AND и OR со скобками в WHERE (№ 11), агрегаты SUM, COUNT и AVG в SELECT (№ 12).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Корректность проверена 133 автоматическими тестами GoogleTest в четырёх бинарниках. Тесты покрывают лексер, парсер, исполнитель, индекс, сценарии CLI и сценарии пункта 0 из ТЗ. Полный прогон всех тестов идёт около 100 миллисекунд. К защите также подготовлены демонстрационные SQL-скрипты в каталоге scripts/: demo_point0, demo_constraints_errors, demo_restart_seed/check, demo_grpc.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текущей версии есть осознанные ограничения. Нет журнала упреждающей записи (WAL), поэтому восстановление после аварийного завершения процесса между записями страниц не гарантируется. Нет ACID-транзакций между несколькими SQL-командами. Используется модель одного писателя, конкурентные писатели не поддерживаются. Удаление записей логическое, страницы не уплотняются. Все эти ограничения известны и зафиксированы в документации; их можно закрыть в следующих итерациях проекта.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Список использованных источников</w:t>
      </w:r>
    </w:p>
    <w:p>
      <w:pPr>
        <w:spacing w:line="276" w:lineRule="auto" w:before="0" w:after="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1. Силберштац, А. Основы баз данных / А. Силберштац, Г. Корт, С. Сударшан ; пер. с англ. — 6-е изд. — Москва : Диалектика, 2021. — 1072 с. — ISBN 978-5-907458-08-8.</w:t>
      </w:r>
    </w:p>
    <w:p>
      <w:pPr>
        <w:spacing w:line="276" w:lineRule="auto" w:before="0" w:after="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2. Петров, А. Распределённые данные: внутреннее устройство баз данных / А. Петров ; пер. с англ. — Москва : БХВ-Петербург, 2021. — 368 с. — ISBN 978-5-9775-6722-4.</w:t>
      </w:r>
    </w:p>
    <w:p>
      <w:pPr>
        <w:spacing w:line="276" w:lineRule="auto" w:before="0" w:after="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3. gRPC Authors. gRPC Documentation [Электронный ресурс]. — URL: https://grpc.io/docs/ (дата обращения: 29.05.2026).</w:t>
      </w:r>
    </w:p>
    <w:p>
      <w:pPr>
        <w:spacing w:line="276" w:lineRule="auto" w:before="0" w:after="0"/>
        <w:ind w:left="709" w:hanging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4. Ломанн, Н. JSON for Modern C++ [Электронный ресурс] / Н. Ломанн. — URL: https://github.com/nlohmann/json (дата обращения: 29.05.2026).</w:t>
      </w:r>
    </w:p>
    <w:p>
      <w:r>
        <w:br w:type="page"/>
      </w:r>
    </w:p>
    <w:p>
      <w:pPr>
        <w:pStyle w:val="Heading1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Приложения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А. Структурная схема СУБД</w:t>
      </w:r>
    </w:p>
    <w:p>
      <w:pPr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787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_upda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8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8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2. Общая схема взаимодействия слоёв СУБД</w:t>
      </w:r>
    </w:p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Б. Соответствие пунктов ТЗ и файлов кода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1. Соответствие пунктов ТЗ и исходных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Пункт ТЗ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Файлы реализации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Пункт 0. Лексер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src/sql/lexer.cpp, include/dbms/sql/lexer.h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Пункт 0. Парсер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src/sql/parser.cpp, include/dbms/sql/parser.h, statements.h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Пункт 0. Исполнитель и SQL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src/sql/executor.cpp, src/sql/sql_api.cpp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Пункт 0. Каталог и сущности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include/dbms/core/{catalog,database,table,schema,dbms}.h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Пункт 0. Хранение таблицы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include/dbms/storage/{page,record,record_codec,table_page_manager}.h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Пункт 0. B-tree индекс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include/dbms/index/{b_tree_disk_index,index_manager,index_page_manager}.h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Пункт 0. CLI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src/sql/cli.cpp, src/main.cpp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Доп. задание 3. gRPC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proto/sql_service.proto, src/grpc/*.cpp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Доп. задание 7. Access Logs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src/grpc/access_logger.cpp, include/dbms/grpc/access_logger.h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Доп. задание 8. Telemetry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src/grpc/telemetry.cpp, include/dbms/grpc/telemetry.h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Доп. задание 10. DEFAULT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src/sql/parser.cpp (parse_column_def), src/sql/executor.cpp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Доп. задание 11. AND/OR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src/sql/parser.cpp (parse_where_or/and/atom), statements.h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Доп. задание 12. SUM/COUNT/AVG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src/sql/parser.cpp (parse_select_item), src/sql/executor.cpp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Тесты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tests/sql/*.cpp, tests/spec/all_tests.cpp, tests/b_tree_tests.cpp</w:t>
            </w:r>
          </w:p>
        </w:tc>
      </w:tr>
      <w:tr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</w:t>
            </w:r>
          </w:p>
        </w:tc>
        <w:tc>
          <w:tcPr>
            <w:tcW w:type="dxa" w:w="512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Dockerfile, scripts/demo_*.sql</w:t>
            </w:r>
          </w:p>
        </w:tc>
      </w:tr>
    </w:tbl>
    <w:p>
      <w:pPr>
        <w:pStyle w:val="Heading2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В. Примеры работы программы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данном приложении приведён вывод программы при выполнении демонстрационных SQL-скриптов из каталога scripts/. Скрипты запускаются командой: DBMS_DATA_ROOT=/tmp/demo ./build/prog scripts/demo_point0.sql</w:t>
      </w:r>
    </w:p>
    <w:p>
      <w:pPr>
        <w:pStyle w:val="Heading3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В.1. Основные операции DDL и DML (demo_point0.sql)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8. Команды demo_point0.sql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CREATE DATABASE demo_main;</w:t>
        <w:br/>
        <w:t>USE demo_main;</w:t>
        <w:br/>
        <w:t>CREATE TABLE users (id INT INDEXED, login STRING INDEXED,</w:t>
        <w:br/>
        <w:t xml:space="preserve">                    age INT NOT NULL, city STRING);</w:t>
        <w:br/>
        <w:t>INSERT INTO users (id, login, age, city) VALUE</w:t>
        <w:br/>
        <w:t xml:space="preserve">  (1, "alice", 20, "Amsterdam"),</w:t>
        <w:br/>
        <w:t xml:space="preserve">  (2, "bob",   25, "Paris"),</w:t>
        <w:br/>
        <w:t xml:space="preserve">  (3, "carol", 30, NULL),</w:t>
        <w:br/>
        <w:t xml:space="preserve">  (4, "anna",  28, "Rome");</w:t>
        <w:br/>
        <w:t>SELECT * FROM users;</w:t>
        <w:br/>
        <w:t>SELECT id AS user_id, login, age FROM users WHERE id BETWEEN 2 AND 4;</w:t>
        <w:br/>
        <w:t>SELECT login, city FROM users WHERE login LIKE "a.*";</w:t>
        <w:br/>
        <w:t>UPDATE users SET city = "Berlin" WHERE id == 2;</w:t>
        <w:br/>
        <w:t>DELETE FROM users WHERE login == "carol";</w:t>
        <w:br/>
        <w:t>SELECT login FROM demo_main.users WHERE id == 1;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9. Вывод demo_point0.sql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OK</w:t>
        <w:br/>
        <w:t>OK</w:t>
        <w:br/>
        <w:t>OK</w:t>
        <w:br/>
        <w:t>OK</w:t>
        <w:br/>
        <w:t>[</w:t>
        <w:br/>
        <w:t xml:space="preserve">  {"age": 20, "city": "Amsterdam", "id": 1, "login": "alice"},</w:t>
        <w:br/>
        <w:t xml:space="preserve">  {"age": 25, "city": "Paris",     "id": 2, "login": "bob"},</w:t>
        <w:br/>
        <w:t xml:space="preserve">  {"age": 30, "city": null,          "id": 3, "login": "carol"},</w:t>
        <w:br/>
        <w:t xml:space="preserve">  {"age": 28, "city": "Rome",       "id": 4, "login": "anna"}</w:t>
        <w:br/>
        <w:t>]</w:t>
        <w:br/>
        <w:t>[</w:t>
        <w:br/>
        <w:t xml:space="preserve">  {"age": 25, "login": "bob",   "user_id": 2},</w:t>
        <w:br/>
        <w:t xml:space="preserve">  {"age": 30, "login": "carol", "user_id": 3},</w:t>
        <w:br/>
        <w:t xml:space="preserve">  {"age": 28, "login": "anna",  "user_id": 4}</w:t>
        <w:br/>
        <w:t>]</w:t>
        <w:br/>
        <w:t>[</w:t>
        <w:br/>
        <w:t xml:space="preserve">  {"city": "Amsterdam", "login": "alice"},</w:t>
        <w:br/>
        <w:t xml:space="preserve">  {"city": "Rome",      "login": "anna"}</w:t>
        <w:br/>
        <w:t>]</w:t>
        <w:br/>
        <w:t>OK</w:t>
        <w:br/>
        <w:t>[{"city": "Berlin", "id": 2, "login": "bob"}]</w:t>
        <w:br/>
        <w:t>OK</w:t>
        <w:br/>
        <w:t>[</w:t>
        <w:br/>
        <w:t xml:space="preserve">  {"id": 1, "login": "alice"},</w:t>
        <w:br/>
        <w:t xml:space="preserve">  {"id": 2, "login": "bob"},</w:t>
        <w:br/>
        <w:t xml:space="preserve">  {"id": 4, "login": "anna"}</w:t>
        <w:br/>
        <w:t>]</w:t>
        <w:br/>
        <w:t>[{"login": "alice"}]</w:t>
      </w:r>
    </w:p>
    <w:p>
      <w:pPr>
        <w:pStyle w:val="Heading3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В.2. Ограничения целостности и информативные ошибки (demo_constraints_errors.sql)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10. Вывод demo_constraints_errors.sql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OK</w:t>
        <w:br/>
        <w:t>OK</w:t>
        <w:br/>
        <w:t>OK</w:t>
        <w:br/>
        <w:t>OK</w:t>
        <w:br/>
        <w:t>ERROR: Constraint error: duplicate INDEXED key `1` for column `id`</w:t>
        <w:br/>
        <w:t>ERROR: Constraint error: duplicate INDEXED key `alice` for column `login`</w:t>
        <w:br/>
        <w:t>ERROR: Constraint error: column `id` cannot be NULL because it is INDEXED</w:t>
        <w:br/>
        <w:t>ERROR: Constraint error: required column `age` was omitted from INSERT into `users`</w:t>
        <w:br/>
        <w:t>ERROR: Type error: value `bad_int` for column `id` is not INT</w:t>
        <w:br/>
        <w:t>ERROR: Runtime error: invalid LIKE regex `[`: Unexpected character in bracket expression.</w:t>
        <w:br/>
        <w:t>ERROR: Semantic error: table `demo_errors.users` has no column `missing_column` in SELECT projection</w:t>
        <w:br/>
        <w:t>[{"age": 20, "id": 1, "login": "alice"}]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ошибки обрабатываются без аварийного завершения программы. После серии ошибочных команд финальный SELECT возвращает корректный результат — таблица осталась в согласованном состоянии.</w:t>
      </w:r>
    </w:p>
    <w:p>
      <w:pPr>
        <w:pStyle w:val="Heading3"/>
        <w:spacing w:line="360" w:lineRule="auto" w:before="24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В.3. Персистентность данных после перезапуска (demo_restart_seed/check.sql)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11. Первый запуск — запись данных (demo_restart_seed.sql)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OK</w:t>
        <w:br/>
        <w:t>OK</w:t>
        <w:br/>
        <w:t>OK</w:t>
        <w:br/>
        <w:t>OK</w:t>
        <w:br/>
        <w:t>[</w:t>
        <w:br/>
        <w:t xml:space="preserve">  {"balance": 100, "id": 1, "owner": "alice"},</w:t>
        <w:br/>
        <w:t xml:space="preserve">  {"balance": 150, "id": 2, "owner": "bob"},</w:t>
        <w:br/>
        <w:t xml:space="preserve">  {"balance": 200, "id": 3, "owner": "carol"}</w:t>
        <w:br/>
        <w:t>]</w:t>
      </w:r>
    </w:p>
    <w:p>
      <w:pPr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12. Второй запуск — чтение после перезапуска (demo_restart_check.sql)</w:t>
      </w:r>
    </w:p>
    <w:p>
      <w:pPr>
        <w:spacing w:line="240" w:lineRule="auto" w:before="0" w:after="240"/>
        <w:ind w:firstLine="0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OK</w:t>
        <w:br/>
        <w:t>[</w:t>
        <w:br/>
        <w:t xml:space="preserve">  {"balance": 100, "owner": "alice"},</w:t>
        <w:br/>
        <w:t xml:space="preserve">  {"balance": 150, "owner": "bob"}</w:t>
        <w:br/>
        <w:t>]</w:t>
        <w:br/>
        <w:t>[{"id": 3}]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Данные, схемы и индексы сохраняются в файловой системе и восстанавливаются при повторном запуске на том же DBMS_DATA_ROOT без дополнительных действий.</w:t>
      </w:r>
    </w:p>
    <w:sectPr w:rsidR="00FC693F" w:rsidRPr="0006063C" w:rsidSect="00034616">
      <w:footerReference w:type="default" r:id="rId9"/>
      <w:pgSz w:w="12240" w:h="15840"/>
      <w:pgMar w:top="850" w:right="850" w:bottom="850" w:left="1134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