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Executive Summary for UrbanWind Technologies</w:t>
      </w:r>
    </w:p>
    <w:p w:rsidR="00000000" w:rsidDel="00000000" w:rsidP="00000000" w:rsidRDefault="00000000" w:rsidRPr="00000000" w14:paraId="00000003">
      <w:pPr>
        <w:widowControl w:val="0"/>
        <w:spacing w:after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Company Overview:</w:t>
      </w:r>
    </w:p>
    <w:p w:rsidR="00000000" w:rsidDel="00000000" w:rsidP="00000000" w:rsidRDefault="00000000" w:rsidRPr="00000000" w14:paraId="00000004">
      <w:pPr>
        <w:widowControl w:val="0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UrbanWind Technologies, founded in 2022 by a team of seasoned industry veterans, is revolutionizing urban renewable energy. Our innovative, small-scale wind turbines, designed to seamlessly integrate with solar energy systems, are transforming homes and commercial buildings into sustainable powerhouses.</w:t>
      </w:r>
    </w:p>
    <w:p w:rsidR="00000000" w:rsidDel="00000000" w:rsidP="00000000" w:rsidRDefault="00000000" w:rsidRPr="00000000" w14:paraId="00000005">
      <w:pPr>
        <w:widowControl w:val="0"/>
        <w:spacing w:after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Product Line: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ResidentialBreeze™:</w:t>
      </w:r>
      <w:r w:rsidDel="00000000" w:rsidR="00000000" w:rsidRPr="00000000">
        <w:rPr>
          <w:color w:val="1f1f1f"/>
          <w:rtl w:val="0"/>
        </w:rPr>
        <w:t xml:space="preserve"> Compact, quiet, and efficient wind turbines tailored for single-family homes.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CommercialGust™:</w:t>
      </w:r>
      <w:r w:rsidDel="00000000" w:rsidR="00000000" w:rsidRPr="00000000">
        <w:rPr>
          <w:color w:val="1f1f1f"/>
          <w:rtl w:val="0"/>
        </w:rPr>
        <w:t xml:space="preserve"> Scalable wind energy solutions designed to meet the demands of office buildings and industrial facilities.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HybridFlow™:</w:t>
      </w:r>
      <w:r w:rsidDel="00000000" w:rsidR="00000000" w:rsidRPr="00000000">
        <w:rPr>
          <w:color w:val="1f1f1f"/>
          <w:rtl w:val="0"/>
        </w:rPr>
        <w:t xml:space="preserve"> Our groundbreaking integrated wind-solar systems optimize energy production, maximizing efficiency and minimizing reliance on the grid.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SmartWind™:</w:t>
      </w:r>
      <w:r w:rsidDel="00000000" w:rsidR="00000000" w:rsidRPr="00000000">
        <w:rPr>
          <w:color w:val="1f1f1f"/>
          <w:rtl w:val="0"/>
        </w:rPr>
        <w:t xml:space="preserve"> AI-powered control systems ensure our turbines operate at peak performance, adapting to variable wind conditions and maximizing energy output.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Market Opportunity:</w:t>
      </w:r>
    </w:p>
    <w:p w:rsidR="00000000" w:rsidDel="00000000" w:rsidP="00000000" w:rsidRDefault="00000000" w:rsidRPr="00000000" w14:paraId="0000000B">
      <w:pPr>
        <w:widowControl w:val="0"/>
        <w:spacing w:after="240" w:lin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global small wind turbine market is on a rapid growth trajectory, projected to reach $8.9 billion by 2026. UrbanWind Technologies, with its unique blend of innovative technology and deep industry expertise, is poised to capture a significant share of this burgeoning market.</w:t>
      </w:r>
    </w:p>
    <w:p w:rsidR="00000000" w:rsidDel="00000000" w:rsidP="00000000" w:rsidRDefault="00000000" w:rsidRPr="00000000" w14:paraId="0000000C">
      <w:pPr>
        <w:widowControl w:val="0"/>
        <w:spacing w:after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Competitive Advantage: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Quiet &amp; Efficient:</w:t>
      </w:r>
      <w:r w:rsidDel="00000000" w:rsidR="00000000" w:rsidRPr="00000000">
        <w:rPr>
          <w:color w:val="1f1f1f"/>
          <w:rtl w:val="0"/>
        </w:rPr>
        <w:t xml:space="preserve"> Proprietary blade design minimizes noise pollution, making our turbines ideal for urban settings.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Durable &amp; Lightweight:</w:t>
      </w:r>
      <w:r w:rsidDel="00000000" w:rsidR="00000000" w:rsidRPr="00000000">
        <w:rPr>
          <w:color w:val="1f1f1f"/>
          <w:rtl w:val="0"/>
        </w:rPr>
        <w:t xml:space="preserve"> Advanced materials ensure our turbines are robust yet lightweight, simplifying installation and maintenance.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Smart Integration:</w:t>
      </w:r>
      <w:r w:rsidDel="00000000" w:rsidR="00000000" w:rsidRPr="00000000">
        <w:rPr>
          <w:color w:val="1f1f1f"/>
          <w:rtl w:val="0"/>
        </w:rPr>
        <w:t xml:space="preserve"> Our systems seamlessly integrate with existing solar installations and power grids, offering a comprehensive renewable energy solution.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2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AI-Powered Performance:</w:t>
      </w:r>
      <w:r w:rsidDel="00000000" w:rsidR="00000000" w:rsidRPr="00000000">
        <w:rPr>
          <w:color w:val="1f1f1f"/>
          <w:rtl w:val="0"/>
        </w:rPr>
        <w:t xml:space="preserve"> Patented AI algorithms optimize turbine performance in real-time, adapting to changing wind conditions and ensuring maximum energy harvest.</w:t>
      </w:r>
    </w:p>
    <w:p w:rsidR="00000000" w:rsidDel="00000000" w:rsidP="00000000" w:rsidRDefault="00000000" w:rsidRPr="00000000" w14:paraId="00000011">
      <w:pPr>
        <w:widowControl w:val="0"/>
        <w:spacing w:after="240" w:before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Financial Highlights: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2023 Revenue:</w:t>
      </w:r>
      <w:r w:rsidDel="00000000" w:rsidR="00000000" w:rsidRPr="00000000">
        <w:rPr>
          <w:color w:val="1f1f1f"/>
          <w:rtl w:val="0"/>
        </w:rPr>
        <w:t xml:space="preserve"> $14 million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2024 Projected Revenue:</w:t>
      </w:r>
      <w:r w:rsidDel="00000000" w:rsidR="00000000" w:rsidRPr="00000000">
        <w:rPr>
          <w:color w:val="1f1f1f"/>
          <w:rtl w:val="0"/>
        </w:rPr>
        <w:t xml:space="preserve"> $22 million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2025 Projected Revenue:</w:t>
      </w:r>
      <w:r w:rsidDel="00000000" w:rsidR="00000000" w:rsidRPr="00000000">
        <w:rPr>
          <w:color w:val="1f1f1f"/>
          <w:rtl w:val="0"/>
        </w:rPr>
        <w:t xml:space="preserve"> $32 million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Funding:</w:t>
      </w:r>
      <w:r w:rsidDel="00000000" w:rsidR="00000000" w:rsidRPr="00000000">
        <w:rPr>
          <w:color w:val="1f1f1f"/>
          <w:rtl w:val="0"/>
        </w:rPr>
        <w:t xml:space="preserve"> $11 million Series A raised, seeking $25 million Series B to fuel expansion and accelerate market penetration.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Leadership Team: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Elana Rodriguez, CEO:</w:t>
      </w:r>
      <w:r w:rsidDel="00000000" w:rsidR="00000000" w:rsidRPr="00000000">
        <w:rPr>
          <w:color w:val="1f1f1f"/>
          <w:rtl w:val="0"/>
        </w:rPr>
        <w:t xml:space="preserve"> Seasoned energy executive with a Ph.D. in Mechanical Engineering and extensive experience at GE Wind.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Dr. Rachel Chen, CTO:</w:t>
      </w:r>
      <w:r w:rsidDel="00000000" w:rsidR="00000000" w:rsidRPr="00000000">
        <w:rPr>
          <w:color w:val="1f1f1f"/>
          <w:rtl w:val="0"/>
        </w:rPr>
        <w:t xml:space="preserve"> Electrical engineering expert with 20+ years in renewable energy technologies and a proven track record in developing AI-driven solutions.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Marcus Blackwood, CFO:</w:t>
      </w:r>
      <w:r w:rsidDel="00000000" w:rsidR="00000000" w:rsidRPr="00000000">
        <w:rPr>
          <w:color w:val="1f1f1f"/>
          <w:rtl w:val="0"/>
        </w:rPr>
        <w:t xml:space="preserve"> Experienced financial leader with a successful track record in the clean tech sector, adept at fundraising and financial strategy.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40" w:lineRule="auto"/>
        <w:ind w:left="270" w:hanging="360"/>
      </w:pPr>
      <w:r w:rsidDel="00000000" w:rsidR="00000000" w:rsidRPr="00000000">
        <w:rPr>
          <w:b w:val="1"/>
          <w:color w:val="1f1f1f"/>
          <w:rtl w:val="0"/>
        </w:rPr>
        <w:t xml:space="preserve">Thomas Lee, COO:</w:t>
      </w:r>
      <w:r w:rsidDel="00000000" w:rsidR="00000000" w:rsidRPr="00000000">
        <w:rPr>
          <w:color w:val="1f1f1f"/>
          <w:rtl w:val="0"/>
        </w:rPr>
        <w:t xml:space="preserve"> Industrial engineer with extensive experience in supply chain management and lean manufacturing, ensuring operational excellence.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Exit Strategy:</w:t>
      </w:r>
    </w:p>
    <w:p w:rsidR="00000000" w:rsidDel="00000000" w:rsidP="00000000" w:rsidRDefault="00000000" w:rsidRPr="00000000" w14:paraId="0000001C">
      <w:pPr>
        <w:widowControl w:val="0"/>
        <w:spacing w:after="240" w:line="240" w:lineRule="auto"/>
        <w:rPr>
          <w:rFonts w:ascii="Roboto" w:cs="Roboto" w:eastAsia="Roboto" w:hAnsi="Roboto"/>
          <w:color w:val="13343b"/>
          <w:sz w:val="24"/>
          <w:szCs w:val="24"/>
          <w:shd w:fill="fcfcf9" w:val="clear"/>
        </w:rPr>
      </w:pPr>
      <w:r w:rsidDel="00000000" w:rsidR="00000000" w:rsidRPr="00000000">
        <w:rPr>
          <w:color w:val="1f1f1f"/>
          <w:rtl w:val="0"/>
        </w:rPr>
        <w:t xml:space="preserve">UrbanWind Technologies is targeting acquisition by a major renewable energy or building technology company within 5-7 years, with a projected valuation of $500M-$750M based on industry multiples.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Ua2xQu88c2NkwduLFz1StZn2w==">CgMxLjA4AHIhMW9zVjhOUk1NQmpUWGtYUU4wcHVoc0VjZWZ5WHZuYmRv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