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UrbanWind Technologies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Risk Assessment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July 18, 2024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risk assessment identifies and evaluates potential risks to UrbanWind Technologies' operations, financial stability, and market position. It provides a framework for understanding and mitigating these risks to ensure the company's continued growth and success in the urban wind energy market.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Risk Identification and Assessment Matrix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Likelihood and Impact are rated on a scale of 1 (Very Low) to 5 (Very High)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Risk Score = Likelihood x Impact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Detailed Risk Analysis and Mitigation Strategies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 Technological Risks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Risk: Failure of noise cancellation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Conduct rigorous testing in various environmental conditions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Implement redundant noise cancellation systems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Establish a rapid response team for immediate troubleshooting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Continuously update and improve noise cancellation algorithms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3.2 Market Risks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Risk: Slower than expected market adoption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Intensify marketing efforts and customer education programs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Offer trial periods or money-back guarantees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Develop partnerships with urban developers and city planners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Diversify product line to appeal to a broader market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3.3 Financial Risks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Risk: Inadequate funding for expansion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Maintain strong relationships with current investors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Explore additional funding sources (e.g., grants, strategic partnerships)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Implement strict financial controls and regular audits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Develop contingency plans for various funding scenarios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3.4 Regulatory Risks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Risk: Changes in urban zoning laws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Engage proactively with local governments and regulatory bodies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Stay informed about potential regulatory changes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Participate in industry associations to influence policy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Design products with adaptability to various regulatory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3.5 Operational Risks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Risk: Supply chain disruptions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Diversify supplier base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Maintain buffer inventory of critical components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Develop contingency plans for alternative sourcing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Implement real-time supply chain monitoring systems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3.6 Competitive Risks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Risk: Entry of major competitors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Continuously innovate and improve product offerings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Strengthen patent portfolio and protect intellectual property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Build strong brand loyalty through excellent customer service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Explore strategic partnerships or acquisitions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3.7 Environmental Risks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Risk: Extreme weather events damaging installations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Enhance product durability and weather resistance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Provide clear guidelines for operation in extreme conditions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Offer comprehensive warranty and rapid repair services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Collaborate with insurance providers for customer protection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3.8 Reputational Risks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Risk: Negative publicity due to product issues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Implement strict quality control measures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Establish a proactive public relations strategy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Maintain transparency in communications with stakeholders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Develop a crisis management plan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3.9 Legal Risks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Risk: Patent infringement claims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Conduct regular patent landscape analyses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Maintain a strong legal team specializing in intellectual property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Consider cross-licensing agreements with potential competitors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Set aside funds for potential legal defenses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3.10 Cybersecurity Risks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Risk: Data breach or system hack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Mitigation Strategies: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Implement robust cybersecurity measures and regular audits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Provide ongoing cybersecurity training for all employees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Develop an incident response plan for potential breaches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Ensure compliance with data protection regulations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Risk Monitoring and Review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Establish a Risk Management Committee to oversee risk mitigation efforts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Conduct quarterly reviews of the risk landscape and mitigation strategies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Implement key risk indicators (KRIs) for early warning of emerging risks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Integrate risk management into strategic planning and decision-making processes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While UrbanWind Technologies faces various risks, many of these are manageable with proper strategies and oversight. The company's innovative technology and strong market position provide a solid foundation for addressing these challenges. Continuous monitoring and adaptive management will be key to navigating the evolving risk landscape in the urban wind energy sector.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risk assessment document provides a comprehensive overview of potential risks facing UrbanWind Technologies, along with strategies for mitigation. It can serve as a valuable tool for management decision-making and strategic planning. The document can be updated regularly as new risks emerge or as the company's circumstances change.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