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pStyle w:val="Title"/>
      </w:pPr>
      <w:r>
        <w:t>AI智能体设计方案</w:t>
      </w:r>
    </w:p>
    <w:p>
      <w:r>
        <w:t>参赛队伍：慧检通途</w:t>
      </w:r>
    </w:p>
    <w:p>
      <w:r>
        <w:t>作品名称：慧检通途——桥梁定期检测报告分析智能体</w:t>
      </w:r>
    </w:p>
    <w:p>
      <w:r>
        <w:t>完成日期：2026年10月17日</w:t>
      </w:r>
    </w:p>
    <w:p>
      <w:pPr>
        <w:pStyle w:val="Heading1"/>
      </w:pPr>
      <w:r>
        <w:t>一、需求与痛点分析</w:t>
      </w:r>
    </w:p>
    <w:p>
      <w:pPr>
        <w:pStyle w:val="Heading2"/>
      </w:pPr>
      <w:r>
        <w:t>1. 任务目标</w:t>
      </w:r>
    </w:p>
    <w:p>
      <w:r>
        <w:t>将原始桥梁定期检测Word报告转化为可核对的完整分析报告，输出16项简要信息、详细结论、建议明细、病害列表，以及病害成因、处置建议和安全影响。输出结构与训练标签保持一致，测试结果的简要信息表头使用“字段、内容、说明”。</w:t>
      </w:r>
    </w:p>
    <w:p>
      <w:pPr>
        <w:pStyle w:val="Heading2"/>
      </w:pPr>
      <w:r>
        <w:t>2. 主要难点</w:t>
      </w:r>
    </w:p>
    <w:p>
      <w:r>
        <w:t>原件包含旧版DOC、DOCX及扩展名不一致的文档；长报告的病害、评分和历史材料分散于正文与表格。分析既要保留位置、构件编号、量测及照片编号，又要减少重复记录，区分全桥与分部评分，并避免把未找到历史记录解释为本次新增。</w:t>
      </w:r>
    </w:p>
    <w:p>
      <w:pPr>
        <w:pStyle w:val="Heading1"/>
      </w:pPr>
      <w:r>
        <w:t>二、智能体总体架构设计</w:t>
      </w:r>
    </w:p>
    <w:p>
      <w:pPr>
        <w:pStyle w:val="Heading2"/>
      </w:pPr>
      <w:r>
        <w:t>1. 分阶段模型驱动流程</w:t>
      </w:r>
    </w:p>
    <w:p>
      <w:r>
        <w:t>系统采用Python自定义流程编排，通过兼容OpenAI Chat Completions的接口调用模型。本批次使用Qwen/Qwen3.8-27B-AWQ-INT4。模型完成语义抽取、病害编审、建议分类、历史核对及最终撰写；程序提供文档解析、结构化候选、来源校验、检查点和Word排版。模型不可用或未通过提交校验时，任务明确失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2"/>
        <w:gridCol w:w="3629"/>
        <w:gridCol w:w="3992"/>
      </w:tblGrid>
      <w:tr>
        <w:trPr>
          <w:cantSplit/>
          <w:tblHeader/>
        </w:trPr>
        <w:tc>
          <w:tcPr>
            <w:tcW w:type="dxa" w:w="1452"/>
          </w:tcPr>
          <w:p>
            <w:pPr>
              <w:keepNext/>
              <w:keepLines/>
              <w:spacing w:after="60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3629"/>
          </w:tcPr>
          <w:p>
            <w:pPr>
              <w:keepNext/>
              <w:keepLines/>
              <w:spacing w:after="60"/>
            </w:pPr>
            <w:r>
              <w:rPr>
                <w:b/>
                <w:sz w:val="20"/>
              </w:rPr>
              <w:t>主要职责</w:t>
            </w:r>
          </w:p>
        </w:tc>
        <w:tc>
          <w:tcPr>
            <w:tcW w:type="dxa" w:w="3992"/>
          </w:tcPr>
          <w:p>
            <w:pPr>
              <w:keepNext/>
              <w:keepLines/>
              <w:spacing w:after="60"/>
            </w:pPr>
            <w:r>
              <w:rPr>
                <w:b/>
                <w:sz w:val="20"/>
              </w:rPr>
              <w:t>实际模块</w:t>
            </w:r>
          </w:p>
        </w:tc>
      </w:tr>
      <w:tr>
        <w:trPr>
          <w:cantSplit/>
        </w:trPr>
        <w:tc>
          <w:tcPr>
            <w:tcW w:type="dxa" w:w="145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文档与证据</w:t>
            </w:r>
          </w:p>
        </w:tc>
        <w:tc>
          <w:tcPr>
            <w:tcW w:type="dxa" w:w="3629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按内容识别格式，保留正文、表格与证据编号</w:t>
            </w:r>
          </w:p>
        </w:tc>
        <w:tc>
          <w:tcPr>
            <w:tcW w:type="dxa" w:w="399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documents.py</w:t>
            </w:r>
          </w:p>
        </w:tc>
      </w:tr>
      <w:tr>
        <w:trPr>
          <w:cantSplit/>
        </w:trPr>
        <w:tc>
          <w:tcPr>
            <w:tcW w:type="dxa" w:w="145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抽取与编审</w:t>
            </w:r>
          </w:p>
        </w:tc>
        <w:tc>
          <w:tcPr>
            <w:tcW w:type="dxa" w:w="3629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分块抽取、候选核对、建议分类及病害整理</w:t>
            </w:r>
          </w:p>
        </w:tc>
        <w:tc>
          <w:tcPr>
            <w:tcW w:type="dxa" w:w="399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extraction.py</w:t>
              <w:br/>
              <w:t>selection.py</w:t>
              <w:br/>
              <w:t>recommendations.py</w:t>
            </w:r>
          </w:p>
        </w:tc>
      </w:tr>
      <w:tr>
        <w:trPr>
          <w:cantSplit/>
        </w:trPr>
        <w:tc>
          <w:tcPr>
            <w:tcW w:type="dxa" w:w="145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历史与日期</w:t>
            </w:r>
          </w:p>
        </w:tc>
        <w:tc>
          <w:tcPr>
            <w:tcW w:type="dxa" w:w="3629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当前报告内的历史对比；报告日期取值校验</w:t>
            </w:r>
          </w:p>
        </w:tc>
        <w:tc>
          <w:tcPr>
            <w:tcW w:type="dxa" w:w="399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history.py、dates.py</w:t>
            </w:r>
          </w:p>
        </w:tc>
      </w:tr>
      <w:tr>
        <w:trPr>
          <w:cantSplit/>
        </w:trPr>
        <w:tc>
          <w:tcPr>
            <w:tcW w:type="dxa" w:w="145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工具与撰写</w:t>
            </w:r>
          </w:p>
        </w:tc>
        <w:tc>
          <w:tcPr>
            <w:tcW w:type="dxa" w:w="3629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检索、读取证据、分页读取事实、提交完整报告</w:t>
            </w:r>
          </w:p>
        </w:tc>
        <w:tc>
          <w:tcPr>
            <w:tcW w:type="dxa" w:w="399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agent.py、model.py</w:t>
            </w:r>
          </w:p>
        </w:tc>
      </w:tr>
      <w:tr>
        <w:trPr>
          <w:cantSplit/>
        </w:trPr>
        <w:tc>
          <w:tcPr>
            <w:tcW w:type="dxa" w:w="1452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交付与调度</w:t>
            </w:r>
          </w:p>
        </w:tc>
        <w:tc>
          <w:tcPr>
            <w:tcW w:type="dxa" w:w="3629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流程检查点、DOCX导出、上传页面与四文件并发</w:t>
            </w:r>
          </w:p>
        </w:tc>
        <w:tc>
          <w:tcPr>
            <w:tcW w:type="dxa" w:w="3992"/>
          </w:tcPr>
          <w:p>
            <w:pPr>
              <w:keepNext w:val="0"/>
              <w:keepLines/>
              <w:spacing w:after="60"/>
            </w:pPr>
            <w:r>
              <w:rPr>
                <w:sz w:val="20"/>
              </w:rPr>
              <w:t>pipeline.py、render.py</w:t>
              <w:br/>
              <w:t>web.py、batch_runner.py</w:t>
            </w:r>
          </w:p>
        </w:tc>
      </w:tr>
    </w:tbl>
    <w:p>
      <w:pPr>
        <w:pStyle w:val="Heading2"/>
      </w:pPr>
      <w:r>
        <w:t>2. 执行闭环</w:t>
      </w:r>
    </w:p>
    <w:p>
      <w:r>
        <w:t>原件解析 → 分块抽取与来源校验 → 病害编审和建议整理 → 历史核对 → 最终撰写Agent → DOCX导出回读。撰写Agent可调用search_document、read_sources、read_findings补查，最终通过submit_report提交；工具反馈具体错误，模型在最多10轮内修正，超限保留诊断信息。</w:t>
      </w:r>
    </w:p>
    <w:p>
      <w:pPr>
        <w:pStyle w:val="Heading1"/>
      </w:pPr>
      <w:r>
        <w:t>三、核心模块详细设计</w:t>
      </w:r>
    </w:p>
    <w:p>
      <w:pPr>
        <w:pStyle w:val="Heading2"/>
      </w:pPr>
      <w:r>
        <w:t>1. 文档解析与事实保真</w:t>
      </w:r>
    </w:p>
    <w:p>
      <w:r>
        <w:t>程序按文件内容识别DOCX、旧Word和HTML。旧Word优先使用antiword，失败时回退LibreOffice。解析结果保留章节、表号、行列及B编号。标准病害表由程序按列还原候选，模型继续通读并补充、纠错或排除非当前观测；量测与正式描述尽量恢复原文，来源和数字约束用于拦截无据内容。</w:t>
      </w:r>
    </w:p>
    <w:p>
      <w:pPr>
        <w:pStyle w:val="Heading2"/>
      </w:pPr>
      <w:r>
        <w:t>2. 长文档与有界调用</w:t>
      </w:r>
    </w:p>
    <w:p>
      <w:r>
        <w:t>抽取按序列化材料约22000字符分块，必要时限制复杂表格行数。大块输出截断或部分服务错误触发有限拆分重试，成功批次保存检查点。病害分组、建议分类和历史核对另行分批。撰写时传入有界概览，详细事实按页读取；较大的旧工具返回可归档后按编号回查，并设上下文上限。字符预算并非精确token预算，超限仍会明确报错。</w:t>
      </w:r>
    </w:p>
    <w:p>
      <w:pPr>
        <w:pStyle w:val="Heading2"/>
      </w:pPr>
      <w:r>
        <w:t>3. 标签风格与病害整理</w:t>
      </w:r>
    </w:p>
    <w:p>
      <w:r>
        <w:t>assets保存训练标签提炼的字段、说明、版式、少量真实标签片段及写法特征。Few-shot仅指导结构与表达，提示禁止复制其中的桥名、评分和病害。本次事实均来自输入原件。少量候选保留全部；大型台账先按表格范围和病害族分组，再由模型选取代表位置或引用原文汇总，内部保存组成员关联，不把代表项数量称为病害总数。</w:t>
      </w:r>
    </w:p>
    <w:p>
      <w:pPr>
        <w:pStyle w:val="Heading2"/>
      </w:pPr>
      <w:r>
        <w:t>4. 日期、历史与建议</w:t>
      </w:r>
    </w:p>
    <w:p>
      <w:r>
        <w:t>日期优先采用明确报告或批准日期，其次封面落款和签发等日期；均缺失时，按训练标签规律取本次检验区间的最后一天，不补造原文缺失的日。历史核对仅使用当前报告内的明确对比证据，经局部检索后由模型判断，缺乏对应依据时保留无法判断。明确建议章节按原文保留，由模型分类，并检查正式建议逐条纳入。</w:t>
      </w:r>
    </w:p>
    <w:p>
      <w:pPr>
        <w:pStyle w:val="Heading2"/>
      </w:pPr>
      <w:r>
        <w:t>5. 调度与报告导出</w:t>
      </w:r>
    </w:p>
    <w:p>
      <w:r>
        <w:t>批量脚本最多同时处理4份文件，每份内部请求并发独立配置；本批次为4文件、每份1请求。状态查询显示成功、失败及运行文件，停止脚本核对进程身份后结束对应客户端，保留结果和检查点。上传页面依次处理文件。任务指纹涵盖原件、实现、模型、接口和模板；同指纹复用阶段结果，相同请求可复用已保存响应。</w:t>
      </w:r>
    </w:p>
    <w:p>
      <w:r>
        <w:t>交付代码按输入文件名主体输出DOCX，简要信息为3列、建议为4列、病害为7列。导出后回读检查摘要行数、病害表头及病害描述。运行时自动创建work等目录；提交包不包含既有工作状态、训练原件或密钥。</w:t>
      </w:r>
    </w:p>
    <w:p>
      <w:pPr>
        <w:pStyle w:val="Heading1"/>
      </w:pPr>
      <w:r>
        <w:t>四、创新点设计</w:t>
      </w:r>
    </w:p>
    <w:p>
      <w:pPr>
        <w:pStyle w:val="Heading2"/>
      </w:pPr>
      <w:r>
        <w:t>1. 结构还原与模型语义协作</w:t>
      </w:r>
    </w:p>
    <w:p>
      <w:r>
        <w:t>对规范表格先恢复原始位置与描述，减少模型重复抄写和长输出；由模型补足语义判断与报告表达，并以来源约束拦截改写量测。大型病害表保留完整台账关联，展示层按照标签风格编排代表项或汇总。</w:t>
      </w:r>
    </w:p>
    <w:p>
      <w:pPr>
        <w:pStyle w:val="Heading2"/>
      </w:pPr>
      <w:r>
        <w:t>2. 可追溯的分阶段处理</w:t>
      </w:r>
    </w:p>
    <w:p>
      <w:r>
        <w:t>将全文抽取、病害整理、历史核对与最终撰写分开控制预算。批次检查点、工具轨迹、原件哈希和调用记录便于定位错误、复用兼容进度，避免一处失败就无条件重跑全文。</w:t>
      </w:r>
    </w:p>
    <w:p>
      <w:pPr>
        <w:pStyle w:val="Heading1"/>
      </w:pPr>
      <w:r>
        <w:t>五、效果评估</w:t>
      </w:r>
    </w:p>
    <w:p>
      <w:pPr>
        <w:pStyle w:val="Heading2"/>
      </w:pPr>
      <w:r>
        <w:t>1. 本批次验证结果</w:t>
      </w:r>
    </w:p>
    <w:p>
      <w:r>
        <w:t>阶段1共22份输入，首轮16份成功、6份失败。针对日期取值、引用校验、旧Word解析、分组遗漏和输出截断修复后，6份均恢复，最终交付22份DOCX。日期回退专项检查中，53个相关训练样例均与标签吻合。交付整理逐份核对文件名、表头及正文一致性，压缩包核对文件数量和哈希。</w:t>
      </w:r>
    </w:p>
    <w:p>
      <w:pPr>
        <w:pStyle w:val="Heading2"/>
      </w:pPr>
      <w:r>
        <w:t>2. 运行效率与边界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7"/>
        <w:gridCol w:w="3175"/>
      </w:tblGrid>
      <w:tr>
        <w:trPr>
          <w:cantSplit/>
          <w:tblHeader/>
        </w:trPr>
        <w:tc>
          <w:tcPr>
            <w:tcW w:type="dxa" w:w="5897"/>
          </w:tcPr>
          <w:p>
            <w:pPr>
              <w:keepNext/>
              <w:keepLines/>
              <w:spacing w:after="60"/>
            </w:pPr>
            <w:r>
              <w:rPr>
                <w:b/>
                <w:sz w:val="20"/>
              </w:rPr>
              <w:t>统计口径</w:t>
            </w:r>
          </w:p>
        </w:tc>
        <w:tc>
          <w:tcPr>
            <w:tcW w:type="dxa" w:w="3175"/>
          </w:tcPr>
          <w:p>
            <w:pPr>
              <w:keepNext/>
              <w:keepLines/>
              <w:spacing w:after="60"/>
            </w:pPr>
            <w:r>
              <w:rPr>
                <w:b/>
                <w:sz w:val="20"/>
              </w:rPr>
              <w:t>本批次实测</w:t>
            </w:r>
          </w:p>
        </w:tc>
      </w:tr>
      <w:tr>
        <w:trPr>
          <w:cantSplit/>
        </w:trPr>
        <w:tc>
          <w:tcPr>
            <w:tcW w:type="dxa" w:w="5897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首次启动至22份全部生成</w:t>
            </w:r>
          </w:p>
        </w:tc>
        <w:tc>
          <w:tcPr>
            <w:tcW w:type="dxa" w:w="3175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2小时23分34秒</w:t>
            </w:r>
          </w:p>
        </w:tc>
      </w:tr>
      <w:tr>
        <w:trPr>
          <w:cantSplit/>
        </w:trPr>
        <w:tc>
          <w:tcPr>
            <w:tcW w:type="dxa" w:w="5897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各次生成运行时段合计（含失败尝试）</w:t>
            </w:r>
          </w:p>
        </w:tc>
        <w:tc>
          <w:tcPr>
            <w:tcW w:type="dxa" w:w="3175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1小时32分35秒</w:t>
            </w:r>
          </w:p>
        </w:tc>
      </w:tr>
      <w:tr>
        <w:trPr>
          <w:cantSplit/>
        </w:trPr>
        <w:tc>
          <w:tcPr>
            <w:tcW w:type="dxa" w:w="5897"/>
          </w:tcPr>
          <w:p>
            <w:pPr>
              <w:keepNext/>
              <w:keepLines/>
              <w:spacing w:after="60"/>
            </w:pPr>
            <w:r>
              <w:rPr>
                <w:sz w:val="20"/>
              </w:rPr>
              <w:t>含排查、修复和最终校验归集的总跨度</w:t>
            </w:r>
          </w:p>
        </w:tc>
        <w:tc>
          <w:tcPr>
            <w:tcW w:type="dxa" w:w="3175"/>
          </w:tcPr>
          <w:p>
            <w:pPr>
              <w:keepNext w:val="0"/>
              <w:keepLines/>
              <w:spacing w:after="60"/>
            </w:pPr>
            <w:r>
              <w:rPr>
                <w:sz w:val="20"/>
              </w:rPr>
              <w:t>2小时25分47秒</w:t>
            </w:r>
          </w:p>
        </w:tc>
      </w:tr>
    </w:tbl>
    <w:p>
      <w:r>
        <w:t>上述数据来自本批次日志，包含补跑及少量缓存复用，不代表修复后从空状态生成22份的性能。工程校验说明文件可生成、来源可定位、结构可回读，不等同于专业语义完全正确或官方评分。历史检索可能漏配，病害粒度与重复观测仍需复核；当前不提供图片OCR或视觉病害识别。</w:t>
      </w:r>
    </w:p>
    <w:sectPr>
      <w:pgSz w:w="11906" w:h="16838"/>
      <w:pgMar w:top="1304" w:right="1417" w:bottom="1304" w:left="141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AI智能体设计方案</dc:title>
  <dc:subject>桥梁定期检测报告分析智能体：阶段1交付版</dc:subject>
  <dc:creator>慧检通途</dc:creator>
  <cp:keywords/>
  <dc:description/>
  <cp:lastModifiedBy/>
  <cp:revision>1</cp:revision>
  <dcterms:created xsi:type="dcterms:W3CDTF">2013-12-23T23:15:00Z</dcterms:created>
  <dcterms:modified xsi:type="dcterms:W3CDTF">2026-10-17T02:57:46.166Z</dcterms:modified>
  <cp:category/>
</cp:coreProperties>
</file>