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38292262">
      <w:pPr>
        <w:pStyle w:val="Title"/>
      </w:pPr>
      <w:r>
        <w:rPr>
          <w:rFonts w:ascii="黑体" w:hAnsi="黑体" w:eastAsia="黑体" w:cs="黑体" w:asciiTheme="majorHAnsi" w:hAnsiTheme="majorHAnsi" w:eastAsiaTheme="majorEastAsia" w:csTheme="majorBidi"/>
          <w:color w:val="17365D" w:themeColor="text2" w:themeShade="BF"/>
          <w:spacing w:val="5"/>
          <w:kern w:val="28"/>
          <w:sz w:val="52"/>
          <w:szCs w:val="52"/>
        </w:rPr>
        <w:t>AI智能体设计方案</w:t>
      </w:r>
    </w:p>
    <w:p w14:paraId="03F53A29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参赛队伍：慧检通途</w:t>
      </w:r>
    </w:p>
    <w:p w14:paraId="46B156FA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作品名称：慧检通途——城市基础设施定检报告分析智能体</w:t>
      </w:r>
    </w:p>
    <w:p w14:paraId="35E6A0E0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完成日期：2026年10月17日</w:t>
      </w:r>
    </w:p>
    <w:p w14:paraId="6C52493D">
      <w:pPr>
        <w:pStyle w:val="Heading1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一、需求与痛点分析</w:t>
      </w:r>
    </w:p>
    <w:p w14:paraId="035283B5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 我们要解决的问题</w:t>
      </w:r>
    </w:p>
    <w:p w14:paraId="28216F8D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我们希望把一份篇幅长、信息分散的桥梁定期检测报告，整理成养护人员可以直接阅读、核对和使用的分析报告。系统需要回答几个具体问题：桥梁目前处于什么状态，哪些构件存在什么病害，与上次检测相比发生了什么变化，原报告提出了哪些维修养护建议，以及这些判断分别依据哪一段原文。</w:t>
      </w:r>
    </w:p>
    <w:p w14:paraId="0FA1C249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我们的主要交付是完整的报告分析结果。输出包括16项简要信息、详细结论、建议明细、病害列表，以及病害成因、处置建议和安全影响。我们把病害的位置、数量、长度、宽度、面积、构件编号和照片编号作为重要事实保存，而不只生成一段概括性的总结。</w:t>
      </w:r>
    </w:p>
    <w:p w14:paraId="294E0E1D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2. 实际处理中的难点</w:t>
      </w:r>
    </w:p>
    <w:p w14:paraId="0F5D9F53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第一，文件格式和版式不统一。输入既有DOC，也有DOCX，还有扩展名与实际内容不一致的文件。合并单元格、续表、跨行描述和正文中的补充说明，都可能改变一条病害记录的含义。我们需要先恢复可定位的文档结构，再开展分析。</w:t>
      </w:r>
    </w:p>
    <w:p w14:paraId="5D30D0F5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第二，同一病害会在检测明细、照片说明、评分表和结论中重复出现。如果把每段文字都当作独立病害，结果会重复；如果只保留总结，又可能丢失具体位置和量测。因此，我们需要区分“原文提到了几次”和“实际描述了几个对象”。</w:t>
      </w:r>
    </w:p>
    <w:p w14:paraId="60E98F64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第三，评分和历史关系容易混淆。BCI、BSI和Dr不能直接替换，主桥、引桥、左右幅和分部结构也可能分别评分。总体评分提高不代表每处病害都在改善；某构件以前存在病害，也不能证明本次某一具体位置的病害早已存在。</w:t>
      </w:r>
    </w:p>
    <w:p w14:paraId="2B69122D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第四，长报告的困难不仅是模型窗口大小。反复携带已经处理过的材料、没有游标的分页、笼统的错误反馈和重复全量校验，都会增加调用和等待。我们要控制每轮工作材料，同时把已完成的判断持久保存，保证后续仍能追溯原文。</w:t>
      </w:r>
    </w:p>
    <w:p w14:paraId="207FC0D7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3. 实施目标与职责分工</w:t>
      </w:r>
    </w:p>
    <w:p w14:paraId="080D3A06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我们让模型负责理解原文、选择工具、判断病害关系、比较历史并组织结论，让程序负责解析、分页、状态管理、明确约束校验和Word排版。程序不在模型不可用时自动拼接规则报告。我们优先保证从原件到完整报告的链路可执行、过程可检查，再逐步提高内容准确性和速度。</w:t>
      </w:r>
    </w:p>
    <w:p w14:paraId="3F8B062F">
      <w:pPr>
        <w:pStyle w:val="Heading1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二、智能体总体架构设计</w:t>
      </w:r>
    </w:p>
    <w:p w14:paraId="5C0D1BD6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 基于</w:t>
      </w:r>
      <w:r>
        <w:rPr>
          <w:rFonts w:ascii="宋体" w:cs="宋体"/>
          <w:b/>
          <w:bCs/>
          <w:color w:val="4F81BD" w:themeColor="accent1"/>
          <w:sz w:val="28"/>
          <w:szCs w:val="28"/>
        </w:rPr>
        <w:t>LangGraph</w:t>
      </w: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的主控架构</w:t>
      </w:r>
    </w:p>
    <w:p w14:paraId="1A0706EC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我们以deepseek-v4-flash作为本方案的主控模型，采用模型驱动的专业工具循环完成报告分析。LangGraph管理模型节点与工具节点之间的执行状态，Pydantic约束工具参数和报告结构。主控模型负责理解工程语义、选择阅读范围、判断病害关系、分析历史变化并组织结论；程序负责文档解析、证据定位、分页、校验、状态保存和Word导出。模型服务地址、模型标识、协议、输出预算、超时与请求重试次数均通过配置管理，实际接入时按部署服务验证完整工具往返。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135"/>
        <w:gridCol w:w="3135"/>
        <w:gridCol w:w="3135"/>
      </w:tblGrid>
      <w:tr>
        <w:trPr>
          <w:cantSplit/>
          <w:tblHeader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BEDC7C">
            <w:pPr>
              <w:spacing w:after="120" w:line="312" w:lineRule="auto"/>
            </w:pPr>
            <w:r>
              <w:rPr>
                <w:rFonts w:ascii="宋体" w:hAnsi="宋体" w:eastAsia="宋体" w:cs="宋体" w:csTheme="minorBidi"/>
                <w:b/>
                <w:bCs/>
                <w:sz w:val="22"/>
                <w:szCs w:val="22"/>
              </w:rPr>
              <w:t>层次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E07ACE">
            <w:pPr>
              <w:spacing w:after="120" w:line="312" w:lineRule="auto"/>
            </w:pPr>
            <w:r>
              <w:rPr>
                <w:rFonts w:ascii="宋体" w:hAnsi="宋体" w:eastAsia="宋体" w:cs="宋体" w:csTheme="minorBidi"/>
                <w:b/>
                <w:bCs/>
                <w:sz w:val="22"/>
                <w:szCs w:val="22"/>
              </w:rPr>
              <w:t>核心职责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3C363">
            <w:pPr>
              <w:spacing w:after="120" w:line="312" w:lineRule="auto"/>
            </w:pPr>
            <w:r>
              <w:rPr>
                <w:rFonts w:ascii="宋体" w:hAnsi="宋体" w:eastAsia="宋体" w:cs="宋体" w:csTheme="minorBidi"/>
                <w:b/>
                <w:bCs/>
                <w:sz w:val="22"/>
                <w:szCs w:val="22"/>
              </w:rPr>
              <w:t>主要实现</w:t>
            </w:r>
          </w:p>
        </w:tc>
      </w:tr>
      <w:tr>
        <w:trPr>
          <w:cantSplit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AD47C4">
            <w:pPr>
              <w:spacing w:after="120" w:line="312" w:lineRule="auto"/>
            </w:pPr>
            <w:r>
              <w:rPr>
                <w:rFonts w:ascii="宋体" w:hAnsi="宋体" w:eastAsia="宋体" w:cs="宋体" w:csTheme="minorBidi"/>
                <w:sz w:val="22"/>
                <w:szCs w:val="22"/>
              </w:rPr>
              <w:t>文档解析层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48DD5">
            <w:pPr>
              <w:spacing w:after="120" w:line="312" w:lineRule="auto"/>
            </w:pPr>
            <w:r>
              <w:rPr>
                <w:rFonts w:ascii="宋体" w:hAnsi="宋体" w:eastAsia="宋体" w:cs="宋体" w:csTheme="minorBidi"/>
                <w:sz w:val="22"/>
                <w:szCs w:val="22"/>
              </w:rPr>
              <w:t>识别实际格式，恢复正文、表格及原文位置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0E9745">
            <w:pPr>
              <w:spacing w:after="120" w:line="312" w:lineRule="auto"/>
            </w:pPr>
            <w:r>
              <w:rPr>
                <w:rFonts w:ascii="宋体" w:hAnsi="宋体" w:eastAsia="宋体" w:cs="宋体" w:csTheme="minorBidi"/>
                <w:sz w:val="22"/>
                <w:szCs w:val="22"/>
              </w:rPr>
              <w:t>documents.py</w:t>
            </w:r>
          </w:p>
        </w:tc>
      </w:tr>
      <w:tr>
        <w:trPr>
          <w:cantSplit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CC7011">
            <w:pPr>
              <w:spacing w:after="120" w:line="312" w:lineRule="auto"/>
            </w:pPr>
            <w:r>
              <w:rPr>
                <w:rFonts w:ascii="宋体" w:hAnsi="宋体" w:eastAsia="宋体" w:cs="宋体" w:csTheme="minorBidi"/>
                <w:sz w:val="22"/>
                <w:szCs w:val="22"/>
              </w:rPr>
              <w:t>证据与任务层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3C581">
            <w:pPr>
              <w:spacing w:after="120" w:line="312" w:lineRule="auto"/>
            </w:pPr>
            <w:r>
              <w:rPr>
                <w:rFonts w:ascii="宋体" w:hAnsi="宋体" w:eastAsia="宋体" w:cs="宋体" w:csTheme="minorBidi"/>
                <w:sz w:val="22"/>
                <w:szCs w:val="22"/>
              </w:rPr>
              <w:t>编号证据、候选任务、已读范围和历史原件查询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8D1AC4">
            <w:pPr>
              <w:spacing w:after="120" w:line="312" w:lineRule="auto"/>
            </w:pPr>
            <w:r>
              <w:rPr>
                <w:rFonts w:ascii="宋体" w:hAnsi="宋体" w:eastAsia="宋体" w:cs="宋体" w:csTheme="minorBidi"/>
                <w:sz w:val="22"/>
                <w:szCs w:val="22"/>
              </w:rPr>
              <w:t>discovery.py、tools.py、history.py</w:t>
            </w:r>
          </w:p>
        </w:tc>
      </w:tr>
      <w:tr>
        <w:trPr>
          <w:cantSplit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24371">
            <w:pPr>
              <w:spacing w:after="120" w:line="312" w:lineRule="auto"/>
            </w:pPr>
            <w:r>
              <w:rPr>
                <w:rFonts w:ascii="宋体" w:hAnsi="宋体" w:eastAsia="宋体" w:cs="宋体" w:csTheme="minorBidi"/>
                <w:sz w:val="22"/>
                <w:szCs w:val="22"/>
              </w:rPr>
              <w:t>智能体执行层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D23B1">
            <w:pPr>
              <w:spacing w:after="120" w:line="312" w:lineRule="auto"/>
            </w:pPr>
            <w:r>
              <w:rPr>
                <w:rFonts w:ascii="宋体" w:hAnsi="宋体" w:eastAsia="宋体" w:cs="宋体" w:csTheme="minorBidi"/>
                <w:sz w:val="22"/>
                <w:szCs w:val="22"/>
              </w:rPr>
              <w:t>规划取证、调用工具、保存判断并根据反馈修正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25127">
            <w:pPr>
              <w:spacing w:after="120" w:line="312" w:lineRule="auto"/>
            </w:pPr>
            <w:r>
              <w:rPr>
                <w:rFonts w:ascii="宋体" w:hAnsi="宋体" w:eastAsia="宋体" w:cs="宋体" w:csTheme="minorBidi"/>
                <w:sz w:val="22"/>
                <w:szCs w:val="22"/>
              </w:rPr>
              <w:t>runtime.py、report_pipeline.py、model.py</w:t>
            </w:r>
          </w:p>
        </w:tc>
      </w:tr>
      <w:tr>
        <w:trPr>
          <w:cantSplit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D6942">
            <w:pPr>
              <w:spacing w:after="120" w:line="312" w:lineRule="auto"/>
            </w:pPr>
            <w:r>
              <w:rPr>
                <w:rFonts w:ascii="宋体" w:hAnsi="宋体" w:eastAsia="宋体" w:cs="宋体" w:csTheme="minorBidi"/>
                <w:sz w:val="22"/>
                <w:szCs w:val="22"/>
              </w:rPr>
              <w:t>事实与身份层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6EB29">
            <w:pPr>
              <w:spacing w:after="120" w:line="312" w:lineRule="auto"/>
            </w:pPr>
            <w:r>
              <w:rPr>
                <w:rFonts w:ascii="宋体" w:hAnsi="宋体" w:eastAsia="宋体" w:cs="宋体" w:csTheme="minorBidi"/>
                <w:sz w:val="22"/>
                <w:szCs w:val="22"/>
              </w:rPr>
              <w:t>区分原始提及、对象关系和归并后的病害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85BE7">
            <w:pPr>
              <w:spacing w:after="120" w:line="312" w:lineRule="auto"/>
            </w:pPr>
            <w:r>
              <w:rPr>
                <w:rFonts w:ascii="宋体" w:hAnsi="宋体" w:eastAsia="宋体" w:cs="宋体" w:csTheme="minorBidi"/>
                <w:sz w:val="22"/>
                <w:szCs w:val="22"/>
              </w:rPr>
              <w:t>report_identity.py、reporting.py</w:t>
            </w:r>
          </w:p>
        </w:tc>
      </w:tr>
      <w:tr>
        <w:trPr>
          <w:cantSplit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D4453C">
            <w:pPr>
              <w:spacing w:after="120" w:line="312" w:lineRule="auto"/>
            </w:pPr>
            <w:r>
              <w:rPr>
                <w:rFonts w:ascii="宋体" w:hAnsi="宋体" w:eastAsia="宋体" w:cs="宋体" w:csTheme="minorBidi"/>
                <w:sz w:val="22"/>
                <w:szCs w:val="22"/>
              </w:rPr>
              <w:t>输出与调度层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130EA">
            <w:pPr>
              <w:spacing w:after="120" w:line="312" w:lineRule="auto"/>
            </w:pPr>
            <w:r>
              <w:rPr>
                <w:rFonts w:ascii="宋体" w:hAnsi="宋体" w:eastAsia="宋体" w:cs="宋体" w:csTheme="minorBidi"/>
                <w:sz w:val="22"/>
                <w:szCs w:val="22"/>
              </w:rPr>
              <w:t>报告导出回读、批量并发、进度和运行记录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5F30C">
            <w:pPr>
              <w:spacing w:after="120" w:line="312" w:lineRule="auto"/>
            </w:pPr>
            <w:r>
              <w:rPr>
                <w:rFonts w:ascii="宋体" w:hAnsi="宋体" w:eastAsia="宋体" w:cs="宋体" w:csTheme="minorBidi"/>
                <w:sz w:val="22"/>
                <w:szCs w:val="22"/>
              </w:rPr>
              <w:t>web.py、report_batch.py、start_reports.py</w:t>
            </w:r>
          </w:p>
        </w:tc>
      </w:tr>
    </w:tbl>
    <w:p w14:paraId="1739E54F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2. 从原件到报告的执行闭环</w:t>
      </w:r>
    </w:p>
    <w:p w14:paraId="6EF3DE63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我们的处理流程是：识别并解析原件，建立证据与候选任务账本，模型查看结构并规划阅读，按页核查候选内容，保存原始病害提及，判断同一对象及概述关系，形成归并事实，再分次完成摘要、结论、建议和分析，最后校验并导出Word。</w:t>
      </w:r>
    </w:p>
    <w:p w14:paraId="1CC691C9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模型不是一次性接收全文后直接输出结果。它通过inspect_document、read_report_context、read_next_diseases、read_analysis_inputs等工具取得当前阶段需要的材料，通过save_disease_batch及身份相关工具保存判断，通过submit_report逐步完成报告。工具返回可定位的字段、行号或读取游标，模型据此决定补查、修改或进入下一阶段。</w:t>
      </w:r>
    </w:p>
    <w:p w14:paraId="674BD82A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3. 状态保存与任务隔离</w:t>
      </w:r>
    </w:p>
    <w:p w14:paraId="540E985E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每份报告具有独立的原件副本、解析结果、运行状态、工具轨迹、结构化报告和导出验收记录。运行指纹包含原件、模型、协议及实现等信息。同版本中断任务可以按兼容性要求恢复；输入、模型或实现发生变化时，我们使用新的工作目录重新运行，避免把不同条件下的中间状态混为一份结果。</w:t>
      </w:r>
    </w:p>
    <w:p w14:paraId="618A98A4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批量任务默认最多同时处理4份报告，每份独立推进，失败会保留日志和检查点，不阻断其他报告。启动器提供启动、检查、查询和停止命令，进度日志记录完成数、失败数、模型轮数和已核查任务数。停止批次只终止对应生成客户端，不停止独立的模型服务。</w:t>
      </w:r>
    </w:p>
    <w:p w14:paraId="32FB0C0E">
      <w:pPr>
        <w:pStyle w:val="Heading1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三、核心模块详细设计</w:t>
      </w:r>
    </w:p>
    <w:p w14:paraId="58C32C16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 文档解析与内容分层</w:t>
      </w:r>
    </w:p>
    <w:p w14:paraId="4581F35E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我们先判断文件实际内容，再选择DOCX、旧Word或HTML解析路径。旧Word通过LibreOffice转换，正文和表格通过python-docx、lxml等组件读取。表格保留表号、行列位置及继承关系，避免把合并单元格的空白误当成缺失事实。</w:t>
      </w:r>
    </w:p>
    <w:p w14:paraId="752C26CF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面向模型的材料以可读文字、必要表头和短证据编号为主；完整证据、原件哈希及结构定位保存在任务文件中。模型需要精确依据时按编号读取，不必在每轮上下文重复携带全部解析结构。当前范围是正文与表格文字，照片编号作为文字证据保留，不对图片内容作视觉分析。</w:t>
      </w:r>
    </w:p>
    <w:p w14:paraId="0DD0497A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2. 候选任务账本与证据约束</w:t>
      </w:r>
    </w:p>
    <w:p w14:paraId="20901CB0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我们从表格和正文建立候选任务，要求模型逐项决定纳入、排除或关联已有内容。账本用于检查候选材料是否得到处理，但不把候选覆盖率直接当作病害识别准确率。</w:t>
      </w:r>
    </w:p>
    <w:p w14:paraId="7F3753A3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正式引用必须来自已读取的原文区间。搜索命中和材料预览只用于定位，不能替代实际阅读。保存事实时，工具核对证据编号、连续原文、已读权限、字段状态和量测信息；反馈说明具体问题及可用的补读位置，使模型能够定点纠正。</w:t>
      </w:r>
    </w:p>
    <w:p w14:paraId="5019231E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3. 原始提及与病害对象分离</w:t>
      </w:r>
    </w:p>
    <w:p w14:paraId="169B9E73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我们先保存原文中的病害提及，再由模型判断这些提及是否属于同一对象、是否是多个明细的概述，或者应分别保留。关系判断使用构件、位置、类型、照片编号和量测等证据，程序负责检查引用及必要信息是否完整，不根据简单字符串相似度自动合并。</w:t>
      </w:r>
    </w:p>
    <w:p w14:paraId="6C663D54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归并时保留具体位置、尺寸、程度及来源，避免同一病害在评分表和结论中反复计数。对于同对象在不同章节出现的量测矛盾，我们允许归并描述保留双方数值并说明差异，不替原报告选择一个未经确认的数值。误收正常描述后，模型可以删除该提及；依赖它的任务重新进入待审阅状态，避免悬空引用阻塞纠正。</w:t>
      </w:r>
    </w:p>
    <w:p w14:paraId="7BE5F301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4. 长文档上下文管理</w:t>
      </w:r>
    </w:p>
    <w:p w14:paraId="61ACD7EB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我们不依靠不断增大上下文窗口解决长文档。已经确认的任务进度、事实和身份决定保存在结构化状态中，每轮重建受预算限制的工作快照，并保留近期完整工具往返。较大的原文材料分页读取，使用持久游标记录下一页；关联候选与归并材料也有返回预算及补读入口。</w:t>
      </w:r>
    </w:p>
    <w:p w14:paraId="4D1C78AE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压缩主要针对对话中的重复材料与工作状态，不用一段自由摘要替代完整事实库。工具出错时，阶段提示只重复必要的局部反馈，完整往返仍保存在轨迹中。身份重复疑点给出工具实际接受的offset和limit，减少模型猜页与重复翻读。</w:t>
      </w:r>
    </w:p>
    <w:p w14:paraId="130DD77F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我们还复用已建立的行索引，避免每次保存新批次都重新遍历全文校验所有旧行。优化保留原有来源、覆盖和量测约束，使程序校验成本随任务推进更可控。</w:t>
      </w:r>
    </w:p>
    <w:p w14:paraId="7834124B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5. 日期、指标、历史与写作口径</w:t>
      </w:r>
    </w:p>
    <w:p w14:paraId="5C0D626D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报告日期优先使用原文明示的报告日期；没有独立日期时，允许依据检测或校验区间末日作有据推定，并在内部保存依据。目录年份不直接替代报告日期。评分同时保存指标体系、结构范围与时间，区分全桥、分部及不同桥幅。</w:t>
      </w:r>
    </w:p>
    <w:p w14:paraId="7F3A40C5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历史比较优先读取本报告的历次对比材料。需要补证且有可用原件时，可查询同桥历史原报告；训练标签不作为本次事实来源。没有年度对比依据时，相应趋势按约定输出“无”，不增加一段缺失说明，也不把缺失历史解释为已经证明没有变化。</w:t>
      </w:r>
    </w:p>
    <w:p w14:paraId="18433500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我们使用明确标注为虚构、仅用于结构示范的少样本，引导模型学习总体结论、主要风险点和详细结论的分工。详细结论围绕综合评定、本次主要发现、当前影响和后续措施组织，尽量保持工程报告常见的表达方式；具体评分、病害和结论仍必须由当前原件支持，不复制其他报告的答案。</w:t>
      </w:r>
    </w:p>
    <w:p w14:paraId="3AECB0BA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建议按立即处置、尽快维修、预防性养护组织，由模型结合原文建议和病害语境判断，不能仅凭数量目标或关键词指定类别。事实抽取、风险分析和处置意见保留各自依据，推断内容与原文明示内容在内部状态中区分。</w:t>
      </w:r>
    </w:p>
    <w:p w14:paraId="451CCBCE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6. 模型协议、校验和报告导出</w:t>
      </w:r>
    </w:p>
    <w:p w14:paraId="5DB87343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我们对流式响应按事件帧组装，仅在工具参数完整结束后执行。输出截断或参数不是完整JSON对象时，整轮不执行，也不进入后续历史；在原预算内给出修正提示，持续失败则停止并保存进度。暂时性的请求或流损坏在配置次数内重试，不无限扩大调用。</w:t>
      </w:r>
    </w:p>
    <w:p w14:paraId="69E1A1E1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正式报告保留三列简要信息表、四列建议表、七列病害表及相关分析小节。16项摘要、候选处理、已读来源和必要量测通过检查后生成DOCX，并回读验证结构与内容，另做旧Word转换回读检查。正式文件名使用输入原名主干，只统一后缀为.docx。</w:t>
      </w:r>
    </w:p>
    <w:p w14:paraId="08069A78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局部语义复核每任务最多一次，只保存疑点及实际状态，不驱动无界的全文重写。复核未执行、协议不合法或存在疑点时，不将其描述成质量通过；主流程未完成的任务不发布为正式报告。</w:t>
      </w:r>
    </w:p>
    <w:p w14:paraId="679F050C">
      <w:pPr>
        <w:pStyle w:val="Heading1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四、创新点设计</w:t>
      </w:r>
    </w:p>
    <w:p w14:paraId="07F11CD0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 将病害提及与实体身份分开处理</w:t>
      </w:r>
    </w:p>
    <w:p w14:paraId="0A496AD4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我们把“读到了什么”和“是否属于同一病害”分成两个阶段，让模型能在看全相关证据后作关系判断。这样可以同时保留原文细节和归并依据，处理评分表、明细表与结论之间的重复，而不是在解析阶段不可逆地删掉相似文字。</w:t>
      </w:r>
    </w:p>
    <w:p w14:paraId="2CC8DC42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2. 用可恢复的工作状态控制上下文</w:t>
      </w:r>
    </w:p>
    <w:p w14:paraId="76C1069F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我们把任务账本、事实状态、已读权限和身份游标作为系统状态保存，把当前上下文视作完成下一步所需的工作材料。模型不必重复阅读全部历史，也能通过精确编号回查依据。结构化快照与按需原文读取共同服务于完整报告生成。</w:t>
      </w:r>
    </w:p>
    <w:p w14:paraId="5A6D2600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3. 让校验反馈成为下一步行动入口</w:t>
      </w:r>
    </w:p>
    <w:p w14:paraId="66C97893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我们不只返回“校验失败”，还尽量给出缺失字段、关联对象、具体行号和可调用的读取参数。模型可以据此补查和局部修改，减少重复翻页、猜测编号和重写完整报告的开销。程序验证可确定的约束，专业语义判断仍交由模型。</w:t>
      </w:r>
    </w:p>
    <w:p w14:paraId="6FF187A5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4. 把可追溯性贯穿生成与交付</w:t>
      </w:r>
    </w:p>
    <w:p w14:paraId="132B4F34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原件、实现指纹、模型调用、工具结果、结构化事实和Word成品相互关联。我们在交付前核对测试集名称和成品哈希，保证打包过程不改写模型报告。出现问题时，能够回到形成该判断的原文与执行轮次，而不是只能看到最终文字。</w:t>
      </w:r>
    </w:p>
    <w:p w14:paraId="69D1B229">
      <w:pPr>
        <w:pStyle w:val="Heading1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五、效果评估</w:t>
      </w:r>
    </w:p>
    <w:p w14:paraId="68097825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 评估结果</w:t>
      </w:r>
    </w:p>
    <w:p w14:paraId="0B622715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我们将评估分为链路完成、事实质量和运行效率三个方面。链路完成检查原件能否被解析、候选材料是否得到处理、结构化报告是否完整，以及Word能否正常生成和回读；事实质量检查位置与量测是否保留、病害是否重复、历史对应是否合理、评分范围是否一致，以及建议是否具有原文依据；运行效率记录墙钟时间、排队、模型调用和程序处理开销。</w:t>
      </w:r>
    </w:p>
    <w:p w14:paraId="767E5E29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在既有链路的一次阶段1运行中，22份原始报告均形成了正式DOCX结果，共4674个候选任务有处理记录。各报告完成13项独立工程检查，覆盖原件一致性、初始状态、候选处理、已读来源、身份映射及Word回读等内容。这些结果说明现有架构能够处理本批文档，属于既有链路验证。</w:t>
      </w:r>
    </w:p>
    <w:p w14:paraId="4FB9C499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内容质量方面，22份结果的总体框架完整，报告格式正确，大多数字段对应正确。但依然存在某些病害粒度、历史关系、建议分类和总体结论与明细的对应关系不准确等问题。</w:t>
      </w:r>
    </w:p>
    <w:p w14:paraId="3FEB330A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2. 任务执行耗时</w:t>
      </w:r>
    </w:p>
    <w:p w14:paraId="2552CAA1">
      <w:pPr>
        <w:spacing w:after="120" w:line="312" w:lineRule="auto"/>
      </w:pPr>
      <w:r>
        <w:rPr>
          <w:rFonts w:ascii="宋体" w:hAnsi="宋体" w:eastAsia="宋体" w:cs="宋体" w:csTheme="minorBidi"/>
          <w:sz w:val="22"/>
          <w:szCs w:val="22"/>
        </w:rPr>
        <w:t>该次阶段1的22份报告的任务执行耗时约4小时。运行期间最多4份报告并行，包含失败排查、修复及新任务重跑。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135"/>
        <w:gridCol w:w="3135"/>
        <w:gridCol w:w="3135"/>
      </w:tblGrid>
      <w:tr>
        <w:trPr>
          <w:cantSplit/>
          <w:tblHeader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1007C">
            <w:pPr>
              <w:spacing w:after="120" w:line="312" w:lineRule="auto"/>
            </w:pPr>
            <w:r>
              <w:rPr>
                <w:rFonts w:ascii="宋体" w:hAnsi="宋体" w:eastAsia="宋体" w:cs="宋体" w:csTheme="minorBidi"/>
                <w:b/>
                <w:bCs/>
                <w:sz w:val="22"/>
                <w:szCs w:val="22"/>
              </w:rPr>
              <w:t>代表报告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B68CA">
            <w:pPr>
              <w:spacing w:after="120" w:line="312" w:lineRule="auto"/>
            </w:pPr>
            <w:r>
              <w:rPr>
                <w:rFonts w:ascii="宋体" w:hAnsi="宋体" w:eastAsia="宋体" w:cs="宋体" w:csTheme="minorBidi"/>
                <w:b/>
                <w:bCs/>
                <w:sz w:val="22"/>
                <w:szCs w:val="22"/>
              </w:rPr>
              <w:t>既有链路参考耗时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3DA5D">
            <w:pPr>
              <w:spacing w:after="120" w:line="312" w:lineRule="auto"/>
            </w:pPr>
            <w:r>
              <w:rPr>
                <w:rFonts w:ascii="宋体" w:hAnsi="宋体" w:eastAsia="宋体" w:cs="宋体" w:csTheme="minorBidi"/>
                <w:b/>
                <w:bCs/>
                <w:sz w:val="22"/>
                <w:szCs w:val="22"/>
              </w:rPr>
              <w:t>统计口径</w:t>
            </w:r>
          </w:p>
        </w:tc>
      </w:tr>
      <w:tr>
        <w:trPr>
          <w:cantSplit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024C9">
            <w:pPr>
              <w:spacing w:after="120" w:line="312" w:lineRule="auto"/>
            </w:pPr>
            <w:r>
              <w:rPr>
                <w:rFonts w:ascii="宋体" w:hAnsi="宋体" w:eastAsia="宋体" w:cs="宋体" w:csTheme="minorBidi"/>
                <w:sz w:val="22"/>
                <w:szCs w:val="22"/>
              </w:rPr>
              <w:t>川右K0+895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3757C">
            <w:pPr>
              <w:spacing w:after="120" w:line="312" w:lineRule="auto"/>
            </w:pPr>
            <w:r>
              <w:rPr>
                <w:rFonts w:ascii="宋体" w:hAnsi="宋体" w:eastAsia="宋体" w:cs="宋体" w:csTheme="minorBidi"/>
                <w:sz w:val="22"/>
                <w:szCs w:val="22"/>
              </w:rPr>
              <w:t>3分21秒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73875">
            <w:pPr>
              <w:spacing w:after="120" w:line="312" w:lineRule="auto"/>
            </w:pPr>
            <w:r>
              <w:rPr>
                <w:rFonts w:ascii="宋体" w:hAnsi="宋体" w:eastAsia="宋体" w:cs="宋体" w:csTheme="minorBidi"/>
                <w:sz w:val="22"/>
                <w:szCs w:val="22"/>
              </w:rPr>
              <w:t>短报告，含模型与工具处理</w:t>
            </w:r>
          </w:p>
        </w:tc>
      </w:tr>
      <w:tr>
        <w:trPr>
          <w:cantSplit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53C17">
            <w:pPr>
              <w:spacing w:after="120" w:line="312" w:lineRule="auto"/>
            </w:pPr>
            <w:r>
              <w:rPr>
                <w:rFonts w:ascii="宋体" w:hAnsi="宋体" w:eastAsia="宋体" w:cs="宋体" w:csTheme="minorBidi"/>
                <w:sz w:val="22"/>
                <w:szCs w:val="22"/>
              </w:rPr>
              <w:t>K26+100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52BB0">
            <w:pPr>
              <w:spacing w:after="120" w:line="312" w:lineRule="auto"/>
            </w:pPr>
            <w:r>
              <w:rPr>
                <w:rFonts w:ascii="宋体" w:hAnsi="宋体" w:eastAsia="宋体" w:cs="宋体" w:csTheme="minorBidi"/>
                <w:sz w:val="22"/>
                <w:szCs w:val="22"/>
              </w:rPr>
              <w:t>3分37秒</w:t>
            </w:r>
          </w:p>
        </w:tc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left w:w="105" w:type="dxa"/>
              <w:right w:w="105" w:type="dxa"/>
            </w:tcMar>
          </w:tcPr>
          <w:p w14:paraId="51645DCB">
            <w:pPr>
              <w:spacing w:after="120" w:line="312" w:lineRule="auto"/>
            </w:pPr>
            <w:r>
              <w:rPr>
                <w:rFonts w:ascii="宋体" w:cs="宋体"/>
                <w:sz w:val="22"/>
                <w:szCs w:val="22"/>
              </w:rPr>
              <w:t>短报告，含模型与工具处理</w:t>
            </w:r>
          </w:p>
        </w:tc>
      </w:tr>
      <w:tr>
        <w:trPr>
          <w:cantSplit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1770E">
            <w:pPr>
              <w:spacing w:after="120" w:line="312" w:lineRule="auto"/>
            </w:pPr>
            <w:r>
              <w:rPr>
                <w:rFonts w:ascii="宋体" w:hAnsi="宋体" w:eastAsia="宋体" w:cs="宋体" w:csTheme="minorBidi"/>
                <w:sz w:val="22"/>
                <w:szCs w:val="22"/>
              </w:rPr>
              <w:t>凤中立交2号拓宽桥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14832C">
            <w:pPr>
              <w:spacing w:after="120" w:line="312" w:lineRule="auto"/>
            </w:pPr>
            <w:r>
              <w:rPr>
                <w:rFonts w:ascii="宋体" w:hAnsi="宋体" w:eastAsia="宋体" w:cs="宋体" w:csTheme="minorBidi"/>
                <w:sz w:val="22"/>
                <w:szCs w:val="22"/>
              </w:rPr>
              <w:t>4分41秒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851817">
            <w:pPr>
              <w:spacing w:after="120" w:line="312" w:lineRule="auto"/>
            </w:pPr>
            <w:r>
              <w:rPr>
                <w:rFonts w:ascii="宋体" w:cs="宋体"/>
                <w:sz w:val="22"/>
                <w:szCs w:val="22"/>
              </w:rPr>
              <w:t>短报告，含模型与工具处理</w:t>
            </w:r>
          </w:p>
        </w:tc>
      </w:tr>
      <w:tr>
        <w:trPr>
          <w:cantSplit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7F0F7">
            <w:pPr>
              <w:spacing w:after="120" w:line="312" w:lineRule="auto"/>
            </w:pPr>
            <w:r>
              <w:rPr>
                <w:rFonts w:ascii="宋体" w:hAnsi="宋体" w:eastAsia="宋体" w:cs="宋体" w:csTheme="minorBidi"/>
                <w:sz w:val="22"/>
                <w:szCs w:val="22"/>
              </w:rPr>
              <w:t>黄桷湾主线桥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68653">
            <w:pPr>
              <w:spacing w:after="120" w:line="312" w:lineRule="auto"/>
            </w:pPr>
            <w:r>
              <w:rPr>
                <w:rFonts w:ascii="宋体" w:hAnsi="宋体" w:eastAsia="宋体" w:cs="宋体" w:csTheme="minorBidi"/>
                <w:sz w:val="22"/>
                <w:szCs w:val="22"/>
              </w:rPr>
              <w:t>31分40秒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AC18F6">
            <w:pPr>
              <w:spacing w:after="120" w:line="312" w:lineRule="auto"/>
            </w:pPr>
            <w:r>
              <w:rPr>
                <w:rFonts w:ascii="宋体" w:hAnsi="宋体" w:eastAsia="宋体" w:cs="宋体" w:csTheme="minorBidi"/>
                <w:sz w:val="22"/>
                <w:szCs w:val="22"/>
              </w:rPr>
              <w:t>长报告，单份执行</w:t>
            </w:r>
          </w:p>
        </w:tc>
      </w:tr>
      <w:tr>
        <w:trPr>
          <w:cantSplit/>
        </w:trPr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A827E">
            <w:pPr>
              <w:spacing w:after="120" w:line="312" w:lineRule="auto"/>
            </w:pPr>
            <w:r>
              <w:rPr>
                <w:rFonts w:ascii="宋体" w:hAnsi="宋体" w:eastAsia="宋体" w:cs="宋体" w:csTheme="minorBidi"/>
                <w:sz w:val="22"/>
                <w:szCs w:val="22"/>
              </w:rPr>
              <w:t>马桑溪长江大桥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C3C5D">
            <w:pPr>
              <w:spacing w:after="120" w:line="312" w:lineRule="auto"/>
            </w:pPr>
            <w:r>
              <w:rPr>
                <w:rFonts w:ascii="宋体" w:hAnsi="宋体" w:eastAsia="宋体" w:cs="宋体" w:csTheme="minorBidi"/>
                <w:sz w:val="22"/>
                <w:szCs w:val="22"/>
              </w:rPr>
              <w:t>84分27秒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FC9A2">
            <w:pPr>
              <w:spacing w:after="120" w:line="312" w:lineRule="auto"/>
            </w:pPr>
            <w:r>
              <w:rPr>
                <w:rFonts w:ascii="宋体" w:hAnsi="宋体" w:eastAsia="宋体" w:cs="宋体" w:csTheme="minorBidi"/>
                <w:sz w:val="22"/>
                <w:szCs w:val="22"/>
              </w:rPr>
              <w:t>超长报告，单份执行</w:t>
            </w:r>
          </w:p>
        </w:tc>
      </w:tr>
    </w:tbl>
    <w:p w14:paraId="49DF8B87">
      <w:pPr>
        <w:pStyle w:val="Heading2"/>
      </w:pPr>
    </w:p>
    <w:sectPr>
      <w:pgSz w:w="11906" w:h="16838"/>
      <w:pgMar w:top="1304" w:right="1417" w:bottom="1304" w:left="1417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慧检通途——城市基础设施定检报告分析智能体</dc:title>
  <dc:subject>决赛阶段1智能体方案设计</dc:subject>
  <dc:creator>慧检通途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2026-10-17T02:57:46.166Z</dcterms:modified>
  <cp:category/>
</cp:coreProperties>
</file>