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320" w:line="300" w:lineRule="auto"/>
        <w:jc w:val="center"/>
      </w:pPr>
      <w:r>
        <w:rPr>
          <w:rFonts w:ascii="Times New Roman" w:hAnsi="Times New Roman" w:eastAsia="宋体"/>
          <w:b/>
          <w:color w:val="000000"/>
          <w:sz w:val="44"/>
        </w:rPr>
        <w:t>雅思备考知识管理系统</w:t>
      </w:r>
    </w:p>
    <w:p>
      <w:pPr>
        <w:spacing w:before="0" w:after="1440" w:line="300" w:lineRule="auto"/>
        <w:jc w:val="center"/>
      </w:pPr>
      <w:r>
        <w:rPr>
          <w:rFonts w:ascii="Times New Roman" w:hAnsi="Times New Roman" w:eastAsia="宋体"/>
          <w:b/>
          <w:color w:val="5A606E"/>
          <w:sz w:val="28"/>
        </w:rPr>
        <w:t>（知识工程管理课程大作业）</w:t>
      </w:r>
    </w:p>
    <w:p>
      <w:pPr>
        <w:spacing w:after="160" w:line="300" w:lineRule="auto"/>
        <w:jc w:val="center"/>
      </w:pPr>
      <w:r>
        <w:rPr>
          <w:rFonts w:ascii="Times New Roman" w:hAnsi="Times New Roman" w:eastAsia="宋体"/>
          <w:b w:val="0"/>
          <w:sz w:val="28"/>
        </w:rPr>
        <w:t>学 院（系）：</w:t>
      </w:r>
      <w:r>
        <w:rPr>
          <w:rFonts w:ascii="Times New Roman" w:hAnsi="Times New Roman" w:eastAsia="宋体"/>
          <w:sz w:val="28"/>
        </w:rPr>
        <w:t>____________________________</w:t>
      </w:r>
    </w:p>
    <w:p>
      <w:pPr>
        <w:spacing w:after="160" w:line="300" w:lineRule="auto"/>
        <w:jc w:val="center"/>
      </w:pPr>
      <w:r>
        <w:rPr>
          <w:rFonts w:ascii="Times New Roman" w:hAnsi="Times New Roman" w:eastAsia="宋体"/>
          <w:b w:val="0"/>
          <w:sz w:val="28"/>
        </w:rPr>
        <w:t>专       业：</w:t>
      </w:r>
      <w:r>
        <w:rPr>
          <w:rFonts w:ascii="Times New Roman" w:hAnsi="Times New Roman" w:eastAsia="宋体"/>
          <w:sz w:val="28"/>
        </w:rPr>
        <w:t>____________________________</w:t>
      </w:r>
    </w:p>
    <w:p>
      <w:pPr>
        <w:spacing w:after="160" w:line="300" w:lineRule="auto"/>
        <w:jc w:val="center"/>
      </w:pPr>
      <w:r>
        <w:rPr>
          <w:rFonts w:ascii="Times New Roman" w:hAnsi="Times New Roman" w:eastAsia="宋体"/>
          <w:b w:val="0"/>
          <w:sz w:val="28"/>
        </w:rPr>
        <w:t>团 队 成 员：</w:t>
      </w:r>
      <w:r>
        <w:rPr>
          <w:rFonts w:ascii="Times New Roman" w:hAnsi="Times New Roman" w:eastAsia="宋体"/>
          <w:sz w:val="28"/>
        </w:rPr>
        <w:t>____________________________</w:t>
      </w:r>
    </w:p>
    <w:p>
      <w:pPr>
        <w:spacing w:after="160" w:line="300" w:lineRule="auto"/>
        <w:jc w:val="center"/>
      </w:pPr>
      <w:r>
        <w:rPr>
          <w:rFonts w:ascii="Times New Roman" w:hAnsi="Times New Roman" w:eastAsia="宋体"/>
          <w:b w:val="0"/>
          <w:sz w:val="28"/>
        </w:rPr>
        <w:t>任 课 教 师：</w:t>
      </w:r>
      <w:r>
        <w:rPr>
          <w:rFonts w:ascii="Times New Roman" w:hAnsi="Times New Roman" w:eastAsia="宋体"/>
          <w:sz w:val="28"/>
        </w:rPr>
        <w:t>____________________________</w:t>
      </w:r>
    </w:p>
    <w:p>
      <w:pPr>
        <w:spacing w:after="160" w:line="300" w:lineRule="auto"/>
        <w:jc w:val="center"/>
      </w:pPr>
      <w:r>
        <w:rPr>
          <w:rFonts w:ascii="Times New Roman" w:hAnsi="Times New Roman" w:eastAsia="宋体"/>
          <w:b w:val="0"/>
          <w:sz w:val="28"/>
        </w:rPr>
        <w:t>完 成 日 期：</w:t>
      </w:r>
      <w:r>
        <w:rPr>
          <w:rFonts w:ascii="Times New Roman" w:hAnsi="Times New Roman" w:eastAsia="宋体"/>
          <w:sz w:val="28"/>
        </w:rPr>
        <w:t>2026年06月19日</w:t>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0" w:line="300" w:lineRule="auto"/>
      </w:pPr>
      <w:r>
        <w:rPr>
          <w:rFonts w:ascii="Times New Roman" w:hAnsi="Times New Roman" w:eastAsia="宋体"/>
          <w:b w:val="0"/>
          <w:color w:val="000000"/>
          <w:sz w:val="24"/>
        </w:rPr>
      </w:r>
    </w:p>
    <w:p>
      <w:pPr>
        <w:spacing w:before="0" w:after="40" w:line="300" w:lineRule="auto"/>
        <w:jc w:val="center"/>
      </w:pPr>
      <w:r>
        <w:rPr>
          <w:rFonts w:ascii="Times New Roman" w:hAnsi="Times New Roman" w:eastAsia="宋体"/>
          <w:b/>
          <w:color w:val="000000"/>
          <w:sz w:val="30"/>
        </w:rPr>
        <w:t>大连理工大学</w:t>
      </w:r>
    </w:p>
    <w:p>
      <w:pPr>
        <w:spacing w:before="0" w:after="0" w:line="300" w:lineRule="auto"/>
        <w:jc w:val="center"/>
      </w:pPr>
      <w:r>
        <w:rPr>
          <w:rFonts w:ascii="Times New Roman" w:hAnsi="Times New Roman" w:eastAsia="宋体"/>
          <w:b w:val="0"/>
          <w:color w:val="000000"/>
          <w:sz w:val="22"/>
        </w:rPr>
        <w:t>Dalian University of Technology</w:t>
      </w:r>
    </w:p>
    <w:p>
      <w:r>
        <w:br w:type="page"/>
      </w:r>
    </w:p>
    <w:p>
      <w:pPr>
        <w:pStyle w:val="Heading1"/>
        <w:spacing w:before="0" w:after="220" w:line="360" w:lineRule="auto"/>
      </w:pPr>
      <w:r>
        <w:rPr>
          <w:rFonts w:ascii="Times New Roman" w:hAnsi="Times New Roman" w:eastAsia="黑体"/>
          <w:b/>
          <w:color w:val="000000"/>
          <w:sz w:val="30"/>
        </w:rPr>
        <w:t>摘 要</w:t>
      </w:r>
    </w:p>
    <w:p>
      <w:pPr>
        <w:spacing w:before="0" w:after="120" w:line="300" w:lineRule="auto"/>
        <w:ind w:firstLine="420"/>
      </w:pPr>
      <w:r>
        <w:rPr>
          <w:rFonts w:ascii="Times New Roman" w:hAnsi="Times New Roman" w:eastAsia="宋体"/>
          <w:b w:val="0"/>
          <w:color w:val="000000"/>
          <w:sz w:val="24"/>
        </w:rPr>
        <w:t>外语学习本质上是学习者对语言知识进行获取、加工、存储、检索和内化的过程。传统英语学习工具常常能够提供对话、翻译或词汇查询功能，但学习痕迹分散在聊天记录、截图和临时笔记中，难以形成可复用、可追踪、可复盘的个人知识资产。本文以个人项目 LingoLeap 为基础，围绕雅思备考场景，将其改造为一个垂直领域个人知识管理系统。系统通过生词卡片、历史会话、语境自动化增强、知识资产看板、学习反思记录和 Obsidian 兼容的 Markdown 导出，实现从原始学习数据到结构化知识卡片的转换。理论上，本文采用 DIKW 模型解释单词、释义、语境和应用能力之间的层级关系，采用 SECI 知识创造螺旋解释隐性语言经验如何外化、组合并重新内化；同时结合词汇习得、自我调节学习、认知负荷和学习分析相关研究，将系统指标限定为可观测日志和学习者自评，避免把装饰性统计误解释为真实掌握度。实践结果表明，低成本改造可以显著增强英语学习工具的知识沉淀能力，使其能够支持课程大作业中的系统设计、指标口径说明、成果展示和持续迭代。该项目也说明，个人语言学习系统不仅可以记录学习内容，还可以管理学习者对自身知识状态和学习策略的认识。</w:t>
      </w:r>
    </w:p>
    <w:p>
      <w:pPr>
        <w:spacing w:before="0" w:after="0" w:line="300" w:lineRule="auto"/>
      </w:pPr>
      <w:r>
        <w:rPr>
          <w:rFonts w:ascii="Times New Roman" w:hAnsi="Times New Roman" w:eastAsia="宋体"/>
          <w:b/>
          <w:color w:val="000000"/>
          <w:sz w:val="24"/>
        </w:rPr>
        <w:t>关键词：个人知识管理；雅思备考；知识资产；学习分析；自我调节学习</w:t>
      </w:r>
    </w:p>
    <w:p>
      <w:r>
        <w:br w:type="page"/>
      </w:r>
    </w:p>
    <w:p>
      <w:pPr>
        <w:pStyle w:val="Heading1"/>
        <w:spacing w:before="0" w:after="220" w:line="360" w:lineRule="auto"/>
      </w:pPr>
      <w:r>
        <w:rPr>
          <w:rFonts w:ascii="Times New Roman" w:hAnsi="Times New Roman" w:eastAsia="黑体"/>
          <w:b/>
          <w:color w:val="000000"/>
          <w:sz w:val="30"/>
        </w:rPr>
        <w:t>目 录</w:t>
      </w:r>
    </w:p>
    <w:p>
      <w:pPr>
        <w:spacing w:after="40" w:line="300" w:lineRule="auto"/>
      </w:pPr>
      <w:r>
        <w:rPr>
          <w:rFonts w:ascii="Times New Roman" w:hAnsi="Times New Roman" w:eastAsia="宋体"/>
          <w:sz w:val="24"/>
        </w:rPr>
        <w:t>摘 要</w:t>
      </w:r>
      <w:r>
        <w:rPr>
          <w:rFonts w:ascii="Times New Roman" w:hAnsi="Times New Roman" w:eastAsia="宋体"/>
          <w:sz w:val="24"/>
        </w:rPr>
        <w:t xml:space="preserve"> ....................................... </w:t>
      </w:r>
      <w:r>
        <w:rPr>
          <w:rFonts w:ascii="Times New Roman" w:hAnsi="Times New Roman" w:eastAsia="宋体"/>
          <w:sz w:val="24"/>
        </w:rPr>
        <w:t>II</w:t>
      </w:r>
    </w:p>
    <w:p>
      <w:pPr>
        <w:spacing w:after="40" w:line="300" w:lineRule="auto"/>
      </w:pPr>
      <w:r>
        <w:rPr>
          <w:rFonts w:ascii="Times New Roman" w:hAnsi="Times New Roman" w:eastAsia="宋体"/>
          <w:sz w:val="24"/>
        </w:rPr>
        <w:t>1 研究背景与问题提出</w:t>
      </w:r>
      <w:r>
        <w:rPr>
          <w:rFonts w:ascii="Times New Roman" w:hAnsi="Times New Roman" w:eastAsia="宋体"/>
          <w:sz w:val="24"/>
        </w:rPr>
        <w:t xml:space="preserve"> ............................... </w:t>
      </w:r>
      <w:r>
        <w:rPr>
          <w:rFonts w:ascii="Times New Roman" w:hAnsi="Times New Roman" w:eastAsia="宋体"/>
          <w:sz w:val="24"/>
        </w:rPr>
        <w:t>1</w:t>
      </w:r>
    </w:p>
    <w:p>
      <w:pPr>
        <w:spacing w:after="40" w:line="300" w:lineRule="auto"/>
      </w:pPr>
      <w:r>
        <w:rPr>
          <w:rFonts w:ascii="Times New Roman" w:hAnsi="Times New Roman" w:eastAsia="宋体"/>
          <w:sz w:val="24"/>
        </w:rPr>
        <w:t>2 理论基础与文献依据</w:t>
      </w:r>
      <w:r>
        <w:rPr>
          <w:rFonts w:ascii="Times New Roman" w:hAnsi="Times New Roman" w:eastAsia="宋体"/>
          <w:sz w:val="24"/>
        </w:rPr>
        <w:t xml:space="preserve"> ............................... </w:t>
      </w:r>
      <w:r>
        <w:rPr>
          <w:rFonts w:ascii="Times New Roman" w:hAnsi="Times New Roman" w:eastAsia="宋体"/>
          <w:sz w:val="24"/>
        </w:rPr>
        <w:t>2</w:t>
      </w:r>
    </w:p>
    <w:p>
      <w:pPr>
        <w:spacing w:after="40" w:line="300" w:lineRule="auto"/>
      </w:pPr>
      <w:r>
        <w:rPr>
          <w:rFonts w:ascii="Times New Roman" w:hAnsi="Times New Roman" w:eastAsia="宋体"/>
          <w:sz w:val="24"/>
        </w:rPr>
        <w:t>3 研究方法与数据来源</w:t>
      </w:r>
      <w:r>
        <w:rPr>
          <w:rFonts w:ascii="Times New Roman" w:hAnsi="Times New Roman" w:eastAsia="宋体"/>
          <w:sz w:val="24"/>
        </w:rPr>
        <w:t xml:space="preserve"> ............................... </w:t>
      </w:r>
      <w:r>
        <w:rPr>
          <w:rFonts w:ascii="Times New Roman" w:hAnsi="Times New Roman" w:eastAsia="宋体"/>
          <w:sz w:val="24"/>
        </w:rPr>
        <w:t>5</w:t>
      </w:r>
    </w:p>
    <w:p>
      <w:pPr>
        <w:spacing w:after="40" w:line="300" w:lineRule="auto"/>
      </w:pPr>
      <w:r>
        <w:rPr>
          <w:rFonts w:ascii="Times New Roman" w:hAnsi="Times New Roman" w:eastAsia="宋体"/>
          <w:sz w:val="24"/>
        </w:rPr>
        <w:t>4 需求分析与系统定位</w:t>
      </w:r>
      <w:r>
        <w:rPr>
          <w:rFonts w:ascii="Times New Roman" w:hAnsi="Times New Roman" w:eastAsia="宋体"/>
          <w:sz w:val="24"/>
        </w:rPr>
        <w:t xml:space="preserve"> ............................... </w:t>
      </w:r>
      <w:r>
        <w:rPr>
          <w:rFonts w:ascii="Times New Roman" w:hAnsi="Times New Roman" w:eastAsia="宋体"/>
          <w:sz w:val="24"/>
        </w:rPr>
        <w:t>7</w:t>
      </w:r>
    </w:p>
    <w:p>
      <w:pPr>
        <w:spacing w:after="40" w:line="300" w:lineRule="auto"/>
      </w:pPr>
      <w:r>
        <w:rPr>
          <w:rFonts w:ascii="Times New Roman" w:hAnsi="Times New Roman" w:eastAsia="宋体"/>
          <w:sz w:val="24"/>
        </w:rPr>
        <w:t>5 系统总体架构设计</w:t>
      </w:r>
      <w:r>
        <w:rPr>
          <w:rFonts w:ascii="Times New Roman" w:hAnsi="Times New Roman" w:eastAsia="宋体"/>
          <w:sz w:val="24"/>
        </w:rPr>
        <w:t xml:space="preserve"> ................................ </w:t>
      </w:r>
      <w:r>
        <w:rPr>
          <w:rFonts w:ascii="Times New Roman" w:hAnsi="Times New Roman" w:eastAsia="宋体"/>
          <w:sz w:val="24"/>
        </w:rPr>
        <w:t>9</w:t>
      </w:r>
    </w:p>
    <w:p>
      <w:pPr>
        <w:spacing w:after="40" w:line="300" w:lineRule="auto"/>
      </w:pPr>
      <w:r>
        <w:rPr>
          <w:rFonts w:ascii="Times New Roman" w:hAnsi="Times New Roman" w:eastAsia="宋体"/>
          <w:sz w:val="24"/>
        </w:rPr>
        <w:t>6 核心功能模块设计</w:t>
      </w:r>
      <w:r>
        <w:rPr>
          <w:rFonts w:ascii="Times New Roman" w:hAnsi="Times New Roman" w:eastAsia="宋体"/>
          <w:sz w:val="24"/>
        </w:rPr>
        <w:t xml:space="preserve"> ................................ </w:t>
      </w:r>
      <w:r>
        <w:rPr>
          <w:rFonts w:ascii="Times New Roman" w:hAnsi="Times New Roman" w:eastAsia="宋体"/>
          <w:sz w:val="24"/>
        </w:rPr>
        <w:t>11</w:t>
      </w:r>
    </w:p>
    <w:p>
      <w:pPr>
        <w:spacing w:after="40" w:line="300" w:lineRule="auto"/>
      </w:pPr>
      <w:r>
        <w:rPr>
          <w:rFonts w:ascii="Times New Roman" w:hAnsi="Times New Roman" w:eastAsia="宋体"/>
          <w:sz w:val="24"/>
        </w:rPr>
        <w:t>7 指标体系与知识资产看板</w:t>
      </w:r>
      <w:r>
        <w:rPr>
          <w:rFonts w:ascii="Times New Roman" w:hAnsi="Times New Roman" w:eastAsia="宋体"/>
          <w:sz w:val="24"/>
        </w:rPr>
        <w:t xml:space="preserve"> ............................. </w:t>
      </w:r>
      <w:r>
        <w:rPr>
          <w:rFonts w:ascii="Times New Roman" w:hAnsi="Times New Roman" w:eastAsia="宋体"/>
          <w:sz w:val="24"/>
        </w:rPr>
        <w:t>15</w:t>
      </w:r>
    </w:p>
    <w:p>
      <w:pPr>
        <w:spacing w:after="40" w:line="300" w:lineRule="auto"/>
      </w:pPr>
      <w:r>
        <w:rPr>
          <w:rFonts w:ascii="Times New Roman" w:hAnsi="Times New Roman" w:eastAsia="宋体"/>
          <w:sz w:val="24"/>
        </w:rPr>
        <w:t>8 系统实现与运行流程</w:t>
      </w:r>
      <w:r>
        <w:rPr>
          <w:rFonts w:ascii="Times New Roman" w:hAnsi="Times New Roman" w:eastAsia="宋体"/>
          <w:sz w:val="24"/>
        </w:rPr>
        <w:t xml:space="preserve"> ............................... </w:t>
      </w:r>
      <w:r>
        <w:rPr>
          <w:rFonts w:ascii="Times New Roman" w:hAnsi="Times New Roman" w:eastAsia="宋体"/>
          <w:sz w:val="24"/>
        </w:rPr>
        <w:t>17</w:t>
      </w:r>
    </w:p>
    <w:p>
      <w:pPr>
        <w:spacing w:after="40" w:line="300" w:lineRule="auto"/>
      </w:pPr>
      <w:r>
        <w:rPr>
          <w:rFonts w:ascii="Times New Roman" w:hAnsi="Times New Roman" w:eastAsia="宋体"/>
          <w:sz w:val="24"/>
        </w:rPr>
        <w:t>9 成果展示与配图说明</w:t>
      </w:r>
      <w:r>
        <w:rPr>
          <w:rFonts w:ascii="Times New Roman" w:hAnsi="Times New Roman" w:eastAsia="宋体"/>
          <w:sz w:val="24"/>
        </w:rPr>
        <w:t xml:space="preserve"> ............................... </w:t>
      </w:r>
      <w:r>
        <w:rPr>
          <w:rFonts w:ascii="Times New Roman" w:hAnsi="Times New Roman" w:eastAsia="宋体"/>
          <w:sz w:val="24"/>
        </w:rPr>
        <w:t>19</w:t>
      </w:r>
    </w:p>
    <w:p>
      <w:pPr>
        <w:spacing w:after="40" w:line="300" w:lineRule="auto"/>
      </w:pPr>
      <w:r>
        <w:rPr>
          <w:rFonts w:ascii="Times New Roman" w:hAnsi="Times New Roman" w:eastAsia="宋体"/>
          <w:sz w:val="24"/>
        </w:rPr>
        <w:t>10 项目管理、备份与迭代</w:t>
      </w:r>
      <w:r>
        <w:rPr>
          <w:rFonts w:ascii="Times New Roman" w:hAnsi="Times New Roman" w:eastAsia="宋体"/>
          <w:sz w:val="24"/>
        </w:rPr>
        <w:t xml:space="preserve"> ............................. </w:t>
      </w:r>
      <w:r>
        <w:rPr>
          <w:rFonts w:ascii="Times New Roman" w:hAnsi="Times New Roman" w:eastAsia="宋体"/>
          <w:sz w:val="24"/>
        </w:rPr>
        <w:t>21</w:t>
      </w:r>
    </w:p>
    <w:p>
      <w:pPr>
        <w:spacing w:after="40" w:line="300" w:lineRule="auto"/>
      </w:pPr>
      <w:r>
        <w:rPr>
          <w:rFonts w:ascii="Times New Roman" w:hAnsi="Times New Roman" w:eastAsia="宋体"/>
          <w:sz w:val="24"/>
        </w:rPr>
        <w:t>11 总结与展望</w:t>
      </w:r>
      <w:r>
        <w:rPr>
          <w:rFonts w:ascii="Times New Roman" w:hAnsi="Times New Roman" w:eastAsia="宋体"/>
          <w:sz w:val="24"/>
        </w:rPr>
        <w:t xml:space="preserve"> .................................. </w:t>
      </w:r>
      <w:r>
        <w:rPr>
          <w:rFonts w:ascii="Times New Roman" w:hAnsi="Times New Roman" w:eastAsia="宋体"/>
          <w:sz w:val="24"/>
        </w:rPr>
        <w:t>23</w:t>
      </w:r>
    </w:p>
    <w:p>
      <w:pPr>
        <w:spacing w:after="40" w:line="300" w:lineRule="auto"/>
      </w:pPr>
      <w:r>
        <w:rPr>
          <w:rFonts w:ascii="Times New Roman" w:hAnsi="Times New Roman" w:eastAsia="宋体"/>
          <w:sz w:val="24"/>
        </w:rPr>
        <w:t>参考文献</w:t>
      </w:r>
      <w:r>
        <w:rPr>
          <w:rFonts w:ascii="Times New Roman" w:hAnsi="Times New Roman" w:eastAsia="宋体"/>
          <w:sz w:val="24"/>
        </w:rPr>
        <w:t xml:space="preserve"> ...................................... </w:t>
      </w:r>
      <w:r>
        <w:rPr>
          <w:rFonts w:ascii="Times New Roman" w:hAnsi="Times New Roman" w:eastAsia="宋体"/>
          <w:sz w:val="24"/>
        </w:rPr>
        <w:t>24</w:t>
      </w:r>
    </w:p>
    <w:p>
      <w:pPr>
        <w:spacing w:after="40" w:line="300" w:lineRule="auto"/>
      </w:pPr>
      <w:r>
        <w:rPr>
          <w:rFonts w:ascii="Times New Roman" w:hAnsi="Times New Roman" w:eastAsia="宋体"/>
          <w:sz w:val="24"/>
        </w:rPr>
        <w:t>附录A 截图清单与验收材料</w:t>
      </w:r>
      <w:r>
        <w:rPr>
          <w:rFonts w:ascii="Times New Roman" w:hAnsi="Times New Roman" w:eastAsia="宋体"/>
          <w:sz w:val="24"/>
        </w:rPr>
        <w:t xml:space="preserve"> ............................. </w:t>
      </w:r>
      <w:r>
        <w:rPr>
          <w:rFonts w:ascii="Times New Roman" w:hAnsi="Times New Roman" w:eastAsia="宋体"/>
          <w:sz w:val="24"/>
        </w:rPr>
        <w:t>26</w:t>
      </w:r>
    </w:p>
    <w:p>
      <w:pPr>
        <w:sectPr>
          <w:headerReference w:type="default" r:id="rId9"/>
          <w:footerReference w:type="default" r:id="rId10"/>
          <w:pgSz w:w="11906" w:h="16838"/>
          <w:pgMar w:top="1984" w:right="1417" w:bottom="1417" w:left="1417" w:header="1417" w:footer="1134" w:gutter="0"/>
          <w:cols w:space="720"/>
          <w:docGrid w:linePitch="360"/>
          <w:pgNumType w:start="1"/>
        </w:sectPr>
      </w:pPr>
    </w:p>
    <w:p>
      <w:pPr>
        <w:pStyle w:val="Heading1"/>
        <w:spacing w:before="0" w:after="220" w:line="360" w:lineRule="auto"/>
      </w:pPr>
      <w:r>
        <w:rPr>
          <w:rFonts w:ascii="Times New Roman" w:hAnsi="Times New Roman" w:eastAsia="黑体"/>
          <w:b/>
          <w:color w:val="000000"/>
          <w:sz w:val="30"/>
        </w:rPr>
        <w:t>1 研究背景与问题提出</w:t>
      </w:r>
    </w:p>
    <w:p>
      <w:pPr>
        <w:spacing w:before="0" w:after="0" w:line="300" w:lineRule="auto"/>
        <w:ind w:firstLine="420"/>
      </w:pPr>
      <w:r>
        <w:rPr>
          <w:rFonts w:ascii="Times New Roman" w:hAnsi="Times New Roman" w:eastAsia="宋体"/>
          <w:b w:val="0"/>
          <w:color w:val="000000"/>
          <w:sz w:val="24"/>
        </w:rPr>
        <w:t>在数字化学习环境中，语言学习者每天都会接触大量单词、例句、语法现象和对话语境。这些材料在产生时通常只是零散数据，若缺少持续组织，就会沉没在聊天记录和临时文件中。</w:t>
      </w:r>
    </w:p>
    <w:p>
      <w:pPr>
        <w:spacing w:before="0" w:after="0" w:line="300" w:lineRule="auto"/>
        <w:ind w:firstLine="420"/>
      </w:pPr>
      <w:r>
        <w:rPr>
          <w:rFonts w:ascii="Times New Roman" w:hAnsi="Times New Roman" w:eastAsia="宋体"/>
          <w:b w:val="0"/>
          <w:color w:val="000000"/>
          <w:sz w:val="24"/>
        </w:rPr>
        <w:t>知识管理课程强调知识的获取、共享、存储和创新。把英语学习系统改造为个人知识管理系统，可以将语言学习从“查一个词、背一个词”的孤立动作，转化为围绕目标能力持续积累知识资产的过程。</w:t>
      </w:r>
    </w:p>
    <w:p>
      <w:pPr>
        <w:spacing w:before="0" w:after="0" w:line="300" w:lineRule="auto"/>
        <w:ind w:firstLine="420"/>
      </w:pPr>
      <w:r>
        <w:rPr>
          <w:rFonts w:ascii="Times New Roman" w:hAnsi="Times New Roman" w:eastAsia="宋体"/>
          <w:b w:val="0"/>
          <w:color w:val="000000"/>
          <w:sz w:val="24"/>
        </w:rPr>
        <w:t>本项目选择雅思备考作为垂直场景，是因为雅思学习高度依赖词汇、语境、表达迁移和自我反思。系统不仅要记录词汇本身，还要记录词汇出现在哪里、学习者是否主动使用过、学习后主观负荷如何，以及下一轮复习计划是什么。</w:t>
      </w:r>
    </w:p>
    <w:p>
      <w:pPr>
        <w:pStyle w:val="ListBullet"/>
        <w:spacing w:after="0" w:line="300" w:lineRule="auto"/>
      </w:pPr>
      <w:r>
        <w:rPr>
          <w:rFonts w:ascii="Times New Roman" w:hAnsi="Times New Roman" w:eastAsia="宋体"/>
          <w:sz w:val="24"/>
        </w:rPr>
        <w:t>研究对象：基于 React 与 Vite 的 LingoLeap 英语学习项目。</w:t>
      </w:r>
    </w:p>
    <w:p>
      <w:pPr>
        <w:pStyle w:val="ListBullet"/>
        <w:spacing w:after="0" w:line="300" w:lineRule="auto"/>
      </w:pPr>
      <w:r>
        <w:rPr>
          <w:rFonts w:ascii="Times New Roman" w:hAnsi="Times New Roman" w:eastAsia="宋体"/>
          <w:sz w:val="24"/>
        </w:rPr>
        <w:t>改造目标：面向雅思备考构建个人语言知识管理系统。</w:t>
      </w:r>
    </w:p>
    <w:p>
      <w:pPr>
        <w:pStyle w:val="ListBullet"/>
        <w:spacing w:after="0" w:line="300" w:lineRule="auto"/>
      </w:pPr>
      <w:r>
        <w:rPr>
          <w:rFonts w:ascii="Times New Roman" w:hAnsi="Times New Roman" w:eastAsia="宋体"/>
          <w:sz w:val="24"/>
        </w:rPr>
        <w:t>交付形态：可运行程序、知识资产看板、Markdown 导出、课程报告与截图证据。</w:t>
      </w:r>
    </w:p>
    <w:p>
      <w:pPr>
        <w:keepNext/>
        <w:spacing w:before="0" w:after="80" w:line="300" w:lineRule="auto"/>
        <w:jc w:val="center"/>
      </w:pPr>
      <w:r>
        <w:rPr>
          <w:rFonts w:ascii="Times New Roman" w:hAnsi="Times New Roman" w:eastAsia="宋体"/>
          <w:b/>
          <w:color w:val="000000"/>
          <w:sz w:val="21"/>
        </w:rPr>
        <w:t>图1-1 语言学习数据向个人知识资产转化的基本思路</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68"/>
        <w:gridCol w:w="2268"/>
        <w:gridCol w:w="2268"/>
        <w:gridCol w:w="2268"/>
      </w:tblGrid>
      <w:tr>
        <w:tc>
          <w:tcPr>
            <w:tcW w:type="dxa" w:w="2340"/>
            <w:vAlign w:val="center"/>
            <w:shd w:fill="E8EEF5"/>
          </w:tcPr>
          <w:p>
            <w:pPr>
              <w:spacing w:after="0" w:line="276" w:lineRule="auto"/>
              <w:jc w:val="center"/>
            </w:pPr>
            <w:r/>
            <w:r>
              <w:rPr>
                <w:rFonts w:ascii="Times New Roman" w:hAnsi="Times New Roman" w:eastAsia="宋体"/>
                <w:b/>
                <w:sz w:val="20"/>
              </w:rPr>
              <w:t>学习输入</w:t>
              <w:br/>
              <w:t>阅读、对话、文本</w:t>
            </w:r>
          </w:p>
        </w:tc>
        <w:tc>
          <w:tcPr>
            <w:tcW w:type="dxa" w:w="2340"/>
            <w:vAlign w:val="center"/>
            <w:shd w:fill="E8EEF5"/>
          </w:tcPr>
          <w:p>
            <w:pPr>
              <w:spacing w:after="0" w:line="276" w:lineRule="auto"/>
              <w:jc w:val="center"/>
            </w:pPr>
            <w:r/>
            <w:r>
              <w:rPr>
                <w:rFonts w:ascii="Times New Roman" w:hAnsi="Times New Roman" w:eastAsia="宋体"/>
                <w:b/>
                <w:sz w:val="20"/>
              </w:rPr>
              <w:t>知识外化</w:t>
              <w:br/>
              <w:t>生词与语境记录</w:t>
            </w:r>
          </w:p>
        </w:tc>
        <w:tc>
          <w:tcPr>
            <w:tcW w:type="dxa" w:w="2340"/>
            <w:vAlign w:val="center"/>
            <w:shd w:fill="E8EEF5"/>
          </w:tcPr>
          <w:p>
            <w:pPr>
              <w:spacing w:after="0" w:line="276" w:lineRule="auto"/>
              <w:jc w:val="center"/>
            </w:pPr>
            <w:r/>
            <w:r>
              <w:rPr>
                <w:rFonts w:ascii="Times New Roman" w:hAnsi="Times New Roman" w:eastAsia="宋体"/>
                <w:b/>
                <w:sz w:val="20"/>
              </w:rPr>
              <w:t>知识组合</w:t>
              <w:br/>
              <w:t>标签、双链、增强卡片</w:t>
            </w:r>
          </w:p>
        </w:tc>
        <w:tc>
          <w:tcPr>
            <w:tcW w:type="dxa" w:w="2340"/>
            <w:vAlign w:val="center"/>
            <w:shd w:fill="E8EEF5"/>
          </w:tcPr>
          <w:p>
            <w:pPr>
              <w:spacing w:after="0" w:line="276" w:lineRule="auto"/>
              <w:jc w:val="center"/>
            </w:pPr>
            <w:r/>
            <w:r>
              <w:rPr>
                <w:rFonts w:ascii="Times New Roman" w:hAnsi="Times New Roman" w:eastAsia="宋体"/>
                <w:b/>
                <w:sz w:val="20"/>
              </w:rPr>
              <w:t>复习内化</w:t>
              <w:br/>
              <w:t>输出、反思、计划</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2 理论基础与文献依据</w:t>
      </w:r>
    </w:p>
    <w:p>
      <w:pPr>
        <w:spacing w:before="0" w:after="0" w:line="300" w:lineRule="auto"/>
        <w:ind w:firstLine="420"/>
      </w:pPr>
      <w:r>
        <w:rPr>
          <w:rFonts w:ascii="Times New Roman" w:hAnsi="Times New Roman" w:eastAsia="宋体"/>
          <w:b w:val="0"/>
          <w:color w:val="000000"/>
          <w:sz w:val="24"/>
        </w:rPr>
        <w:t>DIKW 模型将知识处理划分为数据、信息、知识和智慧四个层级。对于语言学习来说，单独的单词只是数据；词性、释义和例句使其成为信息；带标签、来源语境、复习计划和主动使用痕迹的卡片才更接近可复用知识；基于这些记录调整学习策略，则体现为实践层面的智慧。</w:t>
      </w:r>
    </w:p>
    <w:p>
      <w:pPr>
        <w:spacing w:before="0" w:after="0" w:line="300" w:lineRule="auto"/>
        <w:ind w:firstLine="420"/>
      </w:pPr>
      <w:r>
        <w:rPr>
          <w:rFonts w:ascii="Times New Roman" w:hAnsi="Times New Roman" w:eastAsia="宋体"/>
          <w:b w:val="0"/>
          <w:color w:val="000000"/>
          <w:sz w:val="24"/>
        </w:rPr>
        <w:t>Nonaka 与 Takeuchi 提出的 SECI 模型强调知识在隐性与显性之间循环转换。语言学习中的语感和表达经验属于隐性知识，记录生词和例句是外化，整合标签、同义词、词根和 Markdown 双链是组合化，复习和再次输出则推动内化。</w:t>
      </w:r>
    </w:p>
    <w:p>
      <w:pPr>
        <w:spacing w:before="0" w:after="0" w:line="300" w:lineRule="auto"/>
        <w:ind w:firstLine="420"/>
      </w:pPr>
      <w:r>
        <w:rPr>
          <w:rFonts w:ascii="Times New Roman" w:hAnsi="Times New Roman" w:eastAsia="宋体"/>
          <w:b w:val="0"/>
          <w:color w:val="000000"/>
          <w:sz w:val="24"/>
        </w:rPr>
        <w:t>词汇习得研究中，Nation 强调词汇知识包含 form、meaning、use；Laufer 与 Hulstijn 的投入量假说指出任务需求、搜索和评价会影响词汇保持。系统的语境增强模块正是围绕这些维度补充同义表达、构词提示、词族和例句。</w:t>
      </w:r>
    </w:p>
    <w:p>
      <w:pPr>
        <w:keepNext/>
        <w:spacing w:before="0" w:after="80" w:line="300" w:lineRule="auto"/>
        <w:jc w:val="center"/>
      </w:pPr>
      <w:r>
        <w:rPr>
          <w:rFonts w:ascii="Times New Roman" w:hAnsi="Times New Roman" w:eastAsia="宋体"/>
          <w:b/>
          <w:color w:val="000000"/>
          <w:sz w:val="21"/>
        </w:rPr>
        <w:t>表2-1 理论基础与系统功能的对应关系</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1944"/>
            <w:vAlign w:val="center"/>
            <w:shd w:fill="F2F4F7"/>
          </w:tcPr>
          <w:p>
            <w:pPr>
              <w:spacing w:after="0" w:line="276" w:lineRule="auto"/>
              <w:jc w:val="center"/>
            </w:pPr>
            <w:r/>
            <w:r>
              <w:rPr>
                <w:rFonts w:ascii="Times New Roman" w:hAnsi="Times New Roman" w:eastAsia="宋体"/>
                <w:b/>
                <w:sz w:val="21"/>
              </w:rPr>
              <w:t>理论</w:t>
            </w:r>
          </w:p>
        </w:tc>
        <w:tc>
          <w:tcPr>
            <w:tcW w:type="dxa" w:w="3888"/>
            <w:vAlign w:val="center"/>
            <w:shd w:fill="F2F4F7"/>
          </w:tcPr>
          <w:p>
            <w:pPr>
              <w:spacing w:after="0" w:line="276" w:lineRule="auto"/>
              <w:jc w:val="center"/>
            </w:pPr>
            <w:r/>
            <w:r>
              <w:rPr>
                <w:rFonts w:ascii="Times New Roman" w:hAnsi="Times New Roman" w:eastAsia="宋体"/>
                <w:b/>
                <w:sz w:val="21"/>
              </w:rPr>
              <w:t>系统映射</w:t>
            </w:r>
          </w:p>
        </w:tc>
        <w:tc>
          <w:tcPr>
            <w:tcW w:type="dxa" w:w="3528"/>
            <w:vAlign w:val="center"/>
            <w:shd w:fill="F2F4F7"/>
          </w:tcPr>
          <w:p>
            <w:pPr>
              <w:spacing w:after="0" w:line="276" w:lineRule="auto"/>
              <w:jc w:val="center"/>
            </w:pPr>
            <w:r/>
            <w:r>
              <w:rPr>
                <w:rFonts w:ascii="Times New Roman" w:hAnsi="Times New Roman" w:eastAsia="宋体"/>
                <w:b/>
                <w:sz w:val="21"/>
              </w:rPr>
              <w:t>在报告中的作用</w:t>
            </w:r>
          </w:p>
        </w:tc>
      </w:tr>
      <w:tr>
        <w:tc>
          <w:tcPr>
            <w:tcW w:type="dxa" w:w="3024"/>
            <w:vAlign w:val="center"/>
          </w:tcPr>
          <w:p>
            <w:pPr>
              <w:spacing w:after="0" w:line="276" w:lineRule="auto"/>
              <w:jc w:val="center"/>
            </w:pPr>
            <w:r/>
            <w:r>
              <w:rPr>
                <w:rFonts w:ascii="Times New Roman" w:hAnsi="Times New Roman" w:eastAsia="宋体"/>
                <w:b w:val="0"/>
                <w:sz w:val="21"/>
              </w:rPr>
              <w:t>DIKW</w:t>
            </w:r>
          </w:p>
        </w:tc>
        <w:tc>
          <w:tcPr>
            <w:tcW w:type="dxa" w:w="3024"/>
            <w:vAlign w:val="center"/>
          </w:tcPr>
          <w:p>
            <w:pPr>
              <w:spacing w:after="0" w:line="276" w:lineRule="auto"/>
              <w:jc w:val="left"/>
            </w:pPr>
            <w:r/>
            <w:r>
              <w:rPr>
                <w:rFonts w:ascii="Times New Roman" w:hAnsi="Times New Roman" w:eastAsia="宋体"/>
                <w:b w:val="0"/>
                <w:sz w:val="21"/>
              </w:rPr>
              <w:t>单词、释义、语境、复习计划逐层加工</w:t>
            </w:r>
          </w:p>
        </w:tc>
        <w:tc>
          <w:tcPr>
            <w:tcW w:type="dxa" w:w="3024"/>
            <w:vAlign w:val="center"/>
          </w:tcPr>
          <w:p>
            <w:pPr>
              <w:spacing w:after="0" w:line="276" w:lineRule="auto"/>
              <w:jc w:val="left"/>
            </w:pPr>
            <w:r/>
            <w:r>
              <w:rPr>
                <w:rFonts w:ascii="Times New Roman" w:hAnsi="Times New Roman" w:eastAsia="宋体"/>
                <w:b w:val="0"/>
                <w:sz w:val="21"/>
              </w:rPr>
              <w:t>解释知识层级</w:t>
            </w:r>
          </w:p>
        </w:tc>
      </w:tr>
      <w:tr>
        <w:tc>
          <w:tcPr>
            <w:tcW w:type="dxa" w:w="3024"/>
            <w:vAlign w:val="center"/>
          </w:tcPr>
          <w:p>
            <w:pPr>
              <w:spacing w:after="0" w:line="276" w:lineRule="auto"/>
              <w:jc w:val="center"/>
            </w:pPr>
            <w:r/>
            <w:r>
              <w:rPr>
                <w:rFonts w:ascii="Times New Roman" w:hAnsi="Times New Roman" w:eastAsia="宋体"/>
                <w:b w:val="0"/>
                <w:sz w:val="21"/>
              </w:rPr>
              <w:t>SECI</w:t>
            </w:r>
          </w:p>
        </w:tc>
        <w:tc>
          <w:tcPr>
            <w:tcW w:type="dxa" w:w="3024"/>
            <w:vAlign w:val="center"/>
          </w:tcPr>
          <w:p>
            <w:pPr>
              <w:spacing w:after="0" w:line="276" w:lineRule="auto"/>
              <w:jc w:val="left"/>
            </w:pPr>
            <w:r/>
            <w:r>
              <w:rPr>
                <w:rFonts w:ascii="Times New Roman" w:hAnsi="Times New Roman" w:eastAsia="宋体"/>
                <w:b w:val="0"/>
                <w:sz w:val="21"/>
              </w:rPr>
              <w:t>输入、外化、组合、内化形成循环</w:t>
            </w:r>
          </w:p>
        </w:tc>
        <w:tc>
          <w:tcPr>
            <w:tcW w:type="dxa" w:w="3024"/>
            <w:vAlign w:val="center"/>
          </w:tcPr>
          <w:p>
            <w:pPr>
              <w:spacing w:after="0" w:line="276" w:lineRule="auto"/>
              <w:jc w:val="left"/>
            </w:pPr>
            <w:r/>
            <w:r>
              <w:rPr>
                <w:rFonts w:ascii="Times New Roman" w:hAnsi="Times New Roman" w:eastAsia="宋体"/>
                <w:b w:val="0"/>
                <w:sz w:val="21"/>
              </w:rPr>
              <w:t>解释知识创造过程</w:t>
            </w:r>
          </w:p>
        </w:tc>
      </w:tr>
      <w:tr>
        <w:tc>
          <w:tcPr>
            <w:tcW w:type="dxa" w:w="3024"/>
            <w:vAlign w:val="center"/>
          </w:tcPr>
          <w:p>
            <w:pPr>
              <w:spacing w:after="0" w:line="276" w:lineRule="auto"/>
              <w:jc w:val="center"/>
            </w:pPr>
            <w:r/>
            <w:r>
              <w:rPr>
                <w:rFonts w:ascii="Times New Roman" w:hAnsi="Times New Roman" w:eastAsia="宋体"/>
                <w:b w:val="0"/>
                <w:sz w:val="21"/>
              </w:rPr>
              <w:t>词汇知识框架</w:t>
            </w:r>
          </w:p>
        </w:tc>
        <w:tc>
          <w:tcPr>
            <w:tcW w:type="dxa" w:w="3024"/>
            <w:vAlign w:val="center"/>
          </w:tcPr>
          <w:p>
            <w:pPr>
              <w:spacing w:after="0" w:line="276" w:lineRule="auto"/>
              <w:jc w:val="left"/>
            </w:pPr>
            <w:r/>
            <w:r>
              <w:rPr>
                <w:rFonts w:ascii="Times New Roman" w:hAnsi="Times New Roman" w:eastAsia="宋体"/>
                <w:b w:val="0"/>
                <w:sz w:val="21"/>
              </w:rPr>
              <w:t>词形、词义、词性、语境证据</w:t>
            </w:r>
          </w:p>
        </w:tc>
        <w:tc>
          <w:tcPr>
            <w:tcW w:type="dxa" w:w="3024"/>
            <w:vAlign w:val="center"/>
          </w:tcPr>
          <w:p>
            <w:pPr>
              <w:spacing w:after="0" w:line="276" w:lineRule="auto"/>
              <w:jc w:val="left"/>
            </w:pPr>
            <w:r/>
            <w:r>
              <w:rPr>
                <w:rFonts w:ascii="Times New Roman" w:hAnsi="Times New Roman" w:eastAsia="宋体"/>
                <w:b w:val="0"/>
                <w:sz w:val="21"/>
              </w:rPr>
              <w:t>定义卡片完整率</w:t>
            </w:r>
          </w:p>
        </w:tc>
      </w:tr>
      <w:tr>
        <w:tc>
          <w:tcPr>
            <w:tcW w:type="dxa" w:w="3024"/>
            <w:vAlign w:val="center"/>
          </w:tcPr>
          <w:p>
            <w:pPr>
              <w:spacing w:after="0" w:line="276" w:lineRule="auto"/>
              <w:jc w:val="center"/>
            </w:pPr>
            <w:r/>
            <w:r>
              <w:rPr>
                <w:rFonts w:ascii="Times New Roman" w:hAnsi="Times New Roman" w:eastAsia="宋体"/>
                <w:b w:val="0"/>
                <w:sz w:val="21"/>
              </w:rPr>
              <w:t>学习分析</w:t>
            </w:r>
          </w:p>
        </w:tc>
        <w:tc>
          <w:tcPr>
            <w:tcW w:type="dxa" w:w="3024"/>
            <w:vAlign w:val="center"/>
          </w:tcPr>
          <w:p>
            <w:pPr>
              <w:spacing w:after="0" w:line="276" w:lineRule="auto"/>
              <w:jc w:val="left"/>
            </w:pPr>
            <w:r/>
            <w:r>
              <w:rPr>
                <w:rFonts w:ascii="Times New Roman" w:hAnsi="Times New Roman" w:eastAsia="宋体"/>
                <w:b w:val="0"/>
                <w:sz w:val="21"/>
              </w:rPr>
              <w:t>只统计可观测日志和自评记录</w:t>
            </w:r>
          </w:p>
        </w:tc>
        <w:tc>
          <w:tcPr>
            <w:tcW w:type="dxa" w:w="3024"/>
            <w:vAlign w:val="center"/>
          </w:tcPr>
          <w:p>
            <w:pPr>
              <w:spacing w:after="0" w:line="276" w:lineRule="auto"/>
              <w:jc w:val="left"/>
            </w:pPr>
            <w:r/>
            <w:r>
              <w:rPr>
                <w:rFonts w:ascii="Times New Roman" w:hAnsi="Times New Roman" w:eastAsia="宋体"/>
                <w:b w:val="0"/>
                <w:sz w:val="21"/>
              </w:rPr>
              <w:t>约束指标口径</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2.1 自我调节学习与认知负荷</w:t>
      </w:r>
    </w:p>
    <w:p>
      <w:pPr>
        <w:spacing w:before="0" w:after="0" w:line="300" w:lineRule="auto"/>
        <w:ind w:firstLine="420"/>
      </w:pPr>
      <w:r>
        <w:rPr>
          <w:rFonts w:ascii="Times New Roman" w:hAnsi="Times New Roman" w:eastAsia="宋体"/>
          <w:b w:val="0"/>
          <w:color w:val="000000"/>
          <w:sz w:val="24"/>
        </w:rPr>
        <w:t>自我调节学习理论强调学习者需要经历目标设定、过程监控、策略调整和结果反思。仅记录词汇数量无法说明学习者是否知道自己下一步应该做什么，因此系统增加了“学习反思/自评记录”模块。</w:t>
      </w:r>
    </w:p>
    <w:p>
      <w:pPr>
        <w:spacing w:before="0" w:after="0" w:line="300" w:lineRule="auto"/>
        <w:ind w:firstLine="420"/>
      </w:pPr>
      <w:r>
        <w:rPr>
          <w:rFonts w:ascii="Times New Roman" w:hAnsi="Times New Roman" w:eastAsia="宋体"/>
          <w:b w:val="0"/>
          <w:color w:val="000000"/>
          <w:sz w:val="24"/>
        </w:rPr>
        <w:t>认知负荷理论提醒我们，学习任务过难或界面信息过载都会影响学习效果。由于认知负荷和学习焦虑无法从词汇数量直接推断，系统采用 1-5 分自评方式采集主观状态，并将其作为过程性指标，而不是最终成绩指标。</w:t>
      </w:r>
    </w:p>
    <w:p>
      <w:pPr>
        <w:spacing w:before="0" w:after="0" w:line="300" w:lineRule="auto"/>
        <w:ind w:firstLine="420"/>
      </w:pPr>
      <w:r>
        <w:rPr>
          <w:rFonts w:ascii="Times New Roman" w:hAnsi="Times New Roman" w:eastAsia="宋体"/>
          <w:b w:val="0"/>
          <w:color w:val="000000"/>
          <w:sz w:val="24"/>
        </w:rPr>
        <w:t>这种设计使报告可以明确区分客观日志与主观自评：词汇卡片、语境暴露和主动使用来自系统日志；认知负荷、焦虑和信心来自学习者填写；主动回忆成功率和间隔复习则仍然需要未来测验数据。</w:t>
      </w:r>
    </w:p>
    <w:p>
      <w:pPr>
        <w:keepNext/>
        <w:spacing w:before="0" w:after="80" w:line="300" w:lineRule="auto"/>
        <w:jc w:val="center"/>
      </w:pPr>
      <w:r>
        <w:rPr>
          <w:rFonts w:ascii="Times New Roman" w:hAnsi="Times New Roman" w:eastAsia="宋体"/>
          <w:b/>
          <w:color w:val="000000"/>
          <w:sz w:val="21"/>
        </w:rPr>
        <w:t>图2-1 学习反思模块对应的自我调节闭环</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68"/>
        <w:gridCol w:w="2268"/>
        <w:gridCol w:w="2268"/>
        <w:gridCol w:w="2268"/>
      </w:tblGrid>
      <w:tr>
        <w:tc>
          <w:tcPr>
            <w:tcW w:type="dxa" w:w="2340"/>
            <w:vAlign w:val="center"/>
            <w:shd w:fill="E6FFFA"/>
          </w:tcPr>
          <w:p>
            <w:pPr>
              <w:spacing w:after="0" w:line="276" w:lineRule="auto"/>
              <w:jc w:val="center"/>
            </w:pPr>
            <w:r/>
            <w:r>
              <w:rPr>
                <w:rFonts w:ascii="Times New Roman" w:hAnsi="Times New Roman" w:eastAsia="宋体"/>
                <w:b/>
                <w:sz w:val="20"/>
              </w:rPr>
              <w:t>计划</w:t>
              <w:br/>
              <w:t>下一步学习目标</w:t>
            </w:r>
          </w:p>
        </w:tc>
        <w:tc>
          <w:tcPr>
            <w:tcW w:type="dxa" w:w="2340"/>
            <w:vAlign w:val="center"/>
            <w:shd w:fill="E6FFFA"/>
          </w:tcPr>
          <w:p>
            <w:pPr>
              <w:spacing w:after="0" w:line="276" w:lineRule="auto"/>
              <w:jc w:val="center"/>
            </w:pPr>
            <w:r/>
            <w:r>
              <w:rPr>
                <w:rFonts w:ascii="Times New Roman" w:hAnsi="Times New Roman" w:eastAsia="宋体"/>
                <w:b/>
                <w:sz w:val="20"/>
              </w:rPr>
              <w:t>监控</w:t>
              <w:br/>
              <w:t>负荷、焦虑、信心</w:t>
            </w:r>
          </w:p>
        </w:tc>
        <w:tc>
          <w:tcPr>
            <w:tcW w:type="dxa" w:w="2340"/>
            <w:vAlign w:val="center"/>
            <w:shd w:fill="E6FFFA"/>
          </w:tcPr>
          <w:p>
            <w:pPr>
              <w:spacing w:after="0" w:line="276" w:lineRule="auto"/>
              <w:jc w:val="center"/>
            </w:pPr>
            <w:r/>
            <w:r>
              <w:rPr>
                <w:rFonts w:ascii="Times New Roman" w:hAnsi="Times New Roman" w:eastAsia="宋体"/>
                <w:b/>
                <w:sz w:val="20"/>
              </w:rPr>
              <w:t>调整</w:t>
              <w:br/>
              <w:t>识别待强化节点</w:t>
            </w:r>
          </w:p>
        </w:tc>
        <w:tc>
          <w:tcPr>
            <w:tcW w:type="dxa" w:w="2340"/>
            <w:vAlign w:val="center"/>
            <w:shd w:fill="E6FFFA"/>
          </w:tcPr>
          <w:p>
            <w:pPr>
              <w:spacing w:after="0" w:line="276" w:lineRule="auto"/>
              <w:jc w:val="center"/>
            </w:pPr>
            <w:r/>
            <w:r>
              <w:rPr>
                <w:rFonts w:ascii="Times New Roman" w:hAnsi="Times New Roman" w:eastAsia="宋体"/>
                <w:b/>
                <w:sz w:val="20"/>
              </w:rPr>
              <w:t>反思</w:t>
              <w:br/>
              <w:t>导出并复盘</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3 研究方法与数据来源</w:t>
      </w:r>
    </w:p>
    <w:p>
      <w:pPr>
        <w:spacing w:before="0" w:after="0" w:line="300" w:lineRule="auto"/>
        <w:ind w:firstLine="420"/>
      </w:pPr>
      <w:r>
        <w:rPr>
          <w:rFonts w:ascii="Times New Roman" w:hAnsi="Times New Roman" w:eastAsia="宋体"/>
          <w:b w:val="0"/>
          <w:color w:val="000000"/>
          <w:sz w:val="24"/>
        </w:rPr>
        <w:t>本项目采用设计型研究与轻量学习分析结合的方法。设计型研究关注在真实场景中持续改造系统，并通过迭代验证功能是否服务于学习目标；学习分析关注从学习行为数据中提取可解释指标。</w:t>
      </w:r>
    </w:p>
    <w:p>
      <w:pPr>
        <w:spacing w:before="0" w:after="0" w:line="300" w:lineRule="auto"/>
        <w:ind w:firstLine="420"/>
      </w:pPr>
      <w:r>
        <w:rPr>
          <w:rFonts w:ascii="Times New Roman" w:hAnsi="Times New Roman" w:eastAsia="宋体"/>
          <w:b w:val="0"/>
          <w:color w:val="000000"/>
          <w:sz w:val="24"/>
        </w:rPr>
        <w:t>本项目不追求一次性重写系统，而是遵循低风险、可截图、可回退的原则，在现有侧边栏中增加知识资产看板、语境自动化增强、学习反思自评和 Markdown 导出。</w:t>
      </w:r>
    </w:p>
    <w:p>
      <w:pPr>
        <w:spacing w:before="0" w:after="0" w:line="300" w:lineRule="auto"/>
        <w:ind w:firstLine="420"/>
      </w:pPr>
      <w:r>
        <w:rPr>
          <w:rFonts w:ascii="Times New Roman" w:hAnsi="Times New Roman" w:eastAsia="宋体"/>
          <w:b w:val="0"/>
          <w:color w:val="000000"/>
          <w:sz w:val="24"/>
        </w:rPr>
        <w:t>数据来源全部来自本地程序可以观察或用户主动输入的记录。系统不会把没有证据的数据包装为结果，也不会根据词汇数量直接声称学习者已经掌握某个词。</w:t>
      </w:r>
    </w:p>
    <w:p>
      <w:pPr>
        <w:keepNext/>
        <w:spacing w:before="0" w:after="80" w:line="300" w:lineRule="auto"/>
        <w:jc w:val="center"/>
      </w:pPr>
      <w:r>
        <w:rPr>
          <w:rFonts w:ascii="Times New Roman" w:hAnsi="Times New Roman" w:eastAsia="宋体"/>
          <w:b/>
          <w:color w:val="000000"/>
          <w:sz w:val="21"/>
        </w:rPr>
        <w:t>表3-1 研究数据来源与指标边界</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68"/>
        <w:gridCol w:w="2268"/>
        <w:gridCol w:w="2268"/>
        <w:gridCol w:w="2268"/>
      </w:tblGrid>
      <w:tr>
        <w:tc>
          <w:tcPr>
            <w:tcW w:type="dxa" w:w="1656"/>
            <w:vAlign w:val="center"/>
            <w:shd w:fill="F2F4F7"/>
          </w:tcPr>
          <w:p>
            <w:pPr>
              <w:spacing w:after="0" w:line="276" w:lineRule="auto"/>
              <w:jc w:val="center"/>
            </w:pPr>
            <w:r/>
            <w:r>
              <w:rPr>
                <w:rFonts w:ascii="Times New Roman" w:hAnsi="Times New Roman" w:eastAsia="宋体"/>
                <w:b/>
                <w:sz w:val="21"/>
              </w:rPr>
              <w:t>数据类型</w:t>
            </w:r>
          </w:p>
        </w:tc>
        <w:tc>
          <w:tcPr>
            <w:tcW w:type="dxa" w:w="2448"/>
            <w:vAlign w:val="center"/>
            <w:shd w:fill="F2F4F7"/>
          </w:tcPr>
          <w:p>
            <w:pPr>
              <w:spacing w:after="0" w:line="276" w:lineRule="auto"/>
              <w:jc w:val="center"/>
            </w:pPr>
            <w:r/>
            <w:r>
              <w:rPr>
                <w:rFonts w:ascii="Times New Roman" w:hAnsi="Times New Roman" w:eastAsia="宋体"/>
                <w:b/>
                <w:sz w:val="21"/>
              </w:rPr>
              <w:t>来源</w:t>
            </w:r>
          </w:p>
        </w:tc>
        <w:tc>
          <w:tcPr>
            <w:tcW w:type="dxa" w:w="2880"/>
            <w:vAlign w:val="center"/>
            <w:shd w:fill="F2F4F7"/>
          </w:tcPr>
          <w:p>
            <w:pPr>
              <w:spacing w:after="0" w:line="276" w:lineRule="auto"/>
              <w:jc w:val="center"/>
            </w:pPr>
            <w:r/>
            <w:r>
              <w:rPr>
                <w:rFonts w:ascii="Times New Roman" w:hAnsi="Times New Roman" w:eastAsia="宋体"/>
                <w:b/>
                <w:sz w:val="21"/>
              </w:rPr>
              <w:t>可支持的指标</w:t>
            </w:r>
          </w:p>
        </w:tc>
        <w:tc>
          <w:tcPr>
            <w:tcW w:type="dxa" w:w="2376"/>
            <w:vAlign w:val="center"/>
            <w:shd w:fill="F2F4F7"/>
          </w:tcPr>
          <w:p>
            <w:pPr>
              <w:spacing w:after="0" w:line="276" w:lineRule="auto"/>
              <w:jc w:val="center"/>
            </w:pPr>
            <w:r/>
            <w:r>
              <w:rPr>
                <w:rFonts w:ascii="Times New Roman" w:hAnsi="Times New Roman" w:eastAsia="宋体"/>
                <w:b/>
                <w:sz w:val="21"/>
              </w:rPr>
              <w:t>边界</w:t>
            </w:r>
          </w:p>
        </w:tc>
      </w:tr>
      <w:tr>
        <w:tc>
          <w:tcPr>
            <w:tcW w:type="dxa" w:w="2268"/>
            <w:vAlign w:val="center"/>
          </w:tcPr>
          <w:p>
            <w:pPr>
              <w:spacing w:after="0" w:line="276" w:lineRule="auto"/>
              <w:jc w:val="center"/>
            </w:pPr>
            <w:r/>
            <w:r>
              <w:rPr>
                <w:rFonts w:ascii="Times New Roman" w:hAnsi="Times New Roman" w:eastAsia="宋体"/>
                <w:b w:val="0"/>
                <w:sz w:val="21"/>
              </w:rPr>
              <w:t>词汇卡片</w:t>
            </w:r>
          </w:p>
        </w:tc>
        <w:tc>
          <w:tcPr>
            <w:tcW w:type="dxa" w:w="2268"/>
            <w:vAlign w:val="center"/>
          </w:tcPr>
          <w:p>
            <w:pPr>
              <w:spacing w:after="0" w:line="276" w:lineRule="auto"/>
              <w:jc w:val="left"/>
            </w:pPr>
            <w:r/>
            <w:r>
              <w:rPr>
                <w:rFonts w:ascii="Times New Roman" w:hAnsi="Times New Roman" w:eastAsia="宋体"/>
                <w:b w:val="0"/>
                <w:sz w:val="21"/>
              </w:rPr>
              <w:t>vocabulary 本地状态</w:t>
            </w:r>
          </w:p>
        </w:tc>
        <w:tc>
          <w:tcPr>
            <w:tcW w:type="dxa" w:w="2268"/>
            <w:vAlign w:val="center"/>
          </w:tcPr>
          <w:p>
            <w:pPr>
              <w:spacing w:after="0" w:line="276" w:lineRule="auto"/>
              <w:jc w:val="left"/>
            </w:pPr>
            <w:r/>
            <w:r>
              <w:rPr>
                <w:rFonts w:ascii="Times New Roman" w:hAnsi="Times New Roman" w:eastAsia="宋体"/>
                <w:b w:val="0"/>
                <w:sz w:val="21"/>
              </w:rPr>
              <w:t>词汇卡片数、完整率</w:t>
            </w:r>
          </w:p>
        </w:tc>
        <w:tc>
          <w:tcPr>
            <w:tcW w:type="dxa" w:w="2268"/>
            <w:vAlign w:val="center"/>
          </w:tcPr>
          <w:p>
            <w:pPr>
              <w:spacing w:after="0" w:line="276" w:lineRule="auto"/>
              <w:jc w:val="left"/>
            </w:pPr>
            <w:r/>
            <w:r>
              <w:rPr>
                <w:rFonts w:ascii="Times New Roman" w:hAnsi="Times New Roman" w:eastAsia="宋体"/>
                <w:b w:val="0"/>
                <w:sz w:val="21"/>
              </w:rPr>
              <w:t>不能代表掌握度</w:t>
            </w:r>
          </w:p>
        </w:tc>
      </w:tr>
      <w:tr>
        <w:tc>
          <w:tcPr>
            <w:tcW w:type="dxa" w:w="2268"/>
            <w:vAlign w:val="center"/>
          </w:tcPr>
          <w:p>
            <w:pPr>
              <w:spacing w:after="0" w:line="276" w:lineRule="auto"/>
              <w:jc w:val="center"/>
            </w:pPr>
            <w:r/>
            <w:r>
              <w:rPr>
                <w:rFonts w:ascii="Times New Roman" w:hAnsi="Times New Roman" w:eastAsia="宋体"/>
                <w:b w:val="0"/>
                <w:sz w:val="21"/>
              </w:rPr>
              <w:t>历史会话</w:t>
            </w:r>
          </w:p>
        </w:tc>
        <w:tc>
          <w:tcPr>
            <w:tcW w:type="dxa" w:w="2268"/>
            <w:vAlign w:val="center"/>
          </w:tcPr>
          <w:p>
            <w:pPr>
              <w:spacing w:after="0" w:line="276" w:lineRule="auto"/>
              <w:jc w:val="left"/>
            </w:pPr>
            <w:r/>
            <w:r>
              <w:rPr>
                <w:rFonts w:ascii="Times New Roman" w:hAnsi="Times New Roman" w:eastAsia="宋体"/>
                <w:b w:val="0"/>
                <w:sz w:val="21"/>
              </w:rPr>
              <w:t>聊天 session 与消息</w:t>
            </w:r>
          </w:p>
        </w:tc>
        <w:tc>
          <w:tcPr>
            <w:tcW w:type="dxa" w:w="2268"/>
            <w:vAlign w:val="center"/>
          </w:tcPr>
          <w:p>
            <w:pPr>
              <w:spacing w:after="0" w:line="276" w:lineRule="auto"/>
              <w:jc w:val="left"/>
            </w:pPr>
            <w:r/>
            <w:r>
              <w:rPr>
                <w:rFonts w:ascii="Times New Roman" w:hAnsi="Times New Roman" w:eastAsia="宋体"/>
                <w:b w:val="0"/>
                <w:sz w:val="21"/>
              </w:rPr>
              <w:t>语境暴露、会话深度</w:t>
            </w:r>
          </w:p>
        </w:tc>
        <w:tc>
          <w:tcPr>
            <w:tcW w:type="dxa" w:w="2268"/>
            <w:vAlign w:val="center"/>
          </w:tcPr>
          <w:p>
            <w:pPr>
              <w:spacing w:after="0" w:line="276" w:lineRule="auto"/>
              <w:jc w:val="left"/>
            </w:pPr>
            <w:r/>
            <w:r>
              <w:rPr>
                <w:rFonts w:ascii="Times New Roman" w:hAnsi="Times New Roman" w:eastAsia="宋体"/>
                <w:b w:val="0"/>
                <w:sz w:val="21"/>
              </w:rPr>
              <w:t>只能说明出现过</w:t>
            </w:r>
          </w:p>
        </w:tc>
      </w:tr>
      <w:tr>
        <w:tc>
          <w:tcPr>
            <w:tcW w:type="dxa" w:w="2268"/>
            <w:vAlign w:val="center"/>
          </w:tcPr>
          <w:p>
            <w:pPr>
              <w:spacing w:after="0" w:line="276" w:lineRule="auto"/>
              <w:jc w:val="center"/>
            </w:pPr>
            <w:r/>
            <w:r>
              <w:rPr>
                <w:rFonts w:ascii="Times New Roman" w:hAnsi="Times New Roman" w:eastAsia="宋体"/>
                <w:b w:val="0"/>
                <w:sz w:val="21"/>
              </w:rPr>
              <w:t>用户消息</w:t>
            </w:r>
          </w:p>
        </w:tc>
        <w:tc>
          <w:tcPr>
            <w:tcW w:type="dxa" w:w="2268"/>
            <w:vAlign w:val="center"/>
          </w:tcPr>
          <w:p>
            <w:pPr>
              <w:spacing w:after="0" w:line="276" w:lineRule="auto"/>
              <w:jc w:val="left"/>
            </w:pPr>
            <w:r/>
            <w:r>
              <w:rPr>
                <w:rFonts w:ascii="Times New Roman" w:hAnsi="Times New Roman" w:eastAsia="宋体"/>
                <w:b w:val="0"/>
                <w:sz w:val="21"/>
              </w:rPr>
              <w:t>role 为 user 的文本</w:t>
            </w:r>
          </w:p>
        </w:tc>
        <w:tc>
          <w:tcPr>
            <w:tcW w:type="dxa" w:w="2268"/>
            <w:vAlign w:val="center"/>
          </w:tcPr>
          <w:p>
            <w:pPr>
              <w:spacing w:after="0" w:line="276" w:lineRule="auto"/>
              <w:jc w:val="left"/>
            </w:pPr>
            <w:r/>
            <w:r>
              <w:rPr>
                <w:rFonts w:ascii="Times New Roman" w:hAnsi="Times New Roman" w:eastAsia="宋体"/>
                <w:b w:val="0"/>
                <w:sz w:val="21"/>
              </w:rPr>
              <w:t>主动使用事件</w:t>
            </w:r>
          </w:p>
        </w:tc>
        <w:tc>
          <w:tcPr>
            <w:tcW w:type="dxa" w:w="2268"/>
            <w:vAlign w:val="center"/>
          </w:tcPr>
          <w:p>
            <w:pPr>
              <w:spacing w:after="0" w:line="276" w:lineRule="auto"/>
              <w:jc w:val="left"/>
            </w:pPr>
            <w:r/>
            <w:r>
              <w:rPr>
                <w:rFonts w:ascii="Times New Roman" w:hAnsi="Times New Roman" w:eastAsia="宋体"/>
                <w:b w:val="0"/>
                <w:sz w:val="21"/>
              </w:rPr>
              <w:t>不能判断使用质量</w:t>
            </w:r>
          </w:p>
        </w:tc>
      </w:tr>
      <w:tr>
        <w:tc>
          <w:tcPr>
            <w:tcW w:type="dxa" w:w="2268"/>
            <w:vAlign w:val="center"/>
          </w:tcPr>
          <w:p>
            <w:pPr>
              <w:spacing w:after="0" w:line="276" w:lineRule="auto"/>
              <w:jc w:val="center"/>
            </w:pPr>
            <w:r/>
            <w:r>
              <w:rPr>
                <w:rFonts w:ascii="Times New Roman" w:hAnsi="Times New Roman" w:eastAsia="宋体"/>
                <w:b w:val="0"/>
                <w:sz w:val="21"/>
              </w:rPr>
              <w:t>自评记录</w:t>
            </w:r>
          </w:p>
        </w:tc>
        <w:tc>
          <w:tcPr>
            <w:tcW w:type="dxa" w:w="2268"/>
            <w:vAlign w:val="center"/>
          </w:tcPr>
          <w:p>
            <w:pPr>
              <w:spacing w:after="0" w:line="276" w:lineRule="auto"/>
              <w:jc w:val="left"/>
            </w:pPr>
            <w:r/>
            <w:r>
              <w:rPr>
                <w:rFonts w:ascii="Times New Roman" w:hAnsi="Times New Roman" w:eastAsia="宋体"/>
                <w:b w:val="0"/>
                <w:sz w:val="21"/>
              </w:rPr>
              <w:t>学习反思模块</w:t>
            </w:r>
          </w:p>
        </w:tc>
        <w:tc>
          <w:tcPr>
            <w:tcW w:type="dxa" w:w="2268"/>
            <w:vAlign w:val="center"/>
          </w:tcPr>
          <w:p>
            <w:pPr>
              <w:spacing w:after="0" w:line="276" w:lineRule="auto"/>
              <w:jc w:val="left"/>
            </w:pPr>
            <w:r/>
            <w:r>
              <w:rPr>
                <w:rFonts w:ascii="Times New Roman" w:hAnsi="Times New Roman" w:eastAsia="宋体"/>
                <w:b w:val="0"/>
                <w:sz w:val="21"/>
              </w:rPr>
              <w:t>负荷、焦虑、信心</w:t>
            </w:r>
          </w:p>
        </w:tc>
        <w:tc>
          <w:tcPr>
            <w:tcW w:type="dxa" w:w="2268"/>
            <w:vAlign w:val="center"/>
          </w:tcPr>
          <w:p>
            <w:pPr>
              <w:spacing w:after="0" w:line="276" w:lineRule="auto"/>
              <w:jc w:val="left"/>
            </w:pPr>
            <w:r/>
            <w:r>
              <w:rPr>
                <w:rFonts w:ascii="Times New Roman" w:hAnsi="Times New Roman" w:eastAsia="宋体"/>
                <w:b w:val="0"/>
                <w:sz w:val="21"/>
              </w:rPr>
              <w:t>主观过程指标</w:t>
            </w:r>
          </w:p>
        </w:tc>
      </w:tr>
      <w:tr>
        <w:tc>
          <w:tcPr>
            <w:tcW w:type="dxa" w:w="2268"/>
            <w:vAlign w:val="center"/>
          </w:tcPr>
          <w:p>
            <w:pPr>
              <w:spacing w:after="0" w:line="276" w:lineRule="auto"/>
              <w:jc w:val="center"/>
            </w:pPr>
            <w:r/>
            <w:r>
              <w:rPr>
                <w:rFonts w:ascii="Times New Roman" w:hAnsi="Times New Roman" w:eastAsia="宋体"/>
                <w:b w:val="0"/>
                <w:sz w:val="21"/>
              </w:rPr>
              <w:t>导出文件</w:t>
            </w:r>
          </w:p>
        </w:tc>
        <w:tc>
          <w:tcPr>
            <w:tcW w:type="dxa" w:w="2268"/>
            <w:vAlign w:val="center"/>
          </w:tcPr>
          <w:p>
            <w:pPr>
              <w:spacing w:after="0" w:line="276" w:lineRule="auto"/>
              <w:jc w:val="left"/>
            </w:pPr>
            <w:r/>
            <w:r>
              <w:rPr>
                <w:rFonts w:ascii="Times New Roman" w:hAnsi="Times New Roman" w:eastAsia="宋体"/>
                <w:b w:val="0"/>
                <w:sz w:val="21"/>
              </w:rPr>
              <w:t>Markdown 下载</w:t>
            </w:r>
          </w:p>
        </w:tc>
        <w:tc>
          <w:tcPr>
            <w:tcW w:type="dxa" w:w="2268"/>
            <w:vAlign w:val="center"/>
          </w:tcPr>
          <w:p>
            <w:pPr>
              <w:spacing w:after="0" w:line="276" w:lineRule="auto"/>
              <w:jc w:val="left"/>
            </w:pPr>
            <w:r/>
            <w:r>
              <w:rPr>
                <w:rFonts w:ascii="Times New Roman" w:hAnsi="Times New Roman" w:eastAsia="宋体"/>
                <w:b w:val="0"/>
                <w:sz w:val="21"/>
              </w:rPr>
              <w:t>知识沉淀证据</w:t>
            </w:r>
          </w:p>
        </w:tc>
        <w:tc>
          <w:tcPr>
            <w:tcW w:type="dxa" w:w="2268"/>
            <w:vAlign w:val="center"/>
          </w:tcPr>
          <w:p>
            <w:pPr>
              <w:spacing w:after="0" w:line="276" w:lineRule="auto"/>
              <w:jc w:val="left"/>
            </w:pPr>
            <w:r/>
            <w:r>
              <w:rPr>
                <w:rFonts w:ascii="Times New Roman" w:hAnsi="Times New Roman" w:eastAsia="宋体"/>
                <w:b w:val="0"/>
                <w:sz w:val="21"/>
              </w:rPr>
              <w:t>需结合笔记软件展示</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4 需求分析与系统定位</w:t>
      </w:r>
    </w:p>
    <w:p>
      <w:pPr>
        <w:spacing w:before="0" w:after="0" w:line="300" w:lineRule="auto"/>
        <w:ind w:firstLine="420"/>
      </w:pPr>
      <w:r>
        <w:rPr>
          <w:rFonts w:ascii="Times New Roman" w:hAnsi="Times New Roman" w:eastAsia="宋体"/>
          <w:b w:val="0"/>
          <w:color w:val="000000"/>
          <w:sz w:val="24"/>
        </w:rPr>
        <w:t>目标用户是需要在较短时间内准备雅思考试的个人学习者。该类用户常见痛点包括：资料来源复杂，生词和例句无法长期保存；学习过程中缺少对知识存量和薄弱节点的可视化判断；AI 对话产生的内容难以沉淀到 Obsidian 等个人知识库。</w:t>
      </w:r>
    </w:p>
    <w:p>
      <w:pPr>
        <w:spacing w:before="0" w:after="0" w:line="300" w:lineRule="auto"/>
        <w:ind w:firstLine="420"/>
      </w:pPr>
      <w:r>
        <w:rPr>
          <w:rFonts w:ascii="Times New Roman" w:hAnsi="Times New Roman" w:eastAsia="宋体"/>
          <w:b w:val="0"/>
          <w:color w:val="000000"/>
          <w:sz w:val="24"/>
        </w:rPr>
        <w:t>因此系统定位不是通用聊天工具，而是面向雅思备考的垂直个人知识管理系统。系统应帮助学习者完成从输入、记录、加工、存储到复习的闭环，并能为课程大作业提供清晰的理论解释和界面证据。</w:t>
      </w:r>
    </w:p>
    <w:p>
      <w:pPr>
        <w:pStyle w:val="ListBullet"/>
        <w:spacing w:after="0" w:line="300" w:lineRule="auto"/>
      </w:pPr>
      <w:r>
        <w:rPr>
          <w:rFonts w:ascii="Times New Roman" w:hAnsi="Times New Roman" w:eastAsia="宋体"/>
          <w:sz w:val="24"/>
        </w:rPr>
        <w:t>知识采集：支持手动添加、AI 导入和待查询队列。</w:t>
      </w:r>
    </w:p>
    <w:p>
      <w:pPr>
        <w:pStyle w:val="ListBullet"/>
        <w:spacing w:after="0" w:line="300" w:lineRule="auto"/>
      </w:pPr>
      <w:r>
        <w:rPr>
          <w:rFonts w:ascii="Times New Roman" w:hAnsi="Times New Roman" w:eastAsia="宋体"/>
          <w:sz w:val="24"/>
        </w:rPr>
        <w:t>知识加工：支持词性、释义、语境、同义词、构词提示和例句增强。</w:t>
      </w:r>
    </w:p>
    <w:p>
      <w:pPr>
        <w:pStyle w:val="ListBullet"/>
        <w:spacing w:after="0" w:line="300" w:lineRule="auto"/>
      </w:pPr>
      <w:r>
        <w:rPr>
          <w:rFonts w:ascii="Times New Roman" w:hAnsi="Times New Roman" w:eastAsia="宋体"/>
          <w:sz w:val="24"/>
        </w:rPr>
        <w:t>知识盘点：用看板展示可观测指标和待强化节点。</w:t>
      </w:r>
    </w:p>
    <w:p>
      <w:pPr>
        <w:pStyle w:val="ListBullet"/>
        <w:spacing w:after="0" w:line="300" w:lineRule="auto"/>
      </w:pPr>
      <w:r>
        <w:rPr>
          <w:rFonts w:ascii="Times New Roman" w:hAnsi="Times New Roman" w:eastAsia="宋体"/>
          <w:sz w:val="24"/>
        </w:rPr>
        <w:t>知识沉淀：将结果导出为中文 Markdown，兼容 Obsidian 双链。</w:t>
      </w:r>
    </w:p>
    <w:p>
      <w:pPr>
        <w:pStyle w:val="ListBullet"/>
        <w:spacing w:after="0" w:line="300" w:lineRule="auto"/>
      </w:pPr>
      <w:r>
        <w:rPr>
          <w:rFonts w:ascii="Times New Roman" w:hAnsi="Times New Roman" w:eastAsia="宋体"/>
          <w:sz w:val="24"/>
        </w:rPr>
        <w:t>自我调节：记录学习反思、自评分数和下一步计划。</w:t>
      </w:r>
    </w:p>
    <w:p>
      <w:pPr>
        <w:keepNext/>
        <w:spacing w:before="0" w:after="80" w:line="300" w:lineRule="auto"/>
        <w:jc w:val="center"/>
      </w:pPr>
      <w:r>
        <w:rPr>
          <w:rFonts w:ascii="Times New Roman" w:hAnsi="Times New Roman" w:eastAsia="宋体"/>
          <w:b/>
          <w:color w:val="000000"/>
          <w:sz w:val="21"/>
        </w:rPr>
        <w:t>图4-1 系统主界面截图占位</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72"/>
      </w:tblGrid>
      <w:tr>
        <w:tc>
          <w:tcPr>
            <w:tcW w:type="dxa" w:w="9360"/>
            <w:shd w:fill="F8FAFC"/>
          </w:tcPr>
          <w:p>
            <w:pPr>
              <w:spacing w:before="480" w:after="480"/>
              <w:jc w:val="center"/>
            </w:pPr>
            <w:r>
              <w:rPr>
                <w:rFonts w:ascii="Times New Roman" w:hAnsi="Times New Roman" w:eastAsia="宋体"/>
                <w:b/>
                <w:color w:val="5A606E"/>
                <w:sz w:val="22"/>
              </w:rPr>
              <w:t>建议替换为：打开 LingoLeap 后，左侧面板展开“知识资产看板”的截图</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5 系统总体架构设计</w:t>
      </w:r>
    </w:p>
    <w:p>
      <w:pPr>
        <w:spacing w:before="0" w:after="0" w:line="300" w:lineRule="auto"/>
        <w:ind w:firstLine="420"/>
      </w:pPr>
      <w:r>
        <w:rPr>
          <w:rFonts w:ascii="Times New Roman" w:hAnsi="Times New Roman" w:eastAsia="宋体"/>
          <w:b w:val="0"/>
          <w:color w:val="000000"/>
          <w:sz w:val="24"/>
        </w:rPr>
        <w:t>系统在原有前端项目上进行轻量改造，核心技术栈为 React、Vite、TypeScript 与浏览器本地存储。架构上可以划分为交互层、学习层、知识加工层、知识存储层和外部知识库层。</w:t>
      </w:r>
    </w:p>
    <w:p>
      <w:pPr>
        <w:spacing w:before="0" w:after="0" w:line="300" w:lineRule="auto"/>
        <w:ind w:firstLine="420"/>
      </w:pPr>
      <w:r>
        <w:rPr>
          <w:rFonts w:ascii="Times New Roman" w:hAnsi="Times New Roman" w:eastAsia="宋体"/>
          <w:b w:val="0"/>
          <w:color w:val="000000"/>
          <w:sz w:val="24"/>
        </w:rPr>
        <w:t>交互层负责聊天、词汇面板、看板和自评表单；学习层承载 AI 对话、文本导入和词汇记录；知识加工层负责指标计算、语境增强和知识卡片组装；存储层负责 localStorage、词汇列表和导出文件；外部知识库层则对接 Obsidian 或 GitHub Sync。</w:t>
      </w:r>
    </w:p>
    <w:p>
      <w:pPr>
        <w:keepNext/>
        <w:spacing w:before="0" w:after="80" w:line="300" w:lineRule="auto"/>
        <w:jc w:val="center"/>
      </w:pPr>
      <w:r>
        <w:rPr>
          <w:rFonts w:ascii="Times New Roman" w:hAnsi="Times New Roman" w:eastAsia="宋体"/>
          <w:b/>
          <w:color w:val="000000"/>
          <w:sz w:val="21"/>
        </w:rPr>
        <w:t>图5-1 LingoLeap PKM 系统总体架构</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14"/>
        <w:gridCol w:w="1814"/>
        <w:gridCol w:w="1814"/>
        <w:gridCol w:w="1814"/>
        <w:gridCol w:w="1814"/>
      </w:tblGrid>
      <w:tr>
        <w:tc>
          <w:tcPr>
            <w:tcW w:type="dxa" w:w="1872"/>
            <w:vAlign w:val="center"/>
            <w:shd w:fill="E8EEF5"/>
          </w:tcPr>
          <w:p>
            <w:pPr>
              <w:spacing w:after="0" w:line="276" w:lineRule="auto"/>
              <w:jc w:val="center"/>
            </w:pPr>
            <w:r/>
            <w:r>
              <w:rPr>
                <w:rFonts w:ascii="Times New Roman" w:hAnsi="Times New Roman" w:eastAsia="宋体"/>
                <w:b/>
                <w:sz w:val="20"/>
              </w:rPr>
              <w:t>交互层</w:t>
              <w:br/>
              <w:t>React 面板</w:t>
            </w:r>
          </w:p>
        </w:tc>
        <w:tc>
          <w:tcPr>
            <w:tcW w:type="dxa" w:w="1872"/>
            <w:vAlign w:val="center"/>
            <w:shd w:fill="E8EEF5"/>
          </w:tcPr>
          <w:p>
            <w:pPr>
              <w:spacing w:after="0" w:line="276" w:lineRule="auto"/>
              <w:jc w:val="center"/>
            </w:pPr>
            <w:r/>
            <w:r>
              <w:rPr>
                <w:rFonts w:ascii="Times New Roman" w:hAnsi="Times New Roman" w:eastAsia="宋体"/>
                <w:b/>
                <w:sz w:val="20"/>
              </w:rPr>
              <w:t>学习层</w:t>
              <w:br/>
              <w:t>对话与生词</w:t>
            </w:r>
          </w:p>
        </w:tc>
        <w:tc>
          <w:tcPr>
            <w:tcW w:type="dxa" w:w="1872"/>
            <w:vAlign w:val="center"/>
            <w:shd w:fill="E8EEF5"/>
          </w:tcPr>
          <w:p>
            <w:pPr>
              <w:spacing w:after="0" w:line="276" w:lineRule="auto"/>
              <w:jc w:val="center"/>
            </w:pPr>
            <w:r/>
            <w:r>
              <w:rPr>
                <w:rFonts w:ascii="Times New Roman" w:hAnsi="Times New Roman" w:eastAsia="宋体"/>
                <w:b/>
                <w:sz w:val="20"/>
              </w:rPr>
              <w:t>加工层</w:t>
              <w:br/>
              <w:t>指标与增强</w:t>
            </w:r>
          </w:p>
        </w:tc>
        <w:tc>
          <w:tcPr>
            <w:tcW w:type="dxa" w:w="1872"/>
            <w:vAlign w:val="center"/>
            <w:shd w:fill="E8EEF5"/>
          </w:tcPr>
          <w:p>
            <w:pPr>
              <w:spacing w:after="0" w:line="276" w:lineRule="auto"/>
              <w:jc w:val="center"/>
            </w:pPr>
            <w:r/>
            <w:r>
              <w:rPr>
                <w:rFonts w:ascii="Times New Roman" w:hAnsi="Times New Roman" w:eastAsia="宋体"/>
                <w:b/>
                <w:sz w:val="20"/>
              </w:rPr>
              <w:t>存储层</w:t>
              <w:br/>
              <w:t>本地状态</w:t>
            </w:r>
          </w:p>
        </w:tc>
        <w:tc>
          <w:tcPr>
            <w:tcW w:type="dxa" w:w="1872"/>
            <w:vAlign w:val="center"/>
            <w:shd w:fill="E8EEF5"/>
          </w:tcPr>
          <w:p>
            <w:pPr>
              <w:spacing w:after="0" w:line="276" w:lineRule="auto"/>
              <w:jc w:val="center"/>
            </w:pPr>
            <w:r/>
            <w:r>
              <w:rPr>
                <w:rFonts w:ascii="Times New Roman" w:hAnsi="Times New Roman" w:eastAsia="宋体"/>
                <w:b/>
                <w:sz w:val="20"/>
              </w:rPr>
              <w:t>知识库</w:t>
              <w:br/>
              <w:t>Markdown/Obsidian</w:t>
            </w:r>
          </w:p>
        </w:tc>
      </w:tr>
    </w:tbl>
    <w:p>
      <w:pPr>
        <w:spacing w:before="0" w:after="80" w:line="300" w:lineRule="auto"/>
      </w:pPr>
      <w:r>
        <w:rPr>
          <w:rFonts w:ascii="Times New Roman" w:hAnsi="Times New Roman" w:eastAsia="宋体"/>
          <w:b w:val="0"/>
          <w:color w:val="000000"/>
          <w:sz w:val="24"/>
        </w:rPr>
      </w:r>
    </w:p>
    <w:p>
      <w:pPr>
        <w:keepNext/>
        <w:spacing w:before="0" w:after="80" w:line="300" w:lineRule="auto"/>
        <w:jc w:val="center"/>
      </w:pPr>
      <w:r>
        <w:rPr>
          <w:rFonts w:ascii="Times New Roman" w:hAnsi="Times New Roman" w:eastAsia="宋体"/>
          <w:b/>
          <w:color w:val="000000"/>
          <w:sz w:val="21"/>
        </w:rPr>
        <w:t>表5-1 系统层级职责</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1728"/>
            <w:vAlign w:val="center"/>
            <w:shd w:fill="F2F4F7"/>
          </w:tcPr>
          <w:p>
            <w:pPr>
              <w:spacing w:after="0" w:line="276" w:lineRule="auto"/>
              <w:jc w:val="center"/>
            </w:pPr>
            <w:r/>
            <w:r>
              <w:rPr>
                <w:rFonts w:ascii="Times New Roman" w:hAnsi="Times New Roman" w:eastAsia="宋体"/>
                <w:b/>
                <w:sz w:val="21"/>
              </w:rPr>
              <w:t>层级</w:t>
            </w:r>
          </w:p>
        </w:tc>
        <w:tc>
          <w:tcPr>
            <w:tcW w:type="dxa" w:w="3744"/>
            <w:vAlign w:val="center"/>
            <w:shd w:fill="F2F4F7"/>
          </w:tcPr>
          <w:p>
            <w:pPr>
              <w:spacing w:after="0" w:line="276" w:lineRule="auto"/>
              <w:jc w:val="center"/>
            </w:pPr>
            <w:r/>
            <w:r>
              <w:rPr>
                <w:rFonts w:ascii="Times New Roman" w:hAnsi="Times New Roman" w:eastAsia="宋体"/>
                <w:b/>
                <w:sz w:val="21"/>
              </w:rPr>
              <w:t>职责</w:t>
            </w:r>
          </w:p>
        </w:tc>
        <w:tc>
          <w:tcPr>
            <w:tcW w:type="dxa" w:w="3888"/>
            <w:vAlign w:val="center"/>
            <w:shd w:fill="F2F4F7"/>
          </w:tcPr>
          <w:p>
            <w:pPr>
              <w:spacing w:after="0" w:line="276" w:lineRule="auto"/>
              <w:jc w:val="center"/>
            </w:pPr>
            <w:r/>
            <w:r>
              <w:rPr>
                <w:rFonts w:ascii="Times New Roman" w:hAnsi="Times New Roman" w:eastAsia="宋体"/>
                <w:b/>
                <w:sz w:val="21"/>
              </w:rPr>
              <w:t>本次新增内容</w:t>
            </w:r>
          </w:p>
        </w:tc>
      </w:tr>
      <w:tr>
        <w:tc>
          <w:tcPr>
            <w:tcW w:type="dxa" w:w="3024"/>
            <w:vAlign w:val="center"/>
          </w:tcPr>
          <w:p>
            <w:pPr>
              <w:spacing w:after="0" w:line="276" w:lineRule="auto"/>
              <w:jc w:val="center"/>
            </w:pPr>
            <w:r/>
            <w:r>
              <w:rPr>
                <w:rFonts w:ascii="Times New Roman" w:hAnsi="Times New Roman" w:eastAsia="宋体"/>
                <w:b w:val="0"/>
                <w:sz w:val="21"/>
              </w:rPr>
              <w:t>交互层</w:t>
            </w:r>
          </w:p>
        </w:tc>
        <w:tc>
          <w:tcPr>
            <w:tcW w:type="dxa" w:w="3024"/>
            <w:vAlign w:val="center"/>
          </w:tcPr>
          <w:p>
            <w:pPr>
              <w:spacing w:after="0" w:line="276" w:lineRule="auto"/>
              <w:jc w:val="left"/>
            </w:pPr>
            <w:r/>
            <w:r>
              <w:rPr>
                <w:rFonts w:ascii="Times New Roman" w:hAnsi="Times New Roman" w:eastAsia="宋体"/>
                <w:b w:val="0"/>
                <w:sz w:val="21"/>
              </w:rPr>
              <w:t>呈现面板、按钮、表单与下载入口</w:t>
            </w:r>
          </w:p>
        </w:tc>
        <w:tc>
          <w:tcPr>
            <w:tcW w:type="dxa" w:w="3024"/>
            <w:vAlign w:val="center"/>
          </w:tcPr>
          <w:p>
            <w:pPr>
              <w:spacing w:after="0" w:line="276" w:lineRule="auto"/>
              <w:jc w:val="left"/>
            </w:pPr>
            <w:r/>
            <w:r>
              <w:rPr>
                <w:rFonts w:ascii="Times New Roman" w:hAnsi="Times New Roman" w:eastAsia="宋体"/>
                <w:b w:val="0"/>
                <w:sz w:val="21"/>
              </w:rPr>
              <w:t>知识资产看板、自评模块</w:t>
            </w:r>
          </w:p>
        </w:tc>
      </w:tr>
      <w:tr>
        <w:tc>
          <w:tcPr>
            <w:tcW w:type="dxa" w:w="3024"/>
            <w:vAlign w:val="center"/>
          </w:tcPr>
          <w:p>
            <w:pPr>
              <w:spacing w:after="0" w:line="276" w:lineRule="auto"/>
              <w:jc w:val="center"/>
            </w:pPr>
            <w:r/>
            <w:r>
              <w:rPr>
                <w:rFonts w:ascii="Times New Roman" w:hAnsi="Times New Roman" w:eastAsia="宋体"/>
                <w:b w:val="0"/>
                <w:sz w:val="21"/>
              </w:rPr>
              <w:t>加工层</w:t>
            </w:r>
          </w:p>
        </w:tc>
        <w:tc>
          <w:tcPr>
            <w:tcW w:type="dxa" w:w="3024"/>
            <w:vAlign w:val="center"/>
          </w:tcPr>
          <w:p>
            <w:pPr>
              <w:spacing w:after="0" w:line="276" w:lineRule="auto"/>
              <w:jc w:val="left"/>
            </w:pPr>
            <w:r/>
            <w:r>
              <w:rPr>
                <w:rFonts w:ascii="Times New Roman" w:hAnsi="Times New Roman" w:eastAsia="宋体"/>
                <w:b w:val="0"/>
                <w:sz w:val="21"/>
              </w:rPr>
              <w:t>计算指标并组合词汇卡片</w:t>
            </w:r>
          </w:p>
        </w:tc>
        <w:tc>
          <w:tcPr>
            <w:tcW w:type="dxa" w:w="3024"/>
            <w:vAlign w:val="center"/>
          </w:tcPr>
          <w:p>
            <w:pPr>
              <w:spacing w:after="0" w:line="276" w:lineRule="auto"/>
              <w:jc w:val="left"/>
            </w:pPr>
            <w:r/>
            <w:r>
              <w:rPr>
                <w:rFonts w:ascii="Times New Roman" w:hAnsi="Times New Roman" w:eastAsia="宋体"/>
                <w:b w:val="0"/>
                <w:sz w:val="21"/>
              </w:rPr>
              <w:t>语境增强、待强化节点</w:t>
            </w:r>
          </w:p>
        </w:tc>
      </w:tr>
      <w:tr>
        <w:tc>
          <w:tcPr>
            <w:tcW w:type="dxa" w:w="3024"/>
            <w:vAlign w:val="center"/>
          </w:tcPr>
          <w:p>
            <w:pPr>
              <w:spacing w:after="0" w:line="276" w:lineRule="auto"/>
              <w:jc w:val="center"/>
            </w:pPr>
            <w:r/>
            <w:r>
              <w:rPr>
                <w:rFonts w:ascii="Times New Roman" w:hAnsi="Times New Roman" w:eastAsia="宋体"/>
                <w:b w:val="0"/>
                <w:sz w:val="21"/>
              </w:rPr>
              <w:t>存储层</w:t>
            </w:r>
          </w:p>
        </w:tc>
        <w:tc>
          <w:tcPr>
            <w:tcW w:type="dxa" w:w="3024"/>
            <w:vAlign w:val="center"/>
          </w:tcPr>
          <w:p>
            <w:pPr>
              <w:spacing w:after="0" w:line="276" w:lineRule="auto"/>
              <w:jc w:val="left"/>
            </w:pPr>
            <w:r/>
            <w:r>
              <w:rPr>
                <w:rFonts w:ascii="Times New Roman" w:hAnsi="Times New Roman" w:eastAsia="宋体"/>
                <w:b w:val="0"/>
                <w:sz w:val="21"/>
              </w:rPr>
              <w:t>保存词汇、自评和导出结果</w:t>
            </w:r>
          </w:p>
        </w:tc>
        <w:tc>
          <w:tcPr>
            <w:tcW w:type="dxa" w:w="3024"/>
            <w:vAlign w:val="center"/>
          </w:tcPr>
          <w:p>
            <w:pPr>
              <w:spacing w:after="0" w:line="276" w:lineRule="auto"/>
              <w:jc w:val="left"/>
            </w:pPr>
            <w:r/>
            <w:r>
              <w:rPr>
                <w:rFonts w:ascii="Times New Roman" w:hAnsi="Times New Roman" w:eastAsia="宋体"/>
                <w:b w:val="0"/>
                <w:sz w:val="21"/>
              </w:rPr>
              <w:t>localStorage 反思记录</w:t>
            </w:r>
          </w:p>
        </w:tc>
      </w:tr>
      <w:tr>
        <w:tc>
          <w:tcPr>
            <w:tcW w:type="dxa" w:w="3024"/>
            <w:vAlign w:val="center"/>
          </w:tcPr>
          <w:p>
            <w:pPr>
              <w:spacing w:after="0" w:line="276" w:lineRule="auto"/>
              <w:jc w:val="center"/>
            </w:pPr>
            <w:r/>
            <w:r>
              <w:rPr>
                <w:rFonts w:ascii="Times New Roman" w:hAnsi="Times New Roman" w:eastAsia="宋体"/>
                <w:b w:val="0"/>
                <w:sz w:val="21"/>
              </w:rPr>
              <w:t>外部知识库</w:t>
            </w:r>
          </w:p>
        </w:tc>
        <w:tc>
          <w:tcPr>
            <w:tcW w:type="dxa" w:w="3024"/>
            <w:vAlign w:val="center"/>
          </w:tcPr>
          <w:p>
            <w:pPr>
              <w:spacing w:after="0" w:line="276" w:lineRule="auto"/>
              <w:jc w:val="left"/>
            </w:pPr>
            <w:r/>
            <w:r>
              <w:rPr>
                <w:rFonts w:ascii="Times New Roman" w:hAnsi="Times New Roman" w:eastAsia="宋体"/>
                <w:b w:val="0"/>
                <w:sz w:val="21"/>
              </w:rPr>
              <w:t>长期归档与复盘</w:t>
            </w:r>
          </w:p>
        </w:tc>
        <w:tc>
          <w:tcPr>
            <w:tcW w:type="dxa" w:w="3024"/>
            <w:vAlign w:val="center"/>
          </w:tcPr>
          <w:p>
            <w:pPr>
              <w:spacing w:after="0" w:line="276" w:lineRule="auto"/>
              <w:jc w:val="left"/>
            </w:pPr>
            <w:r/>
            <w:r>
              <w:rPr>
                <w:rFonts w:ascii="Times New Roman" w:hAnsi="Times New Roman" w:eastAsia="宋体"/>
                <w:b w:val="0"/>
                <w:sz w:val="21"/>
              </w:rPr>
              <w:t>中文 Markdown 双链导出</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6 核心功能模块设计</w:t>
      </w:r>
    </w:p>
    <w:p>
      <w:pPr>
        <w:spacing w:before="0" w:after="0" w:line="300" w:lineRule="auto"/>
        <w:ind w:firstLine="420"/>
      </w:pPr>
      <w:r>
        <w:rPr>
          <w:rFonts w:ascii="Times New Roman" w:hAnsi="Times New Roman" w:eastAsia="宋体"/>
          <w:b w:val="0"/>
          <w:color w:val="000000"/>
          <w:sz w:val="24"/>
        </w:rPr>
        <w:t>本次改造聚焦四个可展示模块：知识资产看板、语境自动化增强、学习反思/自评记录和 PKM Markdown 导出。这些模块共同服务于知识管理流程，而不是单纯增加页面装饰。</w:t>
      </w:r>
    </w:p>
    <w:p>
      <w:pPr>
        <w:spacing w:before="0" w:after="0" w:line="300" w:lineRule="auto"/>
        <w:ind w:firstLine="420"/>
      </w:pPr>
      <w:r>
        <w:rPr>
          <w:rFonts w:ascii="Times New Roman" w:hAnsi="Times New Roman" w:eastAsia="宋体"/>
          <w:b w:val="0"/>
          <w:color w:val="000000"/>
          <w:sz w:val="24"/>
        </w:rPr>
        <w:t>知识资产看板将本地词汇、历史消息和用户输出转化为指标；语境增强将单一词条扩展为结构化卡片；反思模块将主观学习状态显性化；导出模块把系统内部记录转为外部知识库文件。</w:t>
      </w:r>
    </w:p>
    <w:p>
      <w:pPr>
        <w:keepNext/>
        <w:spacing w:before="0" w:after="80" w:line="300" w:lineRule="auto"/>
        <w:jc w:val="center"/>
      </w:pPr>
      <w:r>
        <w:rPr>
          <w:rFonts w:ascii="Times New Roman" w:hAnsi="Times New Roman" w:eastAsia="宋体"/>
          <w:b/>
          <w:color w:val="000000"/>
          <w:sz w:val="21"/>
        </w:rPr>
        <w:t>表6-1 核心模块输入输出</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68"/>
        <w:gridCol w:w="2268"/>
        <w:gridCol w:w="2268"/>
        <w:gridCol w:w="2268"/>
      </w:tblGrid>
      <w:tr>
        <w:tc>
          <w:tcPr>
            <w:tcW w:type="dxa" w:w="1872"/>
            <w:vAlign w:val="center"/>
            <w:shd w:fill="F2F4F7"/>
          </w:tcPr>
          <w:p>
            <w:pPr>
              <w:spacing w:after="0" w:line="276" w:lineRule="auto"/>
              <w:jc w:val="center"/>
            </w:pPr>
            <w:r/>
            <w:r>
              <w:rPr>
                <w:rFonts w:ascii="Times New Roman" w:hAnsi="Times New Roman" w:eastAsia="宋体"/>
                <w:b/>
                <w:sz w:val="21"/>
              </w:rPr>
              <w:t>模块</w:t>
            </w:r>
          </w:p>
        </w:tc>
        <w:tc>
          <w:tcPr>
            <w:tcW w:type="dxa" w:w="2592"/>
            <w:vAlign w:val="center"/>
            <w:shd w:fill="F2F4F7"/>
          </w:tcPr>
          <w:p>
            <w:pPr>
              <w:spacing w:after="0" w:line="276" w:lineRule="auto"/>
              <w:jc w:val="center"/>
            </w:pPr>
            <w:r/>
            <w:r>
              <w:rPr>
                <w:rFonts w:ascii="Times New Roman" w:hAnsi="Times New Roman" w:eastAsia="宋体"/>
                <w:b/>
                <w:sz w:val="21"/>
              </w:rPr>
              <w:t>输入</w:t>
            </w:r>
          </w:p>
        </w:tc>
        <w:tc>
          <w:tcPr>
            <w:tcW w:type="dxa" w:w="2880"/>
            <w:vAlign w:val="center"/>
            <w:shd w:fill="F2F4F7"/>
          </w:tcPr>
          <w:p>
            <w:pPr>
              <w:spacing w:after="0" w:line="276" w:lineRule="auto"/>
              <w:jc w:val="center"/>
            </w:pPr>
            <w:r/>
            <w:r>
              <w:rPr>
                <w:rFonts w:ascii="Times New Roman" w:hAnsi="Times New Roman" w:eastAsia="宋体"/>
                <w:b/>
                <w:sz w:val="21"/>
              </w:rPr>
              <w:t>处理</w:t>
            </w:r>
          </w:p>
        </w:tc>
        <w:tc>
          <w:tcPr>
            <w:tcW w:type="dxa" w:w="2016"/>
            <w:vAlign w:val="center"/>
            <w:shd w:fill="F2F4F7"/>
          </w:tcPr>
          <w:p>
            <w:pPr>
              <w:spacing w:after="0" w:line="276" w:lineRule="auto"/>
              <w:jc w:val="center"/>
            </w:pPr>
            <w:r/>
            <w:r>
              <w:rPr>
                <w:rFonts w:ascii="Times New Roman" w:hAnsi="Times New Roman" w:eastAsia="宋体"/>
                <w:b/>
                <w:sz w:val="21"/>
              </w:rPr>
              <w:t>输出</w:t>
            </w:r>
          </w:p>
        </w:tc>
      </w:tr>
      <w:tr>
        <w:tc>
          <w:tcPr>
            <w:tcW w:type="dxa" w:w="2268"/>
            <w:vAlign w:val="center"/>
          </w:tcPr>
          <w:p>
            <w:pPr>
              <w:spacing w:after="0" w:line="276" w:lineRule="auto"/>
              <w:jc w:val="center"/>
            </w:pPr>
            <w:r/>
            <w:r>
              <w:rPr>
                <w:rFonts w:ascii="Times New Roman" w:hAnsi="Times New Roman" w:eastAsia="宋体"/>
                <w:b w:val="0"/>
                <w:sz w:val="21"/>
              </w:rPr>
              <w:t>知识资产看板</w:t>
            </w:r>
          </w:p>
        </w:tc>
        <w:tc>
          <w:tcPr>
            <w:tcW w:type="dxa" w:w="2268"/>
            <w:vAlign w:val="center"/>
          </w:tcPr>
          <w:p>
            <w:pPr>
              <w:spacing w:after="0" w:line="276" w:lineRule="auto"/>
              <w:jc w:val="left"/>
            </w:pPr>
            <w:r/>
            <w:r>
              <w:rPr>
                <w:rFonts w:ascii="Times New Roman" w:hAnsi="Times New Roman" w:eastAsia="宋体"/>
                <w:b w:val="0"/>
                <w:sz w:val="21"/>
              </w:rPr>
              <w:t>词卡、会话、消息</w:t>
            </w:r>
          </w:p>
        </w:tc>
        <w:tc>
          <w:tcPr>
            <w:tcW w:type="dxa" w:w="2268"/>
            <w:vAlign w:val="center"/>
          </w:tcPr>
          <w:p>
            <w:pPr>
              <w:spacing w:after="0" w:line="276" w:lineRule="auto"/>
              <w:jc w:val="left"/>
            </w:pPr>
            <w:r/>
            <w:r>
              <w:rPr>
                <w:rFonts w:ascii="Times New Roman" w:hAnsi="Times New Roman" w:eastAsia="宋体"/>
                <w:b w:val="0"/>
                <w:sz w:val="21"/>
              </w:rPr>
              <w:t>计算完整率、暴露、主动使用</w:t>
            </w:r>
          </w:p>
        </w:tc>
        <w:tc>
          <w:tcPr>
            <w:tcW w:type="dxa" w:w="2268"/>
            <w:vAlign w:val="center"/>
          </w:tcPr>
          <w:p>
            <w:pPr>
              <w:spacing w:after="0" w:line="276" w:lineRule="auto"/>
              <w:jc w:val="left"/>
            </w:pPr>
            <w:r/>
            <w:r>
              <w:rPr>
                <w:rFonts w:ascii="Times New Roman" w:hAnsi="Times New Roman" w:eastAsia="宋体"/>
                <w:b w:val="0"/>
                <w:sz w:val="21"/>
              </w:rPr>
              <w:t>知识存量与薄弱节点</w:t>
            </w:r>
          </w:p>
        </w:tc>
      </w:tr>
      <w:tr>
        <w:tc>
          <w:tcPr>
            <w:tcW w:type="dxa" w:w="2268"/>
            <w:vAlign w:val="center"/>
          </w:tcPr>
          <w:p>
            <w:pPr>
              <w:spacing w:after="0" w:line="276" w:lineRule="auto"/>
              <w:jc w:val="center"/>
            </w:pPr>
            <w:r/>
            <w:r>
              <w:rPr>
                <w:rFonts w:ascii="Times New Roman" w:hAnsi="Times New Roman" w:eastAsia="宋体"/>
                <w:b w:val="0"/>
                <w:sz w:val="21"/>
              </w:rPr>
              <w:t>语境增强</w:t>
            </w:r>
          </w:p>
        </w:tc>
        <w:tc>
          <w:tcPr>
            <w:tcW w:type="dxa" w:w="2268"/>
            <w:vAlign w:val="center"/>
          </w:tcPr>
          <w:p>
            <w:pPr>
              <w:spacing w:after="0" w:line="276" w:lineRule="auto"/>
              <w:jc w:val="left"/>
            </w:pPr>
            <w:r/>
            <w:r>
              <w:rPr>
                <w:rFonts w:ascii="Times New Roman" w:hAnsi="Times New Roman" w:eastAsia="宋体"/>
                <w:b w:val="0"/>
                <w:sz w:val="21"/>
              </w:rPr>
              <w:t>词汇卡片、历史消息</w:t>
            </w:r>
          </w:p>
        </w:tc>
        <w:tc>
          <w:tcPr>
            <w:tcW w:type="dxa" w:w="2268"/>
            <w:vAlign w:val="center"/>
          </w:tcPr>
          <w:p>
            <w:pPr>
              <w:spacing w:after="0" w:line="276" w:lineRule="auto"/>
              <w:jc w:val="left"/>
            </w:pPr>
            <w:r/>
            <w:r>
              <w:rPr>
                <w:rFonts w:ascii="Times New Roman" w:hAnsi="Times New Roman" w:eastAsia="宋体"/>
                <w:b w:val="0"/>
                <w:sz w:val="21"/>
              </w:rPr>
              <w:t>匹配同义词、词根、语境</w:t>
            </w:r>
          </w:p>
        </w:tc>
        <w:tc>
          <w:tcPr>
            <w:tcW w:type="dxa" w:w="2268"/>
            <w:vAlign w:val="center"/>
          </w:tcPr>
          <w:p>
            <w:pPr>
              <w:spacing w:after="0" w:line="276" w:lineRule="auto"/>
              <w:jc w:val="left"/>
            </w:pPr>
            <w:r/>
            <w:r>
              <w:rPr>
                <w:rFonts w:ascii="Times New Roman" w:hAnsi="Times New Roman" w:eastAsia="宋体"/>
                <w:b w:val="0"/>
                <w:sz w:val="21"/>
              </w:rPr>
              <w:t>深加工知识卡片</w:t>
            </w:r>
          </w:p>
        </w:tc>
      </w:tr>
      <w:tr>
        <w:tc>
          <w:tcPr>
            <w:tcW w:type="dxa" w:w="2268"/>
            <w:vAlign w:val="center"/>
          </w:tcPr>
          <w:p>
            <w:pPr>
              <w:spacing w:after="0" w:line="276" w:lineRule="auto"/>
              <w:jc w:val="center"/>
            </w:pPr>
            <w:r/>
            <w:r>
              <w:rPr>
                <w:rFonts w:ascii="Times New Roman" w:hAnsi="Times New Roman" w:eastAsia="宋体"/>
                <w:b w:val="0"/>
                <w:sz w:val="21"/>
              </w:rPr>
              <w:t>学习反思</w:t>
            </w:r>
          </w:p>
        </w:tc>
        <w:tc>
          <w:tcPr>
            <w:tcW w:type="dxa" w:w="2268"/>
            <w:vAlign w:val="center"/>
          </w:tcPr>
          <w:p>
            <w:pPr>
              <w:spacing w:after="0" w:line="276" w:lineRule="auto"/>
              <w:jc w:val="left"/>
            </w:pPr>
            <w:r/>
            <w:r>
              <w:rPr>
                <w:rFonts w:ascii="Times New Roman" w:hAnsi="Times New Roman" w:eastAsia="宋体"/>
                <w:b w:val="0"/>
                <w:sz w:val="21"/>
              </w:rPr>
              <w:t>用户 1-5 分自评</w:t>
            </w:r>
          </w:p>
        </w:tc>
        <w:tc>
          <w:tcPr>
            <w:tcW w:type="dxa" w:w="2268"/>
            <w:vAlign w:val="center"/>
          </w:tcPr>
          <w:p>
            <w:pPr>
              <w:spacing w:after="0" w:line="276" w:lineRule="auto"/>
              <w:jc w:val="left"/>
            </w:pPr>
            <w:r/>
            <w:r>
              <w:rPr>
                <w:rFonts w:ascii="Times New Roman" w:hAnsi="Times New Roman" w:eastAsia="宋体"/>
                <w:b w:val="0"/>
                <w:sz w:val="21"/>
              </w:rPr>
              <w:t>本地保存与均值统计</w:t>
            </w:r>
          </w:p>
        </w:tc>
        <w:tc>
          <w:tcPr>
            <w:tcW w:type="dxa" w:w="2268"/>
            <w:vAlign w:val="center"/>
          </w:tcPr>
          <w:p>
            <w:pPr>
              <w:spacing w:after="0" w:line="276" w:lineRule="auto"/>
              <w:jc w:val="left"/>
            </w:pPr>
            <w:r/>
            <w:r>
              <w:rPr>
                <w:rFonts w:ascii="Times New Roman" w:hAnsi="Times New Roman" w:eastAsia="宋体"/>
                <w:b w:val="0"/>
                <w:sz w:val="21"/>
              </w:rPr>
              <w:t>自我调节学习证据</w:t>
            </w:r>
          </w:p>
        </w:tc>
      </w:tr>
      <w:tr>
        <w:tc>
          <w:tcPr>
            <w:tcW w:type="dxa" w:w="2268"/>
            <w:vAlign w:val="center"/>
          </w:tcPr>
          <w:p>
            <w:pPr>
              <w:spacing w:after="0" w:line="276" w:lineRule="auto"/>
              <w:jc w:val="center"/>
            </w:pPr>
            <w:r/>
            <w:r>
              <w:rPr>
                <w:rFonts w:ascii="Times New Roman" w:hAnsi="Times New Roman" w:eastAsia="宋体"/>
                <w:b w:val="0"/>
                <w:sz w:val="21"/>
              </w:rPr>
              <w:t>Markdown 导出</w:t>
            </w:r>
          </w:p>
        </w:tc>
        <w:tc>
          <w:tcPr>
            <w:tcW w:type="dxa" w:w="2268"/>
            <w:vAlign w:val="center"/>
          </w:tcPr>
          <w:p>
            <w:pPr>
              <w:spacing w:after="0" w:line="276" w:lineRule="auto"/>
              <w:jc w:val="left"/>
            </w:pPr>
            <w:r/>
            <w:r>
              <w:rPr>
                <w:rFonts w:ascii="Times New Roman" w:hAnsi="Times New Roman" w:eastAsia="宋体"/>
                <w:b w:val="0"/>
                <w:sz w:val="21"/>
              </w:rPr>
              <w:t>看板、词卡、自评</w:t>
            </w:r>
          </w:p>
        </w:tc>
        <w:tc>
          <w:tcPr>
            <w:tcW w:type="dxa" w:w="2268"/>
            <w:vAlign w:val="center"/>
          </w:tcPr>
          <w:p>
            <w:pPr>
              <w:spacing w:after="0" w:line="276" w:lineRule="auto"/>
              <w:jc w:val="left"/>
            </w:pPr>
            <w:r/>
            <w:r>
              <w:rPr>
                <w:rFonts w:ascii="Times New Roman" w:hAnsi="Times New Roman" w:eastAsia="宋体"/>
                <w:b w:val="0"/>
                <w:sz w:val="21"/>
              </w:rPr>
              <w:t>生成 YAML 与双链</w:t>
            </w:r>
          </w:p>
        </w:tc>
        <w:tc>
          <w:tcPr>
            <w:tcW w:type="dxa" w:w="2268"/>
            <w:vAlign w:val="center"/>
          </w:tcPr>
          <w:p>
            <w:pPr>
              <w:spacing w:after="0" w:line="276" w:lineRule="auto"/>
              <w:jc w:val="left"/>
            </w:pPr>
            <w:r/>
            <w:r>
              <w:rPr>
                <w:rFonts w:ascii="Times New Roman" w:hAnsi="Times New Roman" w:eastAsia="宋体"/>
                <w:b w:val="0"/>
                <w:sz w:val="21"/>
              </w:rPr>
              <w:t>Obsidian 兼容文件</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6.1 知识资产看板</w:t>
      </w:r>
    </w:p>
    <w:p>
      <w:pPr>
        <w:spacing w:before="0" w:after="0" w:line="300" w:lineRule="auto"/>
        <w:ind w:firstLine="420"/>
      </w:pPr>
      <w:r>
        <w:rPr>
          <w:rFonts w:ascii="Times New Roman" w:hAnsi="Times New Roman" w:eastAsia="宋体"/>
          <w:b w:val="0"/>
          <w:color w:val="000000"/>
          <w:sz w:val="24"/>
        </w:rPr>
        <w:t>知识资产看板的设计原则是“能从日志计算的才展示为已观测指标”。系统统计词汇卡片数、语境暴露、主动使用、深加工卡片、卡片完整率、语境化率、输出迁移率和平均会话深度。</w:t>
      </w:r>
    </w:p>
    <w:p>
      <w:pPr>
        <w:spacing w:before="0" w:after="0" w:line="300" w:lineRule="auto"/>
        <w:ind w:firstLine="420"/>
      </w:pPr>
      <w:r>
        <w:rPr>
          <w:rFonts w:ascii="Times New Roman" w:hAnsi="Times New Roman" w:eastAsia="宋体"/>
          <w:b w:val="0"/>
          <w:color w:val="000000"/>
          <w:sz w:val="24"/>
        </w:rPr>
        <w:t>看板同时保留待采集指标区域，明确主动回忆成功率与间隔复习逾期数需要后续测验或复习日志。这样可以避免大作业报告中出现没有数据基础的“掌握度”结论。</w:t>
      </w:r>
    </w:p>
    <w:p>
      <w:pPr>
        <w:keepNext/>
        <w:spacing w:before="0" w:after="80" w:line="300" w:lineRule="auto"/>
        <w:jc w:val="center"/>
      </w:pPr>
      <w:r>
        <w:rPr>
          <w:rFonts w:ascii="Times New Roman" w:hAnsi="Times New Roman" w:eastAsia="宋体"/>
          <w:b/>
          <w:color w:val="000000"/>
          <w:sz w:val="21"/>
        </w:rPr>
        <w:t>图6-1 知识资产看板截图占位</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72"/>
      </w:tblGrid>
      <w:tr>
        <w:tc>
          <w:tcPr>
            <w:tcW w:type="dxa" w:w="9360"/>
            <w:shd w:fill="F8FAFC"/>
          </w:tcPr>
          <w:p>
            <w:pPr>
              <w:spacing w:before="480" w:after="480"/>
              <w:jc w:val="center"/>
            </w:pPr>
            <w:r>
              <w:rPr>
                <w:rFonts w:ascii="Times New Roman" w:hAnsi="Times New Roman" w:eastAsia="宋体"/>
                <w:b/>
                <w:color w:val="5A606E"/>
                <w:sz w:val="22"/>
              </w:rPr>
              <w:t>建议替换为：显示词汇卡片、语境暴露、主动使用、反思记录和已观测指标的截图</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6.2 语境自动化增强模块</w:t>
      </w:r>
    </w:p>
    <w:p>
      <w:pPr>
        <w:spacing w:before="0" w:after="0" w:line="300" w:lineRule="auto"/>
        <w:ind w:firstLine="420"/>
      </w:pPr>
      <w:r>
        <w:rPr>
          <w:rFonts w:ascii="Times New Roman" w:hAnsi="Times New Roman" w:eastAsia="宋体"/>
          <w:b w:val="0"/>
          <w:color w:val="000000"/>
          <w:sz w:val="24"/>
        </w:rPr>
        <w:t>语境自动化增强模块用于体现知识管理中的组合化和深加工。系统对每个词汇卡片补充同义表达、词根/构词提示、词族候选、自动例句和来源语境。</w:t>
      </w:r>
    </w:p>
    <w:p>
      <w:pPr>
        <w:spacing w:before="0" w:after="0" w:line="300" w:lineRule="auto"/>
        <w:ind w:firstLine="420"/>
      </w:pPr>
      <w:r>
        <w:rPr>
          <w:rFonts w:ascii="Times New Roman" w:hAnsi="Times New Roman" w:eastAsia="宋体"/>
          <w:b w:val="0"/>
          <w:color w:val="000000"/>
          <w:sz w:val="24"/>
        </w:rPr>
        <w:t>增强逻辑优先使用历史对话中的真实语境。如果没有命中历史语境，则生成 IELTS 场景例句并标注增强方式。报告中应说明，自动例句是辅助加工内容，不应被误写为学习者真实输出。</w:t>
      </w:r>
    </w:p>
    <w:p>
      <w:pPr>
        <w:spacing w:before="0" w:after="0" w:line="300" w:lineRule="auto"/>
        <w:ind w:firstLine="420"/>
      </w:pPr>
      <w:r>
        <w:rPr>
          <w:rFonts w:ascii="Times New Roman" w:hAnsi="Times New Roman" w:eastAsia="宋体"/>
          <w:b w:val="0"/>
          <w:color w:val="000000"/>
          <w:sz w:val="24"/>
        </w:rPr>
        <w:t>该模块对应 Laufer 与 Hulstijn 的投入量假说：搜索同义表达、评价词族关系和构造例句都可以提高词汇处理深度。</w:t>
      </w:r>
    </w:p>
    <w:p>
      <w:pPr>
        <w:keepNext/>
        <w:spacing w:before="0" w:after="80" w:line="300" w:lineRule="auto"/>
        <w:jc w:val="center"/>
      </w:pPr>
      <w:r>
        <w:rPr>
          <w:rFonts w:ascii="Times New Roman" w:hAnsi="Times New Roman" w:eastAsia="宋体"/>
          <w:b/>
          <w:color w:val="000000"/>
          <w:sz w:val="21"/>
        </w:rPr>
        <w:t>图6-2 语境增强词卡截图占位</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72"/>
      </w:tblGrid>
      <w:tr>
        <w:tc>
          <w:tcPr>
            <w:tcW w:type="dxa" w:w="9360"/>
            <w:shd w:fill="F8FAFC"/>
          </w:tcPr>
          <w:p>
            <w:pPr>
              <w:spacing w:before="480" w:after="480"/>
              <w:jc w:val="center"/>
            </w:pPr>
            <w:r>
              <w:rPr>
                <w:rFonts w:ascii="Times New Roman" w:hAnsi="Times New Roman" w:eastAsia="宋体"/>
                <w:b/>
                <w:color w:val="5A606E"/>
                <w:sz w:val="22"/>
              </w:rPr>
              <w:t>建议替换为：点击“增强”后，词卡显示同义、构词、词族、例句和来源语境的截图</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6.3 学习反思/自评记录模块</w:t>
      </w:r>
    </w:p>
    <w:p>
      <w:pPr>
        <w:spacing w:before="0" w:after="0" w:line="300" w:lineRule="auto"/>
        <w:ind w:firstLine="420"/>
      </w:pPr>
      <w:r>
        <w:rPr>
          <w:rFonts w:ascii="Times New Roman" w:hAnsi="Times New Roman" w:eastAsia="宋体"/>
          <w:b w:val="0"/>
          <w:color w:val="000000"/>
          <w:sz w:val="24"/>
        </w:rPr>
        <w:t>学习反思/自评记录模块是本次新增的轻量功能。学习者可以在看板中记录认知负荷、学习焦虑和复习信心三个 1-5 分指标，并填写下一步学习计划。</w:t>
      </w:r>
    </w:p>
    <w:p>
      <w:pPr>
        <w:spacing w:before="0" w:after="0" w:line="300" w:lineRule="auto"/>
        <w:ind w:firstLine="420"/>
      </w:pPr>
      <w:r>
        <w:rPr>
          <w:rFonts w:ascii="Times New Roman" w:hAnsi="Times New Roman" w:eastAsia="宋体"/>
          <w:b w:val="0"/>
          <w:color w:val="000000"/>
          <w:sz w:val="24"/>
        </w:rPr>
        <w:t>该模块的数据保存在浏览器 localStorage 中，并参与看板统计与 Markdown 导出。与词汇日志不同，自评数据属于主观过程指标，反映学习者对当前状态的监控和计划，而不是考试成绩。</w:t>
      </w:r>
    </w:p>
    <w:p>
      <w:pPr>
        <w:spacing w:before="0" w:after="0" w:line="300" w:lineRule="auto"/>
        <w:ind w:firstLine="420"/>
      </w:pPr>
      <w:r>
        <w:rPr>
          <w:rFonts w:ascii="Times New Roman" w:hAnsi="Times New Roman" w:eastAsia="宋体"/>
          <w:b w:val="0"/>
          <w:color w:val="000000"/>
          <w:sz w:val="24"/>
        </w:rPr>
        <w:t>从知识管理角度看，自评记录把学习者脑中的隐性状态外化为显性记录，使系统不仅管理语言知识点，也管理学习者对自身学习过程的认识。</w:t>
      </w:r>
    </w:p>
    <w:p>
      <w:pPr>
        <w:keepNext/>
        <w:spacing w:before="0" w:after="80" w:line="300" w:lineRule="auto"/>
        <w:jc w:val="center"/>
      </w:pPr>
      <w:r>
        <w:rPr>
          <w:rFonts w:ascii="Times New Roman" w:hAnsi="Times New Roman" w:eastAsia="宋体"/>
          <w:b/>
          <w:color w:val="000000"/>
          <w:sz w:val="21"/>
        </w:rPr>
        <w:t>图6-3 学习反思/自评记录截图占位</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72"/>
      </w:tblGrid>
      <w:tr>
        <w:tc>
          <w:tcPr>
            <w:tcW w:type="dxa" w:w="9360"/>
            <w:shd w:fill="F8FAFC"/>
          </w:tcPr>
          <w:p>
            <w:pPr>
              <w:spacing w:before="480" w:after="480"/>
              <w:jc w:val="center"/>
            </w:pPr>
            <w:r>
              <w:rPr>
                <w:rFonts w:ascii="Times New Roman" w:hAnsi="Times New Roman" w:eastAsia="宋体"/>
                <w:b/>
                <w:color w:val="5A606E"/>
                <w:sz w:val="22"/>
              </w:rPr>
              <w:t>建议替换为：保存一次反思后，显示最近记录与均值统计的截图</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6.4 PKM Markdown 导出模块</w:t>
      </w:r>
    </w:p>
    <w:p>
      <w:pPr>
        <w:spacing w:before="0" w:after="0" w:line="300" w:lineRule="auto"/>
        <w:ind w:firstLine="420"/>
      </w:pPr>
      <w:r>
        <w:rPr>
          <w:rFonts w:ascii="Times New Roman" w:hAnsi="Times New Roman" w:eastAsia="宋体"/>
          <w:b w:val="0"/>
          <w:color w:val="000000"/>
          <w:sz w:val="24"/>
        </w:rPr>
        <w:t>PKM Markdown 导出模块把系统内部状态转换为可长期保存的知识库文件。导出内容包含中文 YAML Frontmatter、知识资产看板、指标口径说明、DIKW 映射、SECI 映射、近期学习会话、学习反思记录和词汇知识卡片。</w:t>
      </w:r>
    </w:p>
    <w:p>
      <w:pPr>
        <w:spacing w:before="0" w:after="0" w:line="300" w:lineRule="auto"/>
        <w:ind w:firstLine="420"/>
      </w:pPr>
      <w:r>
        <w:rPr>
          <w:rFonts w:ascii="Times New Roman" w:hAnsi="Times New Roman" w:eastAsia="宋体"/>
          <w:b w:val="0"/>
          <w:color w:val="000000"/>
          <w:sz w:val="24"/>
        </w:rPr>
        <w:t>每个词汇卡片使用 Obsidian 双链形式，例如 [[词汇/雅思/impact]]，并带有 #词汇/雅思、#个人知识管理/语言学习 等标签。这样导出的文件既能作为学习资料，也能作为大作业成果截图。</w:t>
      </w:r>
    </w:p>
    <w:p>
      <w:pPr>
        <w:keepNext/>
        <w:spacing w:before="0" w:after="80" w:line="300" w:lineRule="auto"/>
        <w:jc w:val="center"/>
      </w:pPr>
      <w:r>
        <w:rPr>
          <w:rFonts w:ascii="Times New Roman" w:hAnsi="Times New Roman" w:eastAsia="宋体"/>
          <w:b/>
          <w:color w:val="000000"/>
          <w:sz w:val="21"/>
        </w:rPr>
        <w:t>图6-4 Markdown 导出文件截图占位</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9072"/>
      </w:tblGrid>
      <w:tr>
        <w:tc>
          <w:tcPr>
            <w:tcW w:type="dxa" w:w="9360"/>
            <w:shd w:fill="F8FAFC"/>
          </w:tcPr>
          <w:p>
            <w:pPr>
              <w:spacing w:before="480" w:after="480"/>
              <w:jc w:val="center"/>
            </w:pPr>
            <w:r>
              <w:rPr>
                <w:rFonts w:ascii="Times New Roman" w:hAnsi="Times New Roman" w:eastAsia="宋体"/>
                <w:b/>
                <w:color w:val="5A606E"/>
                <w:sz w:val="22"/>
              </w:rPr>
              <w:t>建议替换为：下载的 LingoLeap-雅思个人知识库-日期.md 在编辑器或 Obsidian 中打开的截图</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7 指标体系与知识资产看板</w:t>
      </w:r>
    </w:p>
    <w:p>
      <w:pPr>
        <w:spacing w:before="0" w:after="0" w:line="300" w:lineRule="auto"/>
        <w:ind w:firstLine="420"/>
      </w:pPr>
      <w:r>
        <w:rPr>
          <w:rFonts w:ascii="Times New Roman" w:hAnsi="Times New Roman" w:eastAsia="宋体"/>
          <w:b w:val="0"/>
          <w:color w:val="000000"/>
          <w:sz w:val="24"/>
        </w:rPr>
        <w:t>指标体系的核心不是追求数字越多越好，而是确保每个数字都有来源、有解释、有边界。系统将指标分为已观测指标、已采集自评指标和待采集指标三类。</w:t>
      </w:r>
    </w:p>
    <w:p>
      <w:pPr>
        <w:spacing w:before="0" w:after="0" w:line="300" w:lineRule="auto"/>
        <w:ind w:firstLine="420"/>
      </w:pPr>
      <w:r>
        <w:rPr>
          <w:rFonts w:ascii="Times New Roman" w:hAnsi="Times New Roman" w:eastAsia="宋体"/>
          <w:b w:val="0"/>
          <w:color w:val="000000"/>
          <w:sz w:val="24"/>
        </w:rPr>
        <w:t>已观测指标来自系统日志，例如词汇卡片数、目标词在历史消息中的出现次数、目标词在用户消息中的出现次数。已采集自评指标来自学习者手动填写。待采集指标则明确标注需要未来数据。</w:t>
      </w:r>
    </w:p>
    <w:p>
      <w:pPr>
        <w:keepNext/>
        <w:spacing w:before="0" w:after="80" w:line="300" w:lineRule="auto"/>
        <w:jc w:val="center"/>
      </w:pPr>
      <w:r>
        <w:rPr>
          <w:rFonts w:ascii="Times New Roman" w:hAnsi="Times New Roman" w:eastAsia="宋体"/>
          <w:b/>
          <w:color w:val="000000"/>
          <w:sz w:val="21"/>
        </w:rPr>
        <w:t>表7-1 指标体系与数据来源</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268"/>
        <w:gridCol w:w="2268"/>
        <w:gridCol w:w="2268"/>
        <w:gridCol w:w="2268"/>
      </w:tblGrid>
      <w:tr>
        <w:tc>
          <w:tcPr>
            <w:tcW w:type="dxa" w:w="1728"/>
            <w:vAlign w:val="center"/>
            <w:shd w:fill="F2F4F7"/>
          </w:tcPr>
          <w:p>
            <w:pPr>
              <w:spacing w:after="0" w:line="276" w:lineRule="auto"/>
              <w:jc w:val="center"/>
            </w:pPr>
            <w:r/>
            <w:r>
              <w:rPr>
                <w:rFonts w:ascii="Times New Roman" w:hAnsi="Times New Roman" w:eastAsia="宋体"/>
                <w:b/>
                <w:sz w:val="21"/>
              </w:rPr>
              <w:t>指标</w:t>
            </w:r>
          </w:p>
        </w:tc>
        <w:tc>
          <w:tcPr>
            <w:tcW w:type="dxa" w:w="1728"/>
            <w:vAlign w:val="center"/>
            <w:shd w:fill="F2F4F7"/>
          </w:tcPr>
          <w:p>
            <w:pPr>
              <w:spacing w:after="0" w:line="276" w:lineRule="auto"/>
              <w:jc w:val="center"/>
            </w:pPr>
            <w:r/>
            <w:r>
              <w:rPr>
                <w:rFonts w:ascii="Times New Roman" w:hAnsi="Times New Roman" w:eastAsia="宋体"/>
                <w:b/>
                <w:sz w:val="21"/>
              </w:rPr>
              <w:t>类型</w:t>
            </w:r>
          </w:p>
        </w:tc>
        <w:tc>
          <w:tcPr>
            <w:tcW w:type="dxa" w:w="3312"/>
            <w:vAlign w:val="center"/>
            <w:shd w:fill="F2F4F7"/>
          </w:tcPr>
          <w:p>
            <w:pPr>
              <w:spacing w:after="0" w:line="276" w:lineRule="auto"/>
              <w:jc w:val="center"/>
            </w:pPr>
            <w:r/>
            <w:r>
              <w:rPr>
                <w:rFonts w:ascii="Times New Roman" w:hAnsi="Times New Roman" w:eastAsia="宋体"/>
                <w:b/>
                <w:sz w:val="21"/>
              </w:rPr>
              <w:t>计算/采集方式</w:t>
            </w:r>
          </w:p>
        </w:tc>
        <w:tc>
          <w:tcPr>
            <w:tcW w:type="dxa" w:w="2592"/>
            <w:vAlign w:val="center"/>
            <w:shd w:fill="F2F4F7"/>
          </w:tcPr>
          <w:p>
            <w:pPr>
              <w:spacing w:after="0" w:line="276" w:lineRule="auto"/>
              <w:jc w:val="center"/>
            </w:pPr>
            <w:r/>
            <w:r>
              <w:rPr>
                <w:rFonts w:ascii="Times New Roman" w:hAnsi="Times New Roman" w:eastAsia="宋体"/>
                <w:b/>
                <w:sz w:val="21"/>
              </w:rPr>
              <w:t>解释边界</w:t>
            </w:r>
          </w:p>
        </w:tc>
      </w:tr>
      <w:tr>
        <w:tc>
          <w:tcPr>
            <w:tcW w:type="dxa" w:w="2268"/>
            <w:vAlign w:val="center"/>
          </w:tcPr>
          <w:p>
            <w:pPr>
              <w:spacing w:after="0" w:line="276" w:lineRule="auto"/>
              <w:jc w:val="center"/>
            </w:pPr>
            <w:r/>
            <w:r>
              <w:rPr>
                <w:rFonts w:ascii="Times New Roman" w:hAnsi="Times New Roman" w:eastAsia="宋体"/>
                <w:b w:val="0"/>
                <w:sz w:val="21"/>
              </w:rPr>
              <w:t>词汇卡片</w:t>
            </w:r>
          </w:p>
        </w:tc>
        <w:tc>
          <w:tcPr>
            <w:tcW w:type="dxa" w:w="2268"/>
            <w:vAlign w:val="center"/>
          </w:tcPr>
          <w:p>
            <w:pPr>
              <w:spacing w:after="0" w:line="276" w:lineRule="auto"/>
              <w:jc w:val="left"/>
            </w:pPr>
            <w:r/>
            <w:r>
              <w:rPr>
                <w:rFonts w:ascii="Times New Roman" w:hAnsi="Times New Roman" w:eastAsia="宋体"/>
                <w:b w:val="0"/>
                <w:sz w:val="21"/>
              </w:rPr>
              <w:t>已观测</w:t>
            </w:r>
          </w:p>
        </w:tc>
        <w:tc>
          <w:tcPr>
            <w:tcW w:type="dxa" w:w="2268"/>
            <w:vAlign w:val="center"/>
          </w:tcPr>
          <w:p>
            <w:pPr>
              <w:spacing w:after="0" w:line="276" w:lineRule="auto"/>
              <w:jc w:val="left"/>
            </w:pPr>
            <w:r/>
            <w:r>
              <w:rPr>
                <w:rFonts w:ascii="Times New Roman" w:hAnsi="Times New Roman" w:eastAsia="宋体"/>
                <w:b w:val="0"/>
                <w:sz w:val="21"/>
              </w:rPr>
              <w:t>vocabulary.length</w:t>
            </w:r>
          </w:p>
        </w:tc>
        <w:tc>
          <w:tcPr>
            <w:tcW w:type="dxa" w:w="2268"/>
            <w:vAlign w:val="center"/>
          </w:tcPr>
          <w:p>
            <w:pPr>
              <w:spacing w:after="0" w:line="276" w:lineRule="auto"/>
              <w:jc w:val="left"/>
            </w:pPr>
            <w:r/>
            <w:r>
              <w:rPr>
                <w:rFonts w:ascii="Times New Roman" w:hAnsi="Times New Roman" w:eastAsia="宋体"/>
                <w:b w:val="0"/>
                <w:sz w:val="21"/>
              </w:rPr>
              <w:t>知识外化规模</w:t>
            </w:r>
          </w:p>
        </w:tc>
      </w:tr>
      <w:tr>
        <w:tc>
          <w:tcPr>
            <w:tcW w:type="dxa" w:w="2268"/>
            <w:vAlign w:val="center"/>
          </w:tcPr>
          <w:p>
            <w:pPr>
              <w:spacing w:after="0" w:line="276" w:lineRule="auto"/>
              <w:jc w:val="center"/>
            </w:pPr>
            <w:r/>
            <w:r>
              <w:rPr>
                <w:rFonts w:ascii="Times New Roman" w:hAnsi="Times New Roman" w:eastAsia="宋体"/>
                <w:b w:val="0"/>
                <w:sz w:val="21"/>
              </w:rPr>
              <w:t>语境暴露</w:t>
            </w:r>
          </w:p>
        </w:tc>
        <w:tc>
          <w:tcPr>
            <w:tcW w:type="dxa" w:w="2268"/>
            <w:vAlign w:val="center"/>
          </w:tcPr>
          <w:p>
            <w:pPr>
              <w:spacing w:after="0" w:line="276" w:lineRule="auto"/>
              <w:jc w:val="left"/>
            </w:pPr>
            <w:r/>
            <w:r>
              <w:rPr>
                <w:rFonts w:ascii="Times New Roman" w:hAnsi="Times New Roman" w:eastAsia="宋体"/>
                <w:b w:val="0"/>
                <w:sz w:val="21"/>
              </w:rPr>
              <w:t>已观测</w:t>
            </w:r>
          </w:p>
        </w:tc>
        <w:tc>
          <w:tcPr>
            <w:tcW w:type="dxa" w:w="2268"/>
            <w:vAlign w:val="center"/>
          </w:tcPr>
          <w:p>
            <w:pPr>
              <w:spacing w:after="0" w:line="276" w:lineRule="auto"/>
              <w:jc w:val="left"/>
            </w:pPr>
            <w:r/>
            <w:r>
              <w:rPr>
                <w:rFonts w:ascii="Times New Roman" w:hAnsi="Times New Roman" w:eastAsia="宋体"/>
                <w:b w:val="0"/>
                <w:sz w:val="21"/>
              </w:rPr>
              <w:t>目标词命中历史消息</w:t>
            </w:r>
          </w:p>
        </w:tc>
        <w:tc>
          <w:tcPr>
            <w:tcW w:type="dxa" w:w="2268"/>
            <w:vAlign w:val="center"/>
          </w:tcPr>
          <w:p>
            <w:pPr>
              <w:spacing w:after="0" w:line="276" w:lineRule="auto"/>
              <w:jc w:val="left"/>
            </w:pPr>
            <w:r/>
            <w:r>
              <w:rPr>
                <w:rFonts w:ascii="Times New Roman" w:hAnsi="Times New Roman" w:eastAsia="宋体"/>
                <w:b w:val="0"/>
                <w:sz w:val="21"/>
              </w:rPr>
              <w:t>输入痕迹</w:t>
            </w:r>
          </w:p>
        </w:tc>
      </w:tr>
      <w:tr>
        <w:tc>
          <w:tcPr>
            <w:tcW w:type="dxa" w:w="2268"/>
            <w:vAlign w:val="center"/>
          </w:tcPr>
          <w:p>
            <w:pPr>
              <w:spacing w:after="0" w:line="276" w:lineRule="auto"/>
              <w:jc w:val="center"/>
            </w:pPr>
            <w:r/>
            <w:r>
              <w:rPr>
                <w:rFonts w:ascii="Times New Roman" w:hAnsi="Times New Roman" w:eastAsia="宋体"/>
                <w:b w:val="0"/>
                <w:sz w:val="21"/>
              </w:rPr>
              <w:t>主动使用</w:t>
            </w:r>
          </w:p>
        </w:tc>
        <w:tc>
          <w:tcPr>
            <w:tcW w:type="dxa" w:w="2268"/>
            <w:vAlign w:val="center"/>
          </w:tcPr>
          <w:p>
            <w:pPr>
              <w:spacing w:after="0" w:line="276" w:lineRule="auto"/>
              <w:jc w:val="left"/>
            </w:pPr>
            <w:r/>
            <w:r>
              <w:rPr>
                <w:rFonts w:ascii="Times New Roman" w:hAnsi="Times New Roman" w:eastAsia="宋体"/>
                <w:b w:val="0"/>
                <w:sz w:val="21"/>
              </w:rPr>
              <w:t>已观测</w:t>
            </w:r>
          </w:p>
        </w:tc>
        <w:tc>
          <w:tcPr>
            <w:tcW w:type="dxa" w:w="2268"/>
            <w:vAlign w:val="center"/>
          </w:tcPr>
          <w:p>
            <w:pPr>
              <w:spacing w:after="0" w:line="276" w:lineRule="auto"/>
              <w:jc w:val="left"/>
            </w:pPr>
            <w:r/>
            <w:r>
              <w:rPr>
                <w:rFonts w:ascii="Times New Roman" w:hAnsi="Times New Roman" w:eastAsia="宋体"/>
                <w:b w:val="0"/>
                <w:sz w:val="21"/>
              </w:rPr>
              <w:t>目标词命中用户消息</w:t>
            </w:r>
          </w:p>
        </w:tc>
        <w:tc>
          <w:tcPr>
            <w:tcW w:type="dxa" w:w="2268"/>
            <w:vAlign w:val="center"/>
          </w:tcPr>
          <w:p>
            <w:pPr>
              <w:spacing w:after="0" w:line="276" w:lineRule="auto"/>
              <w:jc w:val="left"/>
            </w:pPr>
            <w:r/>
            <w:r>
              <w:rPr>
                <w:rFonts w:ascii="Times New Roman" w:hAnsi="Times New Roman" w:eastAsia="宋体"/>
                <w:b w:val="0"/>
                <w:sz w:val="21"/>
              </w:rPr>
              <w:t>输出痕迹</w:t>
            </w:r>
          </w:p>
        </w:tc>
      </w:tr>
      <w:tr>
        <w:tc>
          <w:tcPr>
            <w:tcW w:type="dxa" w:w="2268"/>
            <w:vAlign w:val="center"/>
          </w:tcPr>
          <w:p>
            <w:pPr>
              <w:spacing w:after="0" w:line="276" w:lineRule="auto"/>
              <w:jc w:val="center"/>
            </w:pPr>
            <w:r/>
            <w:r>
              <w:rPr>
                <w:rFonts w:ascii="Times New Roman" w:hAnsi="Times New Roman" w:eastAsia="宋体"/>
                <w:b w:val="0"/>
                <w:sz w:val="21"/>
              </w:rPr>
              <w:t>认知负荷</w:t>
            </w:r>
          </w:p>
        </w:tc>
        <w:tc>
          <w:tcPr>
            <w:tcW w:type="dxa" w:w="2268"/>
            <w:vAlign w:val="center"/>
          </w:tcPr>
          <w:p>
            <w:pPr>
              <w:spacing w:after="0" w:line="276" w:lineRule="auto"/>
              <w:jc w:val="left"/>
            </w:pPr>
            <w:r/>
            <w:r>
              <w:rPr>
                <w:rFonts w:ascii="Times New Roman" w:hAnsi="Times New Roman" w:eastAsia="宋体"/>
                <w:b w:val="0"/>
                <w:sz w:val="21"/>
              </w:rPr>
              <w:t>自评采集</w:t>
            </w:r>
          </w:p>
        </w:tc>
        <w:tc>
          <w:tcPr>
            <w:tcW w:type="dxa" w:w="2268"/>
            <w:vAlign w:val="center"/>
          </w:tcPr>
          <w:p>
            <w:pPr>
              <w:spacing w:after="0" w:line="276" w:lineRule="auto"/>
              <w:jc w:val="left"/>
            </w:pPr>
            <w:r/>
            <w:r>
              <w:rPr>
                <w:rFonts w:ascii="Times New Roman" w:hAnsi="Times New Roman" w:eastAsia="宋体"/>
                <w:b w:val="0"/>
                <w:sz w:val="21"/>
              </w:rPr>
              <w:t>1-5 分滑杆均值</w:t>
            </w:r>
          </w:p>
        </w:tc>
        <w:tc>
          <w:tcPr>
            <w:tcW w:type="dxa" w:w="2268"/>
            <w:vAlign w:val="center"/>
          </w:tcPr>
          <w:p>
            <w:pPr>
              <w:spacing w:after="0" w:line="276" w:lineRule="auto"/>
              <w:jc w:val="left"/>
            </w:pPr>
            <w:r/>
            <w:r>
              <w:rPr>
                <w:rFonts w:ascii="Times New Roman" w:hAnsi="Times New Roman" w:eastAsia="宋体"/>
                <w:b w:val="0"/>
                <w:sz w:val="21"/>
              </w:rPr>
              <w:t>主观状态</w:t>
            </w:r>
          </w:p>
        </w:tc>
      </w:tr>
      <w:tr>
        <w:tc>
          <w:tcPr>
            <w:tcW w:type="dxa" w:w="2268"/>
            <w:vAlign w:val="center"/>
          </w:tcPr>
          <w:p>
            <w:pPr>
              <w:spacing w:after="0" w:line="276" w:lineRule="auto"/>
              <w:jc w:val="center"/>
            </w:pPr>
            <w:r/>
            <w:r>
              <w:rPr>
                <w:rFonts w:ascii="Times New Roman" w:hAnsi="Times New Roman" w:eastAsia="宋体"/>
                <w:b w:val="0"/>
                <w:sz w:val="21"/>
              </w:rPr>
              <w:t>主动回忆成功率</w:t>
            </w:r>
          </w:p>
        </w:tc>
        <w:tc>
          <w:tcPr>
            <w:tcW w:type="dxa" w:w="2268"/>
            <w:vAlign w:val="center"/>
          </w:tcPr>
          <w:p>
            <w:pPr>
              <w:spacing w:after="0" w:line="276" w:lineRule="auto"/>
              <w:jc w:val="left"/>
            </w:pPr>
            <w:r/>
            <w:r>
              <w:rPr>
                <w:rFonts w:ascii="Times New Roman" w:hAnsi="Times New Roman" w:eastAsia="宋体"/>
                <w:b w:val="0"/>
                <w:sz w:val="21"/>
              </w:rPr>
              <w:t>待采集</w:t>
            </w:r>
          </w:p>
        </w:tc>
        <w:tc>
          <w:tcPr>
            <w:tcW w:type="dxa" w:w="2268"/>
            <w:vAlign w:val="center"/>
          </w:tcPr>
          <w:p>
            <w:pPr>
              <w:spacing w:after="0" w:line="276" w:lineRule="auto"/>
              <w:jc w:val="left"/>
            </w:pPr>
            <w:r/>
            <w:r>
              <w:rPr>
                <w:rFonts w:ascii="Times New Roman" w:hAnsi="Times New Roman" w:eastAsia="宋体"/>
                <w:b w:val="0"/>
                <w:sz w:val="21"/>
              </w:rPr>
              <w:t>测验正确次数/总次数</w:t>
            </w:r>
          </w:p>
        </w:tc>
        <w:tc>
          <w:tcPr>
            <w:tcW w:type="dxa" w:w="2268"/>
            <w:vAlign w:val="center"/>
          </w:tcPr>
          <w:p>
            <w:pPr>
              <w:spacing w:after="0" w:line="276" w:lineRule="auto"/>
              <w:jc w:val="left"/>
            </w:pPr>
            <w:r/>
            <w:r>
              <w:rPr>
                <w:rFonts w:ascii="Times New Roman" w:hAnsi="Times New Roman" w:eastAsia="宋体"/>
                <w:b w:val="0"/>
                <w:sz w:val="21"/>
              </w:rPr>
              <w:t>未来测验模块</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8 系统实现与运行流程</w:t>
      </w:r>
    </w:p>
    <w:p>
      <w:pPr>
        <w:spacing w:before="0" w:after="0" w:line="300" w:lineRule="auto"/>
        <w:ind w:firstLine="420"/>
      </w:pPr>
      <w:r>
        <w:rPr>
          <w:rFonts w:ascii="Times New Roman" w:hAnsi="Times New Roman" w:eastAsia="宋体"/>
          <w:b w:val="0"/>
          <w:color w:val="000000"/>
          <w:sz w:val="24"/>
        </w:rPr>
        <w:t>实现层面，本次改造集中在 VocabularyPanel 组件中完成。该组件本来承担生词本、历史对话和导出功能，因此在其中增加看板和自评记录，能最大限度减少对主聊天流程、模型调用和语音播放等基础功能的影响。</w:t>
      </w:r>
    </w:p>
    <w:p>
      <w:pPr>
        <w:spacing w:before="0" w:after="0" w:line="300" w:lineRule="auto"/>
        <w:ind w:firstLine="420"/>
      </w:pPr>
      <w:r>
        <w:rPr>
          <w:rFonts w:ascii="Times New Roman" w:hAnsi="Times New Roman" w:eastAsia="宋体"/>
          <w:b w:val="0"/>
          <w:color w:val="000000"/>
          <w:sz w:val="24"/>
        </w:rPr>
        <w:t>知识资产看板通过 sessions、messages、vocabulary 和 pendingWords 计算指标。反思记录通过 localStorage 保存，避免引入后端数据库。Markdown 导出通过浏览器下载机制生成文件，保证演示时不依赖额外服务。</w:t>
      </w:r>
    </w:p>
    <w:p>
      <w:pPr>
        <w:keepNext/>
        <w:spacing w:before="0" w:after="80" w:line="300" w:lineRule="auto"/>
        <w:jc w:val="center"/>
      </w:pPr>
      <w:r>
        <w:rPr>
          <w:rFonts w:ascii="Times New Roman" w:hAnsi="Times New Roman" w:eastAsia="宋体"/>
          <w:b/>
          <w:color w:val="000000"/>
          <w:sz w:val="21"/>
        </w:rPr>
        <w:t>图8-1 系统运行流程</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14"/>
        <w:gridCol w:w="1814"/>
        <w:gridCol w:w="1814"/>
        <w:gridCol w:w="1814"/>
        <w:gridCol w:w="1814"/>
      </w:tblGrid>
      <w:tr>
        <w:tc>
          <w:tcPr>
            <w:tcW w:type="dxa" w:w="1872"/>
            <w:vAlign w:val="center"/>
            <w:shd w:fill="F4F6F9"/>
          </w:tcPr>
          <w:p>
            <w:pPr>
              <w:spacing w:after="0" w:line="276" w:lineRule="auto"/>
              <w:jc w:val="center"/>
            </w:pPr>
            <w:r/>
            <w:r>
              <w:rPr>
                <w:rFonts w:ascii="Times New Roman" w:hAnsi="Times New Roman" w:eastAsia="宋体"/>
                <w:b/>
                <w:sz w:val="20"/>
              </w:rPr>
              <w:t>输入</w:t>
              <w:br/>
              <w:t>聊天/文本/手动词汇</w:t>
            </w:r>
          </w:p>
        </w:tc>
        <w:tc>
          <w:tcPr>
            <w:tcW w:type="dxa" w:w="1872"/>
            <w:vAlign w:val="center"/>
            <w:shd w:fill="F4F6F9"/>
          </w:tcPr>
          <w:p>
            <w:pPr>
              <w:spacing w:after="0" w:line="276" w:lineRule="auto"/>
              <w:jc w:val="center"/>
            </w:pPr>
            <w:r/>
            <w:r>
              <w:rPr>
                <w:rFonts w:ascii="Times New Roman" w:hAnsi="Times New Roman" w:eastAsia="宋体"/>
                <w:b/>
                <w:sz w:val="20"/>
              </w:rPr>
              <w:t>记录</w:t>
              <w:br/>
              <w:t>词卡与会话</w:t>
            </w:r>
          </w:p>
        </w:tc>
        <w:tc>
          <w:tcPr>
            <w:tcW w:type="dxa" w:w="1872"/>
            <w:vAlign w:val="center"/>
            <w:shd w:fill="F4F6F9"/>
          </w:tcPr>
          <w:p>
            <w:pPr>
              <w:spacing w:after="0" w:line="276" w:lineRule="auto"/>
              <w:jc w:val="center"/>
            </w:pPr>
            <w:r/>
            <w:r>
              <w:rPr>
                <w:rFonts w:ascii="Times New Roman" w:hAnsi="Times New Roman" w:eastAsia="宋体"/>
                <w:b/>
                <w:sz w:val="20"/>
              </w:rPr>
              <w:t>增强</w:t>
              <w:br/>
              <w:t>同义/构词/例句</w:t>
            </w:r>
          </w:p>
        </w:tc>
        <w:tc>
          <w:tcPr>
            <w:tcW w:type="dxa" w:w="1872"/>
            <w:vAlign w:val="center"/>
            <w:shd w:fill="F4F6F9"/>
          </w:tcPr>
          <w:p>
            <w:pPr>
              <w:spacing w:after="0" w:line="276" w:lineRule="auto"/>
              <w:jc w:val="center"/>
            </w:pPr>
            <w:r/>
            <w:r>
              <w:rPr>
                <w:rFonts w:ascii="Times New Roman" w:hAnsi="Times New Roman" w:eastAsia="宋体"/>
                <w:b/>
                <w:sz w:val="20"/>
              </w:rPr>
              <w:t>自评</w:t>
              <w:br/>
              <w:t>负荷/焦虑/信心</w:t>
            </w:r>
          </w:p>
        </w:tc>
        <w:tc>
          <w:tcPr>
            <w:tcW w:type="dxa" w:w="1872"/>
            <w:vAlign w:val="center"/>
            <w:shd w:fill="F4F6F9"/>
          </w:tcPr>
          <w:p>
            <w:pPr>
              <w:spacing w:after="0" w:line="276" w:lineRule="auto"/>
              <w:jc w:val="center"/>
            </w:pPr>
            <w:r/>
            <w:r>
              <w:rPr>
                <w:rFonts w:ascii="Times New Roman" w:hAnsi="Times New Roman" w:eastAsia="宋体"/>
                <w:b/>
                <w:sz w:val="20"/>
              </w:rPr>
              <w:t>导出</w:t>
              <w:br/>
              <w:t>Markdown 知识库</w:t>
            </w:r>
          </w:p>
        </w:tc>
      </w:tr>
    </w:tbl>
    <w:p>
      <w:pPr>
        <w:spacing w:before="0" w:after="80" w:line="300" w:lineRule="auto"/>
      </w:pPr>
      <w:r>
        <w:rPr>
          <w:rFonts w:ascii="Times New Roman" w:hAnsi="Times New Roman" w:eastAsia="宋体"/>
          <w:b w:val="0"/>
          <w:color w:val="000000"/>
          <w:sz w:val="24"/>
        </w:rPr>
      </w:r>
    </w:p>
    <w:p>
      <w:pPr>
        <w:pStyle w:val="ListNumber"/>
        <w:spacing w:after="0" w:line="300" w:lineRule="auto"/>
      </w:pPr>
      <w:r>
        <w:rPr>
          <w:rFonts w:ascii="Times New Roman" w:hAnsi="Times New Roman" w:eastAsia="宋体"/>
          <w:sz w:val="24"/>
        </w:rPr>
        <w:t>学习者在聊天或阅读过程中记录生词。</w:t>
      </w:r>
    </w:p>
    <w:p>
      <w:pPr>
        <w:pStyle w:val="ListNumber"/>
        <w:spacing w:after="0" w:line="300" w:lineRule="auto"/>
      </w:pPr>
      <w:r>
        <w:rPr>
          <w:rFonts w:ascii="Times New Roman" w:hAnsi="Times New Roman" w:eastAsia="宋体"/>
          <w:sz w:val="24"/>
        </w:rPr>
        <w:t>系统将词汇加入本地词库，并与历史消息进行命中匹配。</w:t>
      </w:r>
    </w:p>
    <w:p>
      <w:pPr>
        <w:pStyle w:val="ListNumber"/>
        <w:spacing w:after="0" w:line="300" w:lineRule="auto"/>
      </w:pPr>
      <w:r>
        <w:rPr>
          <w:rFonts w:ascii="Times New Roman" w:hAnsi="Times New Roman" w:eastAsia="宋体"/>
          <w:sz w:val="24"/>
        </w:rPr>
        <w:t>学习者点击“增强”生成深加工卡片。</w:t>
      </w:r>
    </w:p>
    <w:p>
      <w:pPr>
        <w:pStyle w:val="ListNumber"/>
        <w:spacing w:after="0" w:line="300" w:lineRule="auto"/>
      </w:pPr>
      <w:r>
        <w:rPr>
          <w:rFonts w:ascii="Times New Roman" w:hAnsi="Times New Roman" w:eastAsia="宋体"/>
          <w:sz w:val="24"/>
        </w:rPr>
        <w:t>学习后填写反思自评与下一步计划。</w:t>
      </w:r>
    </w:p>
    <w:p>
      <w:pPr>
        <w:pStyle w:val="ListNumber"/>
        <w:spacing w:after="0" w:line="300" w:lineRule="auto"/>
      </w:pPr>
      <w:r>
        <w:rPr>
          <w:rFonts w:ascii="Times New Roman" w:hAnsi="Times New Roman" w:eastAsia="宋体"/>
          <w:sz w:val="24"/>
        </w:rPr>
        <w:t>点击 PKM 导出，生成可接入 Obsidian 的 Markdown 文件。</w:t>
      </w:r>
    </w:p>
    <w:p>
      <w:r>
        <w:br w:type="page"/>
      </w:r>
    </w:p>
    <w:p>
      <w:pPr>
        <w:pStyle w:val="Heading1"/>
        <w:spacing w:before="0" w:after="220" w:line="360" w:lineRule="auto"/>
      </w:pPr>
      <w:r>
        <w:rPr>
          <w:rFonts w:ascii="Times New Roman" w:hAnsi="Times New Roman" w:eastAsia="黑体"/>
          <w:b/>
          <w:color w:val="000000"/>
          <w:sz w:val="30"/>
        </w:rPr>
        <w:t>9 成果展示与配图说明</w:t>
      </w:r>
    </w:p>
    <w:p>
      <w:pPr>
        <w:spacing w:before="0" w:after="0" w:line="300" w:lineRule="auto"/>
        <w:ind w:firstLine="420"/>
      </w:pPr>
      <w:r>
        <w:rPr>
          <w:rFonts w:ascii="Times New Roman" w:hAnsi="Times New Roman" w:eastAsia="宋体"/>
          <w:b w:val="0"/>
          <w:color w:val="000000"/>
          <w:sz w:val="24"/>
        </w:rPr>
        <w:t>成果展示部分建议在最终提交前插入四类真实截图：主界面、知识资产看板、语境增强词卡、学习反思记录、Markdown 导出文件以及 Obsidian 双链效果。</w:t>
      </w:r>
    </w:p>
    <w:p>
      <w:pPr>
        <w:spacing w:before="0" w:after="0" w:line="300" w:lineRule="auto"/>
        <w:ind w:firstLine="420"/>
      </w:pPr>
      <w:r>
        <w:rPr>
          <w:rFonts w:ascii="Times New Roman" w:hAnsi="Times New Roman" w:eastAsia="宋体"/>
          <w:b w:val="0"/>
          <w:color w:val="000000"/>
          <w:sz w:val="24"/>
        </w:rPr>
        <w:t>本报告已预留截图框，并提供图题。替换截图时应保留图题和编号，使正文引用保持一致。若时间不足，也可以保留系统架构图、指标表和流程图作为配图，但真实截图更能证明程序已经运行。</w:t>
      </w:r>
    </w:p>
    <w:p>
      <w:pPr>
        <w:keepNext/>
        <w:spacing w:before="0" w:after="80" w:line="300" w:lineRule="auto"/>
        <w:jc w:val="center"/>
      </w:pPr>
      <w:r>
        <w:rPr>
          <w:rFonts w:ascii="Times New Roman" w:hAnsi="Times New Roman" w:eastAsia="宋体"/>
          <w:b/>
          <w:color w:val="000000"/>
          <w:sz w:val="21"/>
        </w:rPr>
        <w:t>表9-1 建议截图清单</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2160"/>
            <w:vAlign w:val="center"/>
            <w:shd w:fill="F2F4F7"/>
          </w:tcPr>
          <w:p>
            <w:pPr>
              <w:spacing w:after="0" w:line="276" w:lineRule="auto"/>
              <w:jc w:val="center"/>
            </w:pPr>
            <w:r/>
            <w:r>
              <w:rPr>
                <w:rFonts w:ascii="Times New Roman" w:hAnsi="Times New Roman" w:eastAsia="宋体"/>
                <w:b/>
                <w:sz w:val="21"/>
              </w:rPr>
              <w:t>截图</w:t>
            </w:r>
          </w:p>
        </w:tc>
        <w:tc>
          <w:tcPr>
            <w:tcW w:type="dxa" w:w="2880"/>
            <w:vAlign w:val="center"/>
            <w:shd w:fill="F2F4F7"/>
          </w:tcPr>
          <w:p>
            <w:pPr>
              <w:spacing w:after="0" w:line="276" w:lineRule="auto"/>
              <w:jc w:val="center"/>
            </w:pPr>
            <w:r/>
            <w:r>
              <w:rPr>
                <w:rFonts w:ascii="Times New Roman" w:hAnsi="Times New Roman" w:eastAsia="宋体"/>
                <w:b/>
                <w:sz w:val="21"/>
              </w:rPr>
              <w:t>页面位置</w:t>
            </w:r>
          </w:p>
        </w:tc>
        <w:tc>
          <w:tcPr>
            <w:tcW w:type="dxa" w:w="4320"/>
            <w:vAlign w:val="center"/>
            <w:shd w:fill="F2F4F7"/>
          </w:tcPr>
          <w:p>
            <w:pPr>
              <w:spacing w:after="0" w:line="276" w:lineRule="auto"/>
              <w:jc w:val="center"/>
            </w:pPr>
            <w:r/>
            <w:r>
              <w:rPr>
                <w:rFonts w:ascii="Times New Roman" w:hAnsi="Times New Roman" w:eastAsia="宋体"/>
                <w:b/>
                <w:sz w:val="21"/>
              </w:rPr>
              <w:t>证明内容</w:t>
            </w:r>
          </w:p>
        </w:tc>
      </w:tr>
      <w:tr>
        <w:tc>
          <w:tcPr>
            <w:tcW w:type="dxa" w:w="3024"/>
            <w:vAlign w:val="center"/>
          </w:tcPr>
          <w:p>
            <w:pPr>
              <w:spacing w:after="0" w:line="276" w:lineRule="auto"/>
              <w:jc w:val="center"/>
            </w:pPr>
            <w:r/>
            <w:r>
              <w:rPr>
                <w:rFonts w:ascii="Times New Roman" w:hAnsi="Times New Roman" w:eastAsia="宋体"/>
                <w:b w:val="0"/>
                <w:sz w:val="21"/>
              </w:rPr>
              <w:t>系统主界面</w:t>
            </w:r>
          </w:p>
        </w:tc>
        <w:tc>
          <w:tcPr>
            <w:tcW w:type="dxa" w:w="3024"/>
            <w:vAlign w:val="center"/>
          </w:tcPr>
          <w:p>
            <w:pPr>
              <w:spacing w:after="0" w:line="276" w:lineRule="auto"/>
              <w:jc w:val="left"/>
            </w:pPr>
            <w:r/>
            <w:r>
              <w:rPr>
                <w:rFonts w:ascii="Times New Roman" w:hAnsi="Times New Roman" w:eastAsia="宋体"/>
                <w:b w:val="0"/>
                <w:sz w:val="21"/>
              </w:rPr>
              <w:t>http://localhost:5173/</w:t>
            </w:r>
          </w:p>
        </w:tc>
        <w:tc>
          <w:tcPr>
            <w:tcW w:type="dxa" w:w="3024"/>
            <w:vAlign w:val="center"/>
          </w:tcPr>
          <w:p>
            <w:pPr>
              <w:spacing w:after="0" w:line="276" w:lineRule="auto"/>
              <w:jc w:val="left"/>
            </w:pPr>
            <w:r/>
            <w:r>
              <w:rPr>
                <w:rFonts w:ascii="Times New Roman" w:hAnsi="Times New Roman" w:eastAsia="宋体"/>
                <w:b w:val="0"/>
                <w:sz w:val="21"/>
              </w:rPr>
              <w:t>项目可运行</w:t>
            </w:r>
          </w:p>
        </w:tc>
      </w:tr>
      <w:tr>
        <w:tc>
          <w:tcPr>
            <w:tcW w:type="dxa" w:w="3024"/>
            <w:vAlign w:val="center"/>
          </w:tcPr>
          <w:p>
            <w:pPr>
              <w:spacing w:after="0" w:line="276" w:lineRule="auto"/>
              <w:jc w:val="center"/>
            </w:pPr>
            <w:r/>
            <w:r>
              <w:rPr>
                <w:rFonts w:ascii="Times New Roman" w:hAnsi="Times New Roman" w:eastAsia="宋体"/>
                <w:b w:val="0"/>
                <w:sz w:val="21"/>
              </w:rPr>
              <w:t>知识资产看板</w:t>
            </w:r>
          </w:p>
        </w:tc>
        <w:tc>
          <w:tcPr>
            <w:tcW w:type="dxa" w:w="3024"/>
            <w:vAlign w:val="center"/>
          </w:tcPr>
          <w:p>
            <w:pPr>
              <w:spacing w:after="0" w:line="276" w:lineRule="auto"/>
              <w:jc w:val="left"/>
            </w:pPr>
            <w:r/>
            <w:r>
              <w:rPr>
                <w:rFonts w:ascii="Times New Roman" w:hAnsi="Times New Roman" w:eastAsia="宋体"/>
                <w:b w:val="0"/>
                <w:sz w:val="21"/>
              </w:rPr>
              <w:t>左侧面板</w:t>
            </w:r>
          </w:p>
        </w:tc>
        <w:tc>
          <w:tcPr>
            <w:tcW w:type="dxa" w:w="3024"/>
            <w:vAlign w:val="center"/>
          </w:tcPr>
          <w:p>
            <w:pPr>
              <w:spacing w:after="0" w:line="276" w:lineRule="auto"/>
              <w:jc w:val="left"/>
            </w:pPr>
            <w:r/>
            <w:r>
              <w:rPr>
                <w:rFonts w:ascii="Times New Roman" w:hAnsi="Times New Roman" w:eastAsia="宋体"/>
                <w:b w:val="0"/>
                <w:sz w:val="21"/>
              </w:rPr>
              <w:t>指标来自本地日志</w:t>
            </w:r>
          </w:p>
        </w:tc>
      </w:tr>
      <w:tr>
        <w:tc>
          <w:tcPr>
            <w:tcW w:type="dxa" w:w="3024"/>
            <w:vAlign w:val="center"/>
          </w:tcPr>
          <w:p>
            <w:pPr>
              <w:spacing w:after="0" w:line="276" w:lineRule="auto"/>
              <w:jc w:val="center"/>
            </w:pPr>
            <w:r/>
            <w:r>
              <w:rPr>
                <w:rFonts w:ascii="Times New Roman" w:hAnsi="Times New Roman" w:eastAsia="宋体"/>
                <w:b w:val="0"/>
                <w:sz w:val="21"/>
              </w:rPr>
              <w:t>学习反思模块</w:t>
            </w:r>
          </w:p>
        </w:tc>
        <w:tc>
          <w:tcPr>
            <w:tcW w:type="dxa" w:w="3024"/>
            <w:vAlign w:val="center"/>
          </w:tcPr>
          <w:p>
            <w:pPr>
              <w:spacing w:after="0" w:line="276" w:lineRule="auto"/>
              <w:jc w:val="left"/>
            </w:pPr>
            <w:r/>
            <w:r>
              <w:rPr>
                <w:rFonts w:ascii="Times New Roman" w:hAnsi="Times New Roman" w:eastAsia="宋体"/>
                <w:b w:val="0"/>
                <w:sz w:val="21"/>
              </w:rPr>
              <w:t>看板中部</w:t>
            </w:r>
          </w:p>
        </w:tc>
        <w:tc>
          <w:tcPr>
            <w:tcW w:type="dxa" w:w="3024"/>
            <w:vAlign w:val="center"/>
          </w:tcPr>
          <w:p>
            <w:pPr>
              <w:spacing w:after="0" w:line="276" w:lineRule="auto"/>
              <w:jc w:val="left"/>
            </w:pPr>
            <w:r/>
            <w:r>
              <w:rPr>
                <w:rFonts w:ascii="Times New Roman" w:hAnsi="Times New Roman" w:eastAsia="宋体"/>
                <w:b w:val="0"/>
                <w:sz w:val="21"/>
              </w:rPr>
              <w:t>自评记录可保存</w:t>
            </w:r>
          </w:p>
        </w:tc>
      </w:tr>
      <w:tr>
        <w:tc>
          <w:tcPr>
            <w:tcW w:type="dxa" w:w="3024"/>
            <w:vAlign w:val="center"/>
          </w:tcPr>
          <w:p>
            <w:pPr>
              <w:spacing w:after="0" w:line="276" w:lineRule="auto"/>
              <w:jc w:val="center"/>
            </w:pPr>
            <w:r/>
            <w:r>
              <w:rPr>
                <w:rFonts w:ascii="Times New Roman" w:hAnsi="Times New Roman" w:eastAsia="宋体"/>
                <w:b w:val="0"/>
                <w:sz w:val="21"/>
              </w:rPr>
              <w:t>语境增强词卡</w:t>
            </w:r>
          </w:p>
        </w:tc>
        <w:tc>
          <w:tcPr>
            <w:tcW w:type="dxa" w:w="3024"/>
            <w:vAlign w:val="center"/>
          </w:tcPr>
          <w:p>
            <w:pPr>
              <w:spacing w:after="0" w:line="276" w:lineRule="auto"/>
              <w:jc w:val="left"/>
            </w:pPr>
            <w:r/>
            <w:r>
              <w:rPr>
                <w:rFonts w:ascii="Times New Roman" w:hAnsi="Times New Roman" w:eastAsia="宋体"/>
                <w:b w:val="0"/>
                <w:sz w:val="21"/>
              </w:rPr>
              <w:t>生词本列表</w:t>
            </w:r>
          </w:p>
        </w:tc>
        <w:tc>
          <w:tcPr>
            <w:tcW w:type="dxa" w:w="3024"/>
            <w:vAlign w:val="center"/>
          </w:tcPr>
          <w:p>
            <w:pPr>
              <w:spacing w:after="0" w:line="276" w:lineRule="auto"/>
              <w:jc w:val="left"/>
            </w:pPr>
            <w:r/>
            <w:r>
              <w:rPr>
                <w:rFonts w:ascii="Times New Roman" w:hAnsi="Times New Roman" w:eastAsia="宋体"/>
                <w:b w:val="0"/>
                <w:sz w:val="21"/>
              </w:rPr>
              <w:t>知识卡片深加工</w:t>
            </w:r>
          </w:p>
        </w:tc>
      </w:tr>
      <w:tr>
        <w:tc>
          <w:tcPr>
            <w:tcW w:type="dxa" w:w="3024"/>
            <w:vAlign w:val="center"/>
          </w:tcPr>
          <w:p>
            <w:pPr>
              <w:spacing w:after="0" w:line="276" w:lineRule="auto"/>
              <w:jc w:val="center"/>
            </w:pPr>
            <w:r/>
            <w:r>
              <w:rPr>
                <w:rFonts w:ascii="Times New Roman" w:hAnsi="Times New Roman" w:eastAsia="宋体"/>
                <w:b w:val="0"/>
                <w:sz w:val="21"/>
              </w:rPr>
              <w:t>Markdown 文件</w:t>
            </w:r>
          </w:p>
        </w:tc>
        <w:tc>
          <w:tcPr>
            <w:tcW w:type="dxa" w:w="3024"/>
            <w:vAlign w:val="center"/>
          </w:tcPr>
          <w:p>
            <w:pPr>
              <w:spacing w:after="0" w:line="276" w:lineRule="auto"/>
              <w:jc w:val="left"/>
            </w:pPr>
            <w:r/>
            <w:r>
              <w:rPr>
                <w:rFonts w:ascii="Times New Roman" w:hAnsi="Times New Roman" w:eastAsia="宋体"/>
                <w:b w:val="0"/>
                <w:sz w:val="21"/>
              </w:rPr>
              <w:t>下载文件或 Obsidian</w:t>
            </w:r>
          </w:p>
        </w:tc>
        <w:tc>
          <w:tcPr>
            <w:tcW w:type="dxa" w:w="3024"/>
            <w:vAlign w:val="center"/>
          </w:tcPr>
          <w:p>
            <w:pPr>
              <w:spacing w:after="0" w:line="276" w:lineRule="auto"/>
              <w:jc w:val="left"/>
            </w:pPr>
            <w:r/>
            <w:r>
              <w:rPr>
                <w:rFonts w:ascii="Times New Roman" w:hAnsi="Times New Roman" w:eastAsia="宋体"/>
                <w:b w:val="0"/>
                <w:sz w:val="21"/>
              </w:rPr>
              <w:t>知识外部化与沉淀</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10 项目管理、备份与迭代</w:t>
      </w:r>
    </w:p>
    <w:p>
      <w:pPr>
        <w:spacing w:before="0" w:after="0" w:line="300" w:lineRule="auto"/>
        <w:ind w:firstLine="420"/>
      </w:pPr>
      <w:r>
        <w:rPr>
          <w:rFonts w:ascii="Times New Roman" w:hAnsi="Times New Roman" w:eastAsia="宋体"/>
          <w:b w:val="0"/>
          <w:color w:val="000000"/>
          <w:sz w:val="24"/>
        </w:rPr>
        <w:t>由于课程截止时间紧，本项目采用分支开发与小步提交策略。先将原始项目保持在可回退状态，再在独立分支中加入课程功能，确保任何一次功能改造出现问题时都能回到上一个可运行版本。</w:t>
      </w:r>
    </w:p>
    <w:p>
      <w:pPr>
        <w:spacing w:before="0" w:after="0" w:line="300" w:lineRule="auto"/>
        <w:ind w:firstLine="420"/>
      </w:pPr>
      <w:r>
        <w:rPr>
          <w:rFonts w:ascii="Times New Roman" w:hAnsi="Times New Roman" w:eastAsia="宋体"/>
          <w:b w:val="0"/>
          <w:color w:val="000000"/>
          <w:sz w:val="24"/>
        </w:rPr>
        <w:t>迭代顺序遵循“先恢复基础功能，再加看板，再加增强，再加自评，最后写报告”的路线。这样既保证程序可以演示，也保证报告内容与真实功能一致。</w:t>
      </w:r>
    </w:p>
    <w:p>
      <w:pPr>
        <w:pStyle w:val="ListBullet"/>
        <w:spacing w:after="0" w:line="300" w:lineRule="auto"/>
      </w:pPr>
      <w:r>
        <w:rPr>
          <w:rFonts w:ascii="Times New Roman" w:hAnsi="Times New Roman" w:eastAsia="宋体"/>
          <w:sz w:val="24"/>
        </w:rPr>
        <w:t>版本控制：使用 Git 分支 codex/pkm-assignment 保存大作业改造。</w:t>
      </w:r>
    </w:p>
    <w:p>
      <w:pPr>
        <w:pStyle w:val="ListBullet"/>
        <w:spacing w:after="0" w:line="300" w:lineRule="auto"/>
      </w:pPr>
      <w:r>
        <w:rPr>
          <w:rFonts w:ascii="Times New Roman" w:hAnsi="Times New Roman" w:eastAsia="宋体"/>
          <w:sz w:val="24"/>
        </w:rPr>
        <w:t>验证方式：优先运行 npm run build；TypeScript 单文件转译用于快速发现语法问题。</w:t>
      </w:r>
    </w:p>
    <w:p>
      <w:pPr>
        <w:pStyle w:val="ListBullet"/>
        <w:spacing w:after="0" w:line="300" w:lineRule="auto"/>
      </w:pPr>
      <w:r>
        <w:rPr>
          <w:rFonts w:ascii="Times New Roman" w:hAnsi="Times New Roman" w:eastAsia="宋体"/>
          <w:sz w:val="24"/>
        </w:rPr>
        <w:t>备份策略：重要改造前使用分支或 stash 保留回退点。</w:t>
      </w:r>
    </w:p>
    <w:p>
      <w:pPr>
        <w:pStyle w:val="ListBullet"/>
        <w:spacing w:after="0" w:line="300" w:lineRule="auto"/>
      </w:pPr>
      <w:r>
        <w:rPr>
          <w:rFonts w:ascii="Times New Roman" w:hAnsi="Times New Roman" w:eastAsia="宋体"/>
          <w:sz w:val="24"/>
        </w:rPr>
        <w:t>交付策略：程序、文档、报告和截图清单同步更新。</w:t>
      </w:r>
    </w:p>
    <w:p>
      <w:r>
        <w:br w:type="page"/>
      </w:r>
    </w:p>
    <w:p>
      <w:pPr>
        <w:pStyle w:val="Heading1"/>
        <w:spacing w:before="0" w:after="220" w:line="360" w:lineRule="auto"/>
      </w:pPr>
      <w:r>
        <w:rPr>
          <w:rFonts w:ascii="Times New Roman" w:hAnsi="Times New Roman" w:eastAsia="黑体"/>
          <w:b/>
          <w:color w:val="000000"/>
          <w:sz w:val="30"/>
        </w:rPr>
        <w:t>10.1 测试与验证</w:t>
      </w:r>
    </w:p>
    <w:p>
      <w:pPr>
        <w:spacing w:before="0" w:after="0" w:line="300" w:lineRule="auto"/>
        <w:ind w:firstLine="420"/>
      </w:pPr>
      <w:r>
        <w:rPr>
          <w:rFonts w:ascii="Times New Roman" w:hAnsi="Times New Roman" w:eastAsia="宋体"/>
          <w:b w:val="0"/>
          <w:color w:val="000000"/>
          <w:sz w:val="24"/>
        </w:rPr>
        <w:t>测试阶段重点关注三个方面：页面能否正常构建，新增模块是否破坏主流程，导出文件是否包含课程报告需要的证据。由于本项目存在历史 src 目录重复文件，完整 tsc 检查会暴露部分既有类型问题，因此本次以 Vite build 和关键组件转译作为主要验证。</w:t>
      </w:r>
    </w:p>
    <w:p>
      <w:pPr>
        <w:spacing w:before="0" w:after="0" w:line="300" w:lineRule="auto"/>
        <w:ind w:firstLine="420"/>
      </w:pPr>
      <w:r>
        <w:rPr>
          <w:rFonts w:ascii="Times New Roman" w:hAnsi="Times New Roman" w:eastAsia="宋体"/>
          <w:b w:val="0"/>
          <w:color w:val="000000"/>
          <w:sz w:val="24"/>
        </w:rPr>
        <w:t>最新构建结果显示，Vite 生产构建能够完成，说明新增学习反思模块和文档改动没有引入阻断性编译错误。后续若继续完善项目，可以逐步清理 src 重复结构，再恢复严格的全量 typecheck。</w:t>
      </w:r>
    </w:p>
    <w:p>
      <w:pPr>
        <w:keepNext/>
        <w:spacing w:before="0" w:after="80" w:line="300" w:lineRule="auto"/>
        <w:jc w:val="center"/>
      </w:pPr>
      <w:r>
        <w:rPr>
          <w:rFonts w:ascii="Times New Roman" w:hAnsi="Times New Roman" w:eastAsia="宋体"/>
          <w:b/>
          <w:color w:val="000000"/>
          <w:sz w:val="21"/>
        </w:rPr>
        <w:t>表10-1 验证记录</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2304"/>
            <w:vAlign w:val="center"/>
            <w:shd w:fill="F2F4F7"/>
          </w:tcPr>
          <w:p>
            <w:pPr>
              <w:spacing w:after="0" w:line="276" w:lineRule="auto"/>
              <w:jc w:val="center"/>
            </w:pPr>
            <w:r/>
            <w:r>
              <w:rPr>
                <w:rFonts w:ascii="Times New Roman" w:hAnsi="Times New Roman" w:eastAsia="宋体"/>
                <w:b/>
                <w:sz w:val="21"/>
              </w:rPr>
              <w:t>验证项</w:t>
            </w:r>
          </w:p>
        </w:tc>
        <w:tc>
          <w:tcPr>
            <w:tcW w:type="dxa" w:w="1728"/>
            <w:vAlign w:val="center"/>
            <w:shd w:fill="F2F4F7"/>
          </w:tcPr>
          <w:p>
            <w:pPr>
              <w:spacing w:after="0" w:line="276" w:lineRule="auto"/>
              <w:jc w:val="center"/>
            </w:pPr>
            <w:r/>
            <w:r>
              <w:rPr>
                <w:rFonts w:ascii="Times New Roman" w:hAnsi="Times New Roman" w:eastAsia="宋体"/>
                <w:b/>
                <w:sz w:val="21"/>
              </w:rPr>
              <w:t>结果</w:t>
            </w:r>
          </w:p>
        </w:tc>
        <w:tc>
          <w:tcPr>
            <w:tcW w:type="dxa" w:w="5328"/>
            <w:vAlign w:val="center"/>
            <w:shd w:fill="F2F4F7"/>
          </w:tcPr>
          <w:p>
            <w:pPr>
              <w:spacing w:after="0" w:line="276" w:lineRule="auto"/>
              <w:jc w:val="center"/>
            </w:pPr>
            <w:r/>
            <w:r>
              <w:rPr>
                <w:rFonts w:ascii="Times New Roman" w:hAnsi="Times New Roman" w:eastAsia="宋体"/>
                <w:b/>
                <w:sz w:val="21"/>
              </w:rPr>
              <w:t>说明</w:t>
            </w:r>
          </w:p>
        </w:tc>
      </w:tr>
      <w:tr>
        <w:tc>
          <w:tcPr>
            <w:tcW w:type="dxa" w:w="3024"/>
            <w:vAlign w:val="center"/>
          </w:tcPr>
          <w:p>
            <w:pPr>
              <w:spacing w:after="0" w:line="276" w:lineRule="auto"/>
              <w:jc w:val="center"/>
            </w:pPr>
            <w:r/>
            <w:r>
              <w:rPr>
                <w:rFonts w:ascii="Times New Roman" w:hAnsi="Times New Roman" w:eastAsia="宋体"/>
                <w:b w:val="0"/>
                <w:sz w:val="21"/>
              </w:rPr>
              <w:t>diff --check</w:t>
            </w:r>
          </w:p>
        </w:tc>
        <w:tc>
          <w:tcPr>
            <w:tcW w:type="dxa" w:w="3024"/>
            <w:vAlign w:val="center"/>
          </w:tcPr>
          <w:p>
            <w:pPr>
              <w:spacing w:after="0" w:line="276" w:lineRule="auto"/>
              <w:jc w:val="left"/>
            </w:pPr>
            <w:r/>
            <w:r>
              <w:rPr>
                <w:rFonts w:ascii="Times New Roman" w:hAnsi="Times New Roman" w:eastAsia="宋体"/>
                <w:b w:val="0"/>
                <w:sz w:val="21"/>
              </w:rPr>
              <w:t>通过</w:t>
            </w:r>
          </w:p>
        </w:tc>
        <w:tc>
          <w:tcPr>
            <w:tcW w:type="dxa" w:w="3024"/>
            <w:vAlign w:val="center"/>
          </w:tcPr>
          <w:p>
            <w:pPr>
              <w:spacing w:after="0" w:line="276" w:lineRule="auto"/>
              <w:jc w:val="left"/>
            </w:pPr>
            <w:r/>
            <w:r>
              <w:rPr>
                <w:rFonts w:ascii="Times New Roman" w:hAnsi="Times New Roman" w:eastAsia="宋体"/>
                <w:b w:val="0"/>
                <w:sz w:val="21"/>
              </w:rPr>
              <w:t>无明显空白或补丁格式问题</w:t>
            </w:r>
          </w:p>
        </w:tc>
      </w:tr>
      <w:tr>
        <w:tc>
          <w:tcPr>
            <w:tcW w:type="dxa" w:w="3024"/>
            <w:vAlign w:val="center"/>
          </w:tcPr>
          <w:p>
            <w:pPr>
              <w:spacing w:after="0" w:line="276" w:lineRule="auto"/>
              <w:jc w:val="center"/>
            </w:pPr>
            <w:r/>
            <w:r>
              <w:rPr>
                <w:rFonts w:ascii="Times New Roman" w:hAnsi="Times New Roman" w:eastAsia="宋体"/>
                <w:b w:val="0"/>
                <w:sz w:val="21"/>
              </w:rPr>
              <w:t>组件 TS 转译</w:t>
            </w:r>
          </w:p>
        </w:tc>
        <w:tc>
          <w:tcPr>
            <w:tcW w:type="dxa" w:w="3024"/>
            <w:vAlign w:val="center"/>
          </w:tcPr>
          <w:p>
            <w:pPr>
              <w:spacing w:after="0" w:line="276" w:lineRule="auto"/>
              <w:jc w:val="left"/>
            </w:pPr>
            <w:r/>
            <w:r>
              <w:rPr>
                <w:rFonts w:ascii="Times New Roman" w:hAnsi="Times New Roman" w:eastAsia="宋体"/>
                <w:b w:val="0"/>
                <w:sz w:val="21"/>
              </w:rPr>
              <w:t>通过</w:t>
            </w:r>
          </w:p>
        </w:tc>
        <w:tc>
          <w:tcPr>
            <w:tcW w:type="dxa" w:w="3024"/>
            <w:vAlign w:val="center"/>
          </w:tcPr>
          <w:p>
            <w:pPr>
              <w:spacing w:after="0" w:line="276" w:lineRule="auto"/>
              <w:jc w:val="left"/>
            </w:pPr>
            <w:r/>
            <w:r>
              <w:rPr>
                <w:rFonts w:ascii="Times New Roman" w:hAnsi="Times New Roman" w:eastAsia="宋体"/>
                <w:b w:val="0"/>
                <w:sz w:val="21"/>
              </w:rPr>
              <w:t>VocabularyPanel 无语法错误</w:t>
            </w:r>
          </w:p>
        </w:tc>
      </w:tr>
      <w:tr>
        <w:tc>
          <w:tcPr>
            <w:tcW w:type="dxa" w:w="3024"/>
            <w:vAlign w:val="center"/>
          </w:tcPr>
          <w:p>
            <w:pPr>
              <w:spacing w:after="0" w:line="276" w:lineRule="auto"/>
              <w:jc w:val="center"/>
            </w:pPr>
            <w:r/>
            <w:r>
              <w:rPr>
                <w:rFonts w:ascii="Times New Roman" w:hAnsi="Times New Roman" w:eastAsia="宋体"/>
                <w:b w:val="0"/>
                <w:sz w:val="21"/>
              </w:rPr>
              <w:t>npm run build</w:t>
            </w:r>
          </w:p>
        </w:tc>
        <w:tc>
          <w:tcPr>
            <w:tcW w:type="dxa" w:w="3024"/>
            <w:vAlign w:val="center"/>
          </w:tcPr>
          <w:p>
            <w:pPr>
              <w:spacing w:after="0" w:line="276" w:lineRule="auto"/>
              <w:jc w:val="left"/>
            </w:pPr>
            <w:r/>
            <w:r>
              <w:rPr>
                <w:rFonts w:ascii="Times New Roman" w:hAnsi="Times New Roman" w:eastAsia="宋体"/>
                <w:b w:val="0"/>
                <w:sz w:val="21"/>
              </w:rPr>
              <w:t>通过</w:t>
            </w:r>
          </w:p>
        </w:tc>
        <w:tc>
          <w:tcPr>
            <w:tcW w:type="dxa" w:w="3024"/>
            <w:vAlign w:val="center"/>
          </w:tcPr>
          <w:p>
            <w:pPr>
              <w:spacing w:after="0" w:line="276" w:lineRule="auto"/>
              <w:jc w:val="left"/>
            </w:pPr>
            <w:r/>
            <w:r>
              <w:rPr>
                <w:rFonts w:ascii="Times New Roman" w:hAnsi="Times New Roman" w:eastAsia="宋体"/>
                <w:b w:val="0"/>
                <w:sz w:val="21"/>
              </w:rPr>
              <w:t>Vite 生产构建完成</w:t>
            </w:r>
          </w:p>
        </w:tc>
      </w:tr>
      <w:tr>
        <w:tc>
          <w:tcPr>
            <w:tcW w:type="dxa" w:w="3024"/>
            <w:vAlign w:val="center"/>
          </w:tcPr>
          <w:p>
            <w:pPr>
              <w:spacing w:after="0" w:line="276" w:lineRule="auto"/>
              <w:jc w:val="center"/>
            </w:pPr>
            <w:r/>
            <w:r>
              <w:rPr>
                <w:rFonts w:ascii="Times New Roman" w:hAnsi="Times New Roman" w:eastAsia="宋体"/>
                <w:b w:val="0"/>
                <w:sz w:val="21"/>
              </w:rPr>
              <w:t>Playwright 截图</w:t>
            </w:r>
          </w:p>
        </w:tc>
        <w:tc>
          <w:tcPr>
            <w:tcW w:type="dxa" w:w="3024"/>
            <w:vAlign w:val="center"/>
          </w:tcPr>
          <w:p>
            <w:pPr>
              <w:spacing w:after="0" w:line="276" w:lineRule="auto"/>
              <w:jc w:val="left"/>
            </w:pPr>
            <w:r/>
            <w:r>
              <w:rPr>
                <w:rFonts w:ascii="Times New Roman" w:hAnsi="Times New Roman" w:eastAsia="宋体"/>
                <w:b w:val="0"/>
                <w:sz w:val="21"/>
              </w:rPr>
              <w:t>未完成</w:t>
            </w:r>
          </w:p>
        </w:tc>
        <w:tc>
          <w:tcPr>
            <w:tcW w:type="dxa" w:w="3024"/>
            <w:vAlign w:val="center"/>
          </w:tcPr>
          <w:p>
            <w:pPr>
              <w:spacing w:after="0" w:line="276" w:lineRule="auto"/>
              <w:jc w:val="left"/>
            </w:pPr>
            <w:r/>
            <w:r>
              <w:rPr>
                <w:rFonts w:ascii="Times New Roman" w:hAnsi="Times New Roman" w:eastAsia="宋体"/>
                <w:b w:val="0"/>
                <w:sz w:val="21"/>
              </w:rPr>
              <w:t>本地 npm 缓存权限限制，报告保留截图占位</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11 知识工程管理价值分析</w:t>
      </w:r>
    </w:p>
    <w:p>
      <w:pPr>
        <w:spacing w:before="0" w:after="0" w:line="300" w:lineRule="auto"/>
        <w:ind w:firstLine="420"/>
      </w:pPr>
      <w:r>
        <w:rPr>
          <w:rFonts w:ascii="Times New Roman" w:hAnsi="Times New Roman" w:eastAsia="宋体"/>
          <w:b w:val="0"/>
          <w:color w:val="000000"/>
          <w:sz w:val="24"/>
        </w:rPr>
        <w:t>从知识工程管理角度看，本项目的价值在于将个人语言学习中难以管理的碎片化内容转化为结构化对象。词汇卡片是知识单元，语境增强是知识加工，Markdown 导出是知识存储，自评记录是学习过程元知识。</w:t>
      </w:r>
    </w:p>
    <w:p>
      <w:pPr>
        <w:spacing w:before="0" w:after="0" w:line="300" w:lineRule="auto"/>
        <w:ind w:firstLine="420"/>
      </w:pPr>
      <w:r>
        <w:rPr>
          <w:rFonts w:ascii="Times New Roman" w:hAnsi="Times New Roman" w:eastAsia="宋体"/>
          <w:b w:val="0"/>
          <w:color w:val="000000"/>
          <w:sz w:val="24"/>
        </w:rPr>
        <w:t>系统的另一价值是强调指标边界。许多学习应用容易把“记录了多少词”包装成“掌握了多少词”。本项目明确区分知识资产规模、学习行为痕迹和真实掌握度，体现了数据治理和指标设计的基本意识。</w:t>
      </w:r>
    </w:p>
    <w:p>
      <w:pPr>
        <w:spacing w:before="0" w:after="0" w:line="300" w:lineRule="auto"/>
        <w:ind w:firstLine="420"/>
      </w:pPr>
      <w:r>
        <w:rPr>
          <w:rFonts w:ascii="Times New Roman" w:hAnsi="Times New Roman" w:eastAsia="宋体"/>
          <w:b w:val="0"/>
          <w:color w:val="000000"/>
          <w:sz w:val="24"/>
        </w:rPr>
        <w:t>对于课程大作业而言，该系统可以同时展示理论模型、系统架构、数据口径、功能实现和迭代管理，避免报告停留在纯理论或纯截图层面。</w:t>
      </w:r>
    </w:p>
    <w:p>
      <w:pPr>
        <w:keepNext/>
        <w:spacing w:before="0" w:after="80" w:line="300" w:lineRule="auto"/>
        <w:jc w:val="center"/>
      </w:pPr>
      <w:r>
        <w:rPr>
          <w:rFonts w:ascii="Times New Roman" w:hAnsi="Times New Roman" w:eastAsia="宋体"/>
          <w:b/>
          <w:color w:val="000000"/>
          <w:sz w:val="21"/>
        </w:rPr>
        <w:t>图11-1 本项目中的知识管理闭环</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814"/>
        <w:gridCol w:w="1814"/>
        <w:gridCol w:w="1814"/>
        <w:gridCol w:w="1814"/>
        <w:gridCol w:w="1814"/>
      </w:tblGrid>
      <w:tr>
        <w:tc>
          <w:tcPr>
            <w:tcW w:type="dxa" w:w="1872"/>
            <w:vAlign w:val="center"/>
            <w:shd w:fill="EEF2FF"/>
          </w:tcPr>
          <w:p>
            <w:pPr>
              <w:spacing w:after="0" w:line="276" w:lineRule="auto"/>
              <w:jc w:val="center"/>
            </w:pPr>
            <w:r/>
            <w:r>
              <w:rPr>
                <w:rFonts w:ascii="Times New Roman" w:hAnsi="Times New Roman" w:eastAsia="宋体"/>
                <w:b/>
                <w:sz w:val="20"/>
              </w:rPr>
              <w:t>采集</w:t>
              <w:br/>
              <w:t>词汇/会话</w:t>
            </w:r>
          </w:p>
        </w:tc>
        <w:tc>
          <w:tcPr>
            <w:tcW w:type="dxa" w:w="1872"/>
            <w:vAlign w:val="center"/>
            <w:shd w:fill="EEF2FF"/>
          </w:tcPr>
          <w:p>
            <w:pPr>
              <w:spacing w:after="0" w:line="276" w:lineRule="auto"/>
              <w:jc w:val="center"/>
            </w:pPr>
            <w:r/>
            <w:r>
              <w:rPr>
                <w:rFonts w:ascii="Times New Roman" w:hAnsi="Times New Roman" w:eastAsia="宋体"/>
                <w:b/>
                <w:sz w:val="20"/>
              </w:rPr>
              <w:t>整理</w:t>
              <w:br/>
              <w:t>卡片/标签</w:t>
            </w:r>
          </w:p>
        </w:tc>
        <w:tc>
          <w:tcPr>
            <w:tcW w:type="dxa" w:w="1872"/>
            <w:vAlign w:val="center"/>
            <w:shd w:fill="EEF2FF"/>
          </w:tcPr>
          <w:p>
            <w:pPr>
              <w:spacing w:after="0" w:line="276" w:lineRule="auto"/>
              <w:jc w:val="center"/>
            </w:pPr>
            <w:r/>
            <w:r>
              <w:rPr>
                <w:rFonts w:ascii="Times New Roman" w:hAnsi="Times New Roman" w:eastAsia="宋体"/>
                <w:b/>
                <w:sz w:val="20"/>
              </w:rPr>
              <w:t>加工</w:t>
              <w:br/>
              <w:t>语境增强</w:t>
            </w:r>
          </w:p>
        </w:tc>
        <w:tc>
          <w:tcPr>
            <w:tcW w:type="dxa" w:w="1872"/>
            <w:vAlign w:val="center"/>
            <w:shd w:fill="EEF2FF"/>
          </w:tcPr>
          <w:p>
            <w:pPr>
              <w:spacing w:after="0" w:line="276" w:lineRule="auto"/>
              <w:jc w:val="center"/>
            </w:pPr>
            <w:r/>
            <w:r>
              <w:rPr>
                <w:rFonts w:ascii="Times New Roman" w:hAnsi="Times New Roman" w:eastAsia="宋体"/>
                <w:b/>
                <w:sz w:val="20"/>
              </w:rPr>
              <w:t>评估</w:t>
              <w:br/>
              <w:t>看板/自评</w:t>
            </w:r>
          </w:p>
        </w:tc>
        <w:tc>
          <w:tcPr>
            <w:tcW w:type="dxa" w:w="1872"/>
            <w:vAlign w:val="center"/>
            <w:shd w:fill="EEF2FF"/>
          </w:tcPr>
          <w:p>
            <w:pPr>
              <w:spacing w:after="0" w:line="276" w:lineRule="auto"/>
              <w:jc w:val="center"/>
            </w:pPr>
            <w:r/>
            <w:r>
              <w:rPr>
                <w:rFonts w:ascii="Times New Roman" w:hAnsi="Times New Roman" w:eastAsia="宋体"/>
                <w:b/>
                <w:sz w:val="20"/>
              </w:rPr>
              <w:t>沉淀</w:t>
              <w:br/>
              <w:t>Markdown</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12 风险、伦理与隐私说明</w:t>
      </w:r>
    </w:p>
    <w:p>
      <w:pPr>
        <w:spacing w:before="0" w:after="0" w:line="300" w:lineRule="auto"/>
        <w:ind w:firstLine="420"/>
      </w:pPr>
      <w:r>
        <w:rPr>
          <w:rFonts w:ascii="Times New Roman" w:hAnsi="Times New Roman" w:eastAsia="宋体"/>
          <w:b w:val="0"/>
          <w:color w:val="000000"/>
          <w:sz w:val="24"/>
        </w:rPr>
        <w:t>个人知识管理系统会处理学习者输入文本、词汇记录和学习反思。虽然本项目当前主要使用浏览器本地存储，但报告仍需说明隐私边界：API Key 不应写入报告或截图，导出的 Markdown 文件在分享前应检查是否包含私人聊天内容。</w:t>
      </w:r>
    </w:p>
    <w:p>
      <w:pPr>
        <w:spacing w:before="0" w:after="0" w:line="300" w:lineRule="auto"/>
        <w:ind w:firstLine="420"/>
      </w:pPr>
      <w:r>
        <w:rPr>
          <w:rFonts w:ascii="Times New Roman" w:hAnsi="Times New Roman" w:eastAsia="宋体"/>
          <w:b w:val="0"/>
          <w:color w:val="000000"/>
          <w:sz w:val="24"/>
        </w:rPr>
        <w:t>AI 生成的同义词、词根和例句存在不准确风险，因此系统在导出文件中保留“增强方式”字段，并将无法确认的词根标注为待词典确认。后续版本可以接入可溯源词典 API，提高知识卡片可信度。</w:t>
      </w:r>
    </w:p>
    <w:p>
      <w:pPr>
        <w:spacing w:before="0" w:after="0" w:line="300" w:lineRule="auto"/>
        <w:ind w:firstLine="420"/>
      </w:pPr>
      <w:r>
        <w:rPr>
          <w:rFonts w:ascii="Times New Roman" w:hAnsi="Times New Roman" w:eastAsia="宋体"/>
          <w:b w:val="0"/>
          <w:color w:val="000000"/>
          <w:sz w:val="24"/>
        </w:rPr>
        <w:t>学习反思数据属于主观状态记录，不应被用于评价或排名，只应服务于学习者自我监控和复盘。</w:t>
      </w:r>
    </w:p>
    <w:p>
      <w:pPr>
        <w:pStyle w:val="ListBullet"/>
        <w:spacing w:after="0" w:line="300" w:lineRule="auto"/>
      </w:pPr>
      <w:r>
        <w:rPr>
          <w:rFonts w:ascii="Times New Roman" w:hAnsi="Times New Roman" w:eastAsia="宋体"/>
          <w:sz w:val="24"/>
        </w:rPr>
        <w:t>截图前隐藏真实 API Key、Token 和代理密钥。</w:t>
      </w:r>
    </w:p>
    <w:p>
      <w:pPr>
        <w:pStyle w:val="ListBullet"/>
        <w:spacing w:after="0" w:line="300" w:lineRule="auto"/>
      </w:pPr>
      <w:r>
        <w:rPr>
          <w:rFonts w:ascii="Times New Roman" w:hAnsi="Times New Roman" w:eastAsia="宋体"/>
          <w:sz w:val="24"/>
        </w:rPr>
        <w:t>导出 Markdown 前检查是否包含私人对话。</w:t>
      </w:r>
    </w:p>
    <w:p>
      <w:pPr>
        <w:pStyle w:val="ListBullet"/>
        <w:spacing w:after="0" w:line="300" w:lineRule="auto"/>
      </w:pPr>
      <w:r>
        <w:rPr>
          <w:rFonts w:ascii="Times New Roman" w:hAnsi="Times New Roman" w:eastAsia="宋体"/>
          <w:sz w:val="24"/>
        </w:rPr>
        <w:t>把自动例句表述为系统生成内容，不写成真实学习输出。</w:t>
      </w:r>
    </w:p>
    <w:p>
      <w:pPr>
        <w:pStyle w:val="ListBullet"/>
        <w:spacing w:after="0" w:line="300" w:lineRule="auto"/>
      </w:pPr>
      <w:r>
        <w:rPr>
          <w:rFonts w:ascii="Times New Roman" w:hAnsi="Times New Roman" w:eastAsia="宋体"/>
          <w:sz w:val="24"/>
        </w:rPr>
        <w:t>把自评指标表述为主观过程数据，不写成成绩或诊断结论。</w:t>
      </w:r>
    </w:p>
    <w:p>
      <w:r>
        <w:br w:type="page"/>
      </w:r>
    </w:p>
    <w:p>
      <w:pPr>
        <w:pStyle w:val="Heading1"/>
        <w:spacing w:before="0" w:after="220" w:line="360" w:lineRule="auto"/>
      </w:pPr>
      <w:r>
        <w:rPr>
          <w:rFonts w:ascii="Times New Roman" w:hAnsi="Times New Roman" w:eastAsia="黑体"/>
          <w:b/>
          <w:color w:val="000000"/>
          <w:sz w:val="30"/>
        </w:rPr>
        <w:t>13 局限与未来工作</w:t>
      </w:r>
    </w:p>
    <w:p>
      <w:pPr>
        <w:spacing w:before="0" w:after="0" w:line="300" w:lineRule="auto"/>
        <w:ind w:firstLine="420"/>
      </w:pPr>
      <w:r>
        <w:rPr>
          <w:rFonts w:ascii="Times New Roman" w:hAnsi="Times New Roman" w:eastAsia="宋体"/>
          <w:b w:val="0"/>
          <w:color w:val="000000"/>
          <w:sz w:val="24"/>
        </w:rPr>
        <w:t>当前版本仍属于课程作业导向的 MVP，重点是低成本、可运行和可解释。它还不能完整判断学习者是否掌握某词，也没有实现真正的间隔重复算法和错题日志。</w:t>
      </w:r>
    </w:p>
    <w:p>
      <w:pPr>
        <w:spacing w:before="0" w:after="0" w:line="300" w:lineRule="auto"/>
        <w:ind w:firstLine="420"/>
      </w:pPr>
      <w:r>
        <w:rPr>
          <w:rFonts w:ascii="Times New Roman" w:hAnsi="Times New Roman" w:eastAsia="宋体"/>
          <w:b w:val="0"/>
          <w:color w:val="000000"/>
          <w:sz w:val="24"/>
        </w:rPr>
        <w:t>未来可以在三方面继续扩展。第一，增加测验记录，采集主动回忆正确率。第二，为每个词汇增加 lastReviewedAt、nextReviewAt 和 reviewCount，支持间隔复习。第三，接入词典 API 或语料库，为同义词、词根和例句提供更可靠的来源。</w:t>
      </w:r>
    </w:p>
    <w:p>
      <w:pPr>
        <w:keepNext/>
        <w:spacing w:before="0" w:after="80" w:line="300" w:lineRule="auto"/>
        <w:jc w:val="center"/>
      </w:pPr>
      <w:r>
        <w:rPr>
          <w:rFonts w:ascii="Times New Roman" w:hAnsi="Times New Roman" w:eastAsia="宋体"/>
          <w:b/>
          <w:color w:val="000000"/>
          <w:sz w:val="21"/>
        </w:rPr>
        <w:t>表13-1 未来迭代方向</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2304"/>
            <w:vAlign w:val="center"/>
            <w:shd w:fill="F2F4F7"/>
          </w:tcPr>
          <w:p>
            <w:pPr>
              <w:spacing w:after="0" w:line="276" w:lineRule="auto"/>
              <w:jc w:val="center"/>
            </w:pPr>
            <w:r/>
            <w:r>
              <w:rPr>
                <w:rFonts w:ascii="Times New Roman" w:hAnsi="Times New Roman" w:eastAsia="宋体"/>
                <w:b/>
                <w:sz w:val="21"/>
              </w:rPr>
              <w:t>未来功能</w:t>
            </w:r>
          </w:p>
        </w:tc>
        <w:tc>
          <w:tcPr>
            <w:tcW w:type="dxa" w:w="2880"/>
            <w:vAlign w:val="center"/>
            <w:shd w:fill="F2F4F7"/>
          </w:tcPr>
          <w:p>
            <w:pPr>
              <w:spacing w:after="0" w:line="276" w:lineRule="auto"/>
              <w:jc w:val="center"/>
            </w:pPr>
            <w:r/>
            <w:r>
              <w:rPr>
                <w:rFonts w:ascii="Times New Roman" w:hAnsi="Times New Roman" w:eastAsia="宋体"/>
                <w:b/>
                <w:sz w:val="21"/>
              </w:rPr>
              <w:t>新增数据</w:t>
            </w:r>
          </w:p>
        </w:tc>
        <w:tc>
          <w:tcPr>
            <w:tcW w:type="dxa" w:w="4176"/>
            <w:vAlign w:val="center"/>
            <w:shd w:fill="F2F4F7"/>
          </w:tcPr>
          <w:p>
            <w:pPr>
              <w:spacing w:after="0" w:line="276" w:lineRule="auto"/>
              <w:jc w:val="center"/>
            </w:pPr>
            <w:r/>
            <w:r>
              <w:rPr>
                <w:rFonts w:ascii="Times New Roman" w:hAnsi="Times New Roman" w:eastAsia="宋体"/>
                <w:b/>
                <w:sz w:val="21"/>
              </w:rPr>
              <w:t>知识管理意义</w:t>
            </w:r>
          </w:p>
        </w:tc>
      </w:tr>
      <w:tr>
        <w:tc>
          <w:tcPr>
            <w:tcW w:type="dxa" w:w="3024"/>
            <w:vAlign w:val="center"/>
          </w:tcPr>
          <w:p>
            <w:pPr>
              <w:spacing w:after="0" w:line="276" w:lineRule="auto"/>
              <w:jc w:val="center"/>
            </w:pPr>
            <w:r/>
            <w:r>
              <w:rPr>
                <w:rFonts w:ascii="Times New Roman" w:hAnsi="Times New Roman" w:eastAsia="宋体"/>
                <w:b w:val="0"/>
                <w:sz w:val="21"/>
              </w:rPr>
              <w:t>测验模块</w:t>
            </w:r>
          </w:p>
        </w:tc>
        <w:tc>
          <w:tcPr>
            <w:tcW w:type="dxa" w:w="3024"/>
            <w:vAlign w:val="center"/>
          </w:tcPr>
          <w:p>
            <w:pPr>
              <w:spacing w:after="0" w:line="276" w:lineRule="auto"/>
              <w:jc w:val="left"/>
            </w:pPr>
            <w:r/>
            <w:r>
              <w:rPr>
                <w:rFonts w:ascii="Times New Roman" w:hAnsi="Times New Roman" w:eastAsia="宋体"/>
                <w:b w:val="0"/>
                <w:sz w:val="21"/>
              </w:rPr>
              <w:t>正确/错误记录</w:t>
            </w:r>
          </w:p>
        </w:tc>
        <w:tc>
          <w:tcPr>
            <w:tcW w:type="dxa" w:w="3024"/>
            <w:vAlign w:val="center"/>
          </w:tcPr>
          <w:p>
            <w:pPr>
              <w:spacing w:after="0" w:line="276" w:lineRule="auto"/>
              <w:jc w:val="left"/>
            </w:pPr>
            <w:r/>
            <w:r>
              <w:rPr>
                <w:rFonts w:ascii="Times New Roman" w:hAnsi="Times New Roman" w:eastAsia="宋体"/>
                <w:b w:val="0"/>
                <w:sz w:val="21"/>
              </w:rPr>
              <w:t>从知识资产走向学习成效评估</w:t>
            </w:r>
          </w:p>
        </w:tc>
      </w:tr>
      <w:tr>
        <w:tc>
          <w:tcPr>
            <w:tcW w:type="dxa" w:w="3024"/>
            <w:vAlign w:val="center"/>
          </w:tcPr>
          <w:p>
            <w:pPr>
              <w:spacing w:after="0" w:line="276" w:lineRule="auto"/>
              <w:jc w:val="center"/>
            </w:pPr>
            <w:r/>
            <w:r>
              <w:rPr>
                <w:rFonts w:ascii="Times New Roman" w:hAnsi="Times New Roman" w:eastAsia="宋体"/>
                <w:b w:val="0"/>
                <w:sz w:val="21"/>
              </w:rPr>
              <w:t>间隔复习</w:t>
            </w:r>
          </w:p>
        </w:tc>
        <w:tc>
          <w:tcPr>
            <w:tcW w:type="dxa" w:w="3024"/>
            <w:vAlign w:val="center"/>
          </w:tcPr>
          <w:p>
            <w:pPr>
              <w:spacing w:after="0" w:line="276" w:lineRule="auto"/>
              <w:jc w:val="left"/>
            </w:pPr>
            <w:r/>
            <w:r>
              <w:rPr>
                <w:rFonts w:ascii="Times New Roman" w:hAnsi="Times New Roman" w:eastAsia="宋体"/>
                <w:b w:val="0"/>
                <w:sz w:val="21"/>
              </w:rPr>
              <w:t>复习日期与次数</w:t>
            </w:r>
          </w:p>
        </w:tc>
        <w:tc>
          <w:tcPr>
            <w:tcW w:type="dxa" w:w="3024"/>
            <w:vAlign w:val="center"/>
          </w:tcPr>
          <w:p>
            <w:pPr>
              <w:spacing w:after="0" w:line="276" w:lineRule="auto"/>
              <w:jc w:val="left"/>
            </w:pPr>
            <w:r/>
            <w:r>
              <w:rPr>
                <w:rFonts w:ascii="Times New Roman" w:hAnsi="Times New Roman" w:eastAsia="宋体"/>
                <w:b w:val="0"/>
                <w:sz w:val="21"/>
              </w:rPr>
              <w:t>支持长期保持</w:t>
            </w:r>
          </w:p>
        </w:tc>
      </w:tr>
      <w:tr>
        <w:tc>
          <w:tcPr>
            <w:tcW w:type="dxa" w:w="3024"/>
            <w:vAlign w:val="center"/>
          </w:tcPr>
          <w:p>
            <w:pPr>
              <w:spacing w:after="0" w:line="276" w:lineRule="auto"/>
              <w:jc w:val="center"/>
            </w:pPr>
            <w:r/>
            <w:r>
              <w:rPr>
                <w:rFonts w:ascii="Times New Roman" w:hAnsi="Times New Roman" w:eastAsia="宋体"/>
                <w:b w:val="0"/>
                <w:sz w:val="21"/>
              </w:rPr>
              <w:t>外部词典</w:t>
            </w:r>
          </w:p>
        </w:tc>
        <w:tc>
          <w:tcPr>
            <w:tcW w:type="dxa" w:w="3024"/>
            <w:vAlign w:val="center"/>
          </w:tcPr>
          <w:p>
            <w:pPr>
              <w:spacing w:after="0" w:line="276" w:lineRule="auto"/>
              <w:jc w:val="left"/>
            </w:pPr>
            <w:r/>
            <w:r>
              <w:rPr>
                <w:rFonts w:ascii="Times New Roman" w:hAnsi="Times New Roman" w:eastAsia="宋体"/>
                <w:b w:val="0"/>
                <w:sz w:val="21"/>
              </w:rPr>
              <w:t>可溯源释义与例句</w:t>
            </w:r>
          </w:p>
        </w:tc>
        <w:tc>
          <w:tcPr>
            <w:tcW w:type="dxa" w:w="3024"/>
            <w:vAlign w:val="center"/>
          </w:tcPr>
          <w:p>
            <w:pPr>
              <w:spacing w:after="0" w:line="276" w:lineRule="auto"/>
              <w:jc w:val="left"/>
            </w:pPr>
            <w:r/>
            <w:r>
              <w:rPr>
                <w:rFonts w:ascii="Times New Roman" w:hAnsi="Times New Roman" w:eastAsia="宋体"/>
                <w:b w:val="0"/>
                <w:sz w:val="21"/>
              </w:rPr>
              <w:t>提升知识卡片可信度</w:t>
            </w:r>
          </w:p>
        </w:tc>
      </w:tr>
      <w:tr>
        <w:tc>
          <w:tcPr>
            <w:tcW w:type="dxa" w:w="3024"/>
            <w:vAlign w:val="center"/>
          </w:tcPr>
          <w:p>
            <w:pPr>
              <w:spacing w:after="0" w:line="276" w:lineRule="auto"/>
              <w:jc w:val="center"/>
            </w:pPr>
            <w:r/>
            <w:r>
              <w:rPr>
                <w:rFonts w:ascii="Times New Roman" w:hAnsi="Times New Roman" w:eastAsia="宋体"/>
                <w:b w:val="0"/>
                <w:sz w:val="21"/>
              </w:rPr>
              <w:t>Obsidian 自动同步</w:t>
            </w:r>
          </w:p>
        </w:tc>
        <w:tc>
          <w:tcPr>
            <w:tcW w:type="dxa" w:w="3024"/>
            <w:vAlign w:val="center"/>
          </w:tcPr>
          <w:p>
            <w:pPr>
              <w:spacing w:after="0" w:line="276" w:lineRule="auto"/>
              <w:jc w:val="left"/>
            </w:pPr>
            <w:r/>
            <w:r>
              <w:rPr>
                <w:rFonts w:ascii="Times New Roman" w:hAnsi="Times New Roman" w:eastAsia="宋体"/>
                <w:b w:val="0"/>
                <w:sz w:val="21"/>
              </w:rPr>
              <w:t>文件路径与提交记录</w:t>
            </w:r>
          </w:p>
        </w:tc>
        <w:tc>
          <w:tcPr>
            <w:tcW w:type="dxa" w:w="3024"/>
            <w:vAlign w:val="center"/>
          </w:tcPr>
          <w:p>
            <w:pPr>
              <w:spacing w:after="0" w:line="276" w:lineRule="auto"/>
              <w:jc w:val="left"/>
            </w:pPr>
            <w:r/>
            <w:r>
              <w:rPr>
                <w:rFonts w:ascii="Times New Roman" w:hAnsi="Times New Roman" w:eastAsia="宋体"/>
                <w:b w:val="0"/>
                <w:sz w:val="21"/>
              </w:rPr>
              <w:t>增强知识库联动</w:t>
            </w:r>
          </w:p>
        </w:tc>
      </w:tr>
    </w:tbl>
    <w:p>
      <w:pPr>
        <w:spacing w:before="0" w:after="80" w:line="300" w:lineRule="auto"/>
      </w:pPr>
      <w:r>
        <w:rPr>
          <w:rFonts w:ascii="Times New Roman" w:hAnsi="Times New Roman" w:eastAsia="宋体"/>
          <w:b w:val="0"/>
          <w:color w:val="000000"/>
          <w:sz w:val="24"/>
        </w:rPr>
      </w:r>
    </w:p>
    <w:p>
      <w:r>
        <w:br w:type="page"/>
      </w:r>
    </w:p>
    <w:p>
      <w:pPr>
        <w:pStyle w:val="Heading1"/>
        <w:spacing w:before="0" w:after="220" w:line="360" w:lineRule="auto"/>
      </w:pPr>
      <w:r>
        <w:rPr>
          <w:rFonts w:ascii="Times New Roman" w:hAnsi="Times New Roman" w:eastAsia="黑体"/>
          <w:b/>
          <w:color w:val="000000"/>
          <w:sz w:val="30"/>
        </w:rPr>
        <w:t>14 结 论</w:t>
      </w:r>
    </w:p>
    <w:p>
      <w:pPr>
        <w:spacing w:before="0" w:after="0" w:line="300" w:lineRule="auto"/>
        <w:ind w:firstLine="420"/>
      </w:pPr>
      <w:r>
        <w:rPr>
          <w:rFonts w:ascii="Times New Roman" w:hAnsi="Times New Roman" w:eastAsia="宋体"/>
          <w:b w:val="0"/>
          <w:color w:val="000000"/>
          <w:sz w:val="24"/>
        </w:rPr>
        <w:t>本文基于 LingoLeap 英语学习项目，完成了面向雅思备考的个人语言知识管理系统改造。系统新增知识资产看板、语境自动化增强、学习反思/自评记录和 PKM Markdown 导出，将零散的语言学习数据组织为可解释、可保存、可复盘的知识资产。</w:t>
      </w:r>
    </w:p>
    <w:p>
      <w:pPr>
        <w:spacing w:before="0" w:after="0" w:line="300" w:lineRule="auto"/>
        <w:ind w:firstLine="420"/>
      </w:pPr>
      <w:r>
        <w:rPr>
          <w:rFonts w:ascii="Times New Roman" w:hAnsi="Times New Roman" w:eastAsia="宋体"/>
          <w:b w:val="0"/>
          <w:color w:val="000000"/>
          <w:sz w:val="24"/>
        </w:rPr>
        <w:t>理论上，系统以 DIKW 解释从单词数据到语言能力的层级加工，以 SECI 解释隐性语言经验和显性知识卡片之间的循环转换，并结合词汇习得、自我调节学习和学习分析来定义指标口径。</w:t>
      </w:r>
    </w:p>
    <w:p>
      <w:pPr>
        <w:spacing w:before="0" w:after="0" w:line="300" w:lineRule="auto"/>
        <w:ind w:firstLine="420"/>
      </w:pPr>
      <w:r>
        <w:rPr>
          <w:rFonts w:ascii="Times New Roman" w:hAnsi="Times New Roman" w:eastAsia="宋体"/>
          <w:b w:val="0"/>
          <w:color w:val="000000"/>
          <w:sz w:val="24"/>
        </w:rPr>
        <w:t>实践上，项目证明在不大规模重构原系统的前提下，也可以通过小模块实现贴合知识管理主题的功能增强。该方案适合作为课程大作业展示，也为后续继续完善个人学习系统提供了基础。</w:t>
      </w:r>
    </w:p>
    <w:p>
      <w:r>
        <w:br w:type="page"/>
      </w:r>
    </w:p>
    <w:p>
      <w:pPr>
        <w:pStyle w:val="Heading1"/>
        <w:spacing w:before="0" w:after="220" w:line="360" w:lineRule="auto"/>
      </w:pPr>
      <w:r>
        <w:rPr>
          <w:rFonts w:ascii="Times New Roman" w:hAnsi="Times New Roman" w:eastAsia="黑体"/>
          <w:b/>
          <w:color w:val="000000"/>
          <w:sz w:val="30"/>
        </w:rPr>
        <w:t>参 考 文 献</w:t>
      </w:r>
    </w:p>
    <w:p>
      <w:pPr>
        <w:pStyle w:val="ListNumber"/>
        <w:spacing w:line="300" w:lineRule="auto"/>
        <w:ind w:left="420"/>
      </w:pPr>
      <w:r>
        <w:rPr>
          <w:rFonts w:ascii="Times New Roman" w:hAnsi="Times New Roman" w:eastAsia="宋体"/>
          <w:sz w:val="21"/>
        </w:rPr>
        <w:t>Ackoff, R. L. (1989). From data to wisdom. Journal of Applied Systems Analysis, 16, 3-9.</w:t>
      </w:r>
    </w:p>
    <w:p>
      <w:pPr>
        <w:pStyle w:val="ListNumber"/>
        <w:spacing w:line="300" w:lineRule="auto"/>
        <w:ind w:left="420"/>
      </w:pPr>
      <w:r>
        <w:rPr>
          <w:rFonts w:ascii="Times New Roman" w:hAnsi="Times New Roman" w:eastAsia="宋体"/>
          <w:sz w:val="21"/>
        </w:rPr>
        <w:t>Nonaka, I., &amp; Takeuchi, H. (1995). The Knowledge-Creating Company. Oxford University Press.</w:t>
      </w:r>
    </w:p>
    <w:p>
      <w:pPr>
        <w:pStyle w:val="ListNumber"/>
        <w:spacing w:line="300" w:lineRule="auto"/>
        <w:ind w:left="420"/>
      </w:pPr>
      <w:r>
        <w:rPr>
          <w:rFonts w:ascii="Times New Roman" w:hAnsi="Times New Roman" w:eastAsia="宋体"/>
          <w:sz w:val="21"/>
        </w:rPr>
        <w:t>Nation, I. S. P. (2001). Learning Vocabulary in Another Language. Cambridge University Press.</w:t>
      </w:r>
    </w:p>
    <w:p>
      <w:pPr>
        <w:pStyle w:val="ListNumber"/>
        <w:spacing w:line="300" w:lineRule="auto"/>
        <w:ind w:left="420"/>
      </w:pPr>
      <w:r>
        <w:rPr>
          <w:rFonts w:ascii="Times New Roman" w:hAnsi="Times New Roman" w:eastAsia="宋体"/>
          <w:sz w:val="21"/>
        </w:rPr>
        <w:t>Nation, I. S. P. (2007). The four strands. Innovation in Language Learning and Teaching, 1(1), 2-13.</w:t>
      </w:r>
    </w:p>
    <w:p>
      <w:pPr>
        <w:pStyle w:val="ListNumber"/>
        <w:spacing w:line="300" w:lineRule="auto"/>
        <w:ind w:left="420"/>
      </w:pPr>
      <w:r>
        <w:rPr>
          <w:rFonts w:ascii="Times New Roman" w:hAnsi="Times New Roman" w:eastAsia="宋体"/>
          <w:sz w:val="21"/>
        </w:rPr>
        <w:t>Laufer, B., &amp; Hulstijn, J. (2001). Incidental vocabulary acquisition in a second language: The construct of task-induced involvement. Applied Linguistics, 22(1), 1-26.</w:t>
      </w:r>
    </w:p>
    <w:p>
      <w:pPr>
        <w:pStyle w:val="ListNumber"/>
        <w:spacing w:line="300" w:lineRule="auto"/>
        <w:ind w:left="420"/>
      </w:pPr>
      <w:r>
        <w:rPr>
          <w:rFonts w:ascii="Times New Roman" w:hAnsi="Times New Roman" w:eastAsia="宋体"/>
          <w:sz w:val="21"/>
        </w:rPr>
        <w:t>Roediger, H. L., &amp; Karpicke, J. D. (2006). Test-enhanced learning. Psychological Science, 17(3), 249-255.</w:t>
      </w:r>
    </w:p>
    <w:p>
      <w:pPr>
        <w:pStyle w:val="ListNumber"/>
        <w:spacing w:line="300" w:lineRule="auto"/>
        <w:ind w:left="420"/>
      </w:pPr>
      <w:r>
        <w:rPr>
          <w:rFonts w:ascii="Times New Roman" w:hAnsi="Times New Roman" w:eastAsia="宋体"/>
          <w:sz w:val="21"/>
        </w:rPr>
        <w:t>Cepeda, N. J., Pashler, H., Vul, E., Wixted, J. T., &amp; Rohrer, D. (2006). Distributed practice in verbal recall tasks. Psychological Bulletin, 132(3), 354-380.</w:t>
      </w:r>
    </w:p>
    <w:p>
      <w:pPr>
        <w:pStyle w:val="ListNumber"/>
        <w:spacing w:line="300" w:lineRule="auto"/>
        <w:ind w:left="420"/>
      </w:pPr>
      <w:r>
        <w:rPr>
          <w:rFonts w:ascii="Times New Roman" w:hAnsi="Times New Roman" w:eastAsia="宋体"/>
          <w:sz w:val="21"/>
        </w:rPr>
        <w:t>Sweller, J. (1988). Cognitive load during problem solving. Cognitive Science, 12(2), 257-285.</w:t>
      </w:r>
    </w:p>
    <w:p>
      <w:pPr>
        <w:pStyle w:val="ListNumber"/>
        <w:spacing w:line="300" w:lineRule="auto"/>
        <w:ind w:left="420"/>
      </w:pPr>
      <w:r>
        <w:rPr>
          <w:rFonts w:ascii="Times New Roman" w:hAnsi="Times New Roman" w:eastAsia="宋体"/>
          <w:sz w:val="21"/>
        </w:rPr>
        <w:t>Zimmerman, B. J. (2000). Attaining self-regulation. In Handbook of Self-Regulation. Academic Press.</w:t>
      </w:r>
    </w:p>
    <w:p>
      <w:pPr>
        <w:pStyle w:val="ListNumber"/>
        <w:spacing w:line="300" w:lineRule="auto"/>
        <w:ind w:left="420"/>
      </w:pPr>
      <w:r>
        <w:rPr>
          <w:rFonts w:ascii="Times New Roman" w:hAnsi="Times New Roman" w:eastAsia="宋体"/>
          <w:sz w:val="21"/>
        </w:rPr>
        <w:t>Siemens, G., &amp; Long, P. (2011). Penetrating the fog: Analytics in learning and education. EDUCAUSE Review, 46(5), 30-40.</w:t>
      </w:r>
    </w:p>
    <w:p>
      <w:r>
        <w:br w:type="page"/>
      </w:r>
    </w:p>
    <w:p>
      <w:pPr>
        <w:pStyle w:val="Heading1"/>
        <w:spacing w:before="0" w:after="220" w:line="360" w:lineRule="auto"/>
      </w:pPr>
      <w:r>
        <w:rPr>
          <w:rFonts w:ascii="Times New Roman" w:hAnsi="Times New Roman" w:eastAsia="黑体"/>
          <w:b/>
          <w:color w:val="000000"/>
          <w:sz w:val="30"/>
        </w:rPr>
        <w:t>附录A 截图清单与验收材料</w:t>
      </w:r>
    </w:p>
    <w:p>
      <w:pPr>
        <w:spacing w:before="0" w:after="0" w:line="300" w:lineRule="auto"/>
        <w:ind w:firstLine="420"/>
      </w:pPr>
      <w:r>
        <w:rPr>
          <w:rFonts w:ascii="Times New Roman" w:hAnsi="Times New Roman" w:eastAsia="宋体"/>
          <w:b w:val="0"/>
          <w:color w:val="000000"/>
          <w:sz w:val="24"/>
        </w:rPr>
        <w:t>为便于最终提交，建议按下表补齐真实截图。截图插入后，右键更新目录页码，并检查图题编号是否连续。</w:t>
      </w:r>
    </w:p>
    <w:p>
      <w:pPr>
        <w:keepNext/>
        <w:spacing w:before="0" w:after="80" w:line="300" w:lineRule="auto"/>
        <w:jc w:val="center"/>
      </w:pPr>
      <w:r>
        <w:rPr>
          <w:rFonts w:ascii="Times New Roman" w:hAnsi="Times New Roman" w:eastAsia="宋体"/>
          <w:b/>
          <w:color w:val="000000"/>
          <w:sz w:val="21"/>
        </w:rPr>
        <w:t>表A-1 截图与验收材料清单</w:t>
      </w:r>
    </w:p>
    <w:tbl>
      <w:tblPr>
        <w:tblStyle w:val="TableGrid"/>
        <w:tblW w:type="auto" w:w="0"/>
        <w:jc w:val="center"/>
        <w:tblLayout w:type="fixed"/>
        <w:tblLook w:firstColumn="1" w:firstRow="1" w:lastColumn="0" w:lastRow="0" w:noHBand="0" w:noVBand="1" w:val="04A0"/>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024"/>
        <w:gridCol w:w="3024"/>
        <w:gridCol w:w="3024"/>
      </w:tblGrid>
      <w:tr>
        <w:tc>
          <w:tcPr>
            <w:tcW w:type="dxa" w:w="1008"/>
            <w:vAlign w:val="center"/>
            <w:shd w:fill="F2F4F7"/>
          </w:tcPr>
          <w:p>
            <w:pPr>
              <w:spacing w:after="0" w:line="276" w:lineRule="auto"/>
              <w:jc w:val="center"/>
            </w:pPr>
            <w:r/>
            <w:r>
              <w:rPr>
                <w:rFonts w:ascii="Times New Roman" w:hAnsi="Times New Roman" w:eastAsia="宋体"/>
                <w:b/>
                <w:sz w:val="21"/>
              </w:rPr>
              <w:t>序号</w:t>
            </w:r>
          </w:p>
        </w:tc>
        <w:tc>
          <w:tcPr>
            <w:tcW w:type="dxa" w:w="2592"/>
            <w:vAlign w:val="center"/>
            <w:shd w:fill="F2F4F7"/>
          </w:tcPr>
          <w:p>
            <w:pPr>
              <w:spacing w:after="0" w:line="276" w:lineRule="auto"/>
              <w:jc w:val="center"/>
            </w:pPr>
            <w:r/>
            <w:r>
              <w:rPr>
                <w:rFonts w:ascii="Times New Roman" w:hAnsi="Times New Roman" w:eastAsia="宋体"/>
                <w:b/>
                <w:sz w:val="21"/>
              </w:rPr>
              <w:t>截图名称</w:t>
            </w:r>
          </w:p>
        </w:tc>
        <w:tc>
          <w:tcPr>
            <w:tcW w:type="dxa" w:w="5760"/>
            <w:vAlign w:val="center"/>
            <w:shd w:fill="F2F4F7"/>
          </w:tcPr>
          <w:p>
            <w:pPr>
              <w:spacing w:after="0" w:line="276" w:lineRule="auto"/>
              <w:jc w:val="center"/>
            </w:pPr>
            <w:r/>
            <w:r>
              <w:rPr>
                <w:rFonts w:ascii="Times New Roman" w:hAnsi="Times New Roman" w:eastAsia="宋体"/>
                <w:b/>
                <w:sz w:val="21"/>
              </w:rPr>
              <w:t>操作方法</w:t>
            </w:r>
          </w:p>
        </w:tc>
      </w:tr>
      <w:tr>
        <w:tc>
          <w:tcPr>
            <w:tcW w:type="dxa" w:w="3024"/>
            <w:vAlign w:val="center"/>
          </w:tcPr>
          <w:p>
            <w:pPr>
              <w:spacing w:after="0" w:line="276" w:lineRule="auto"/>
              <w:jc w:val="center"/>
            </w:pPr>
            <w:r/>
            <w:r>
              <w:rPr>
                <w:rFonts w:ascii="Times New Roman" w:hAnsi="Times New Roman" w:eastAsia="宋体"/>
                <w:b w:val="0"/>
                <w:sz w:val="21"/>
              </w:rPr>
              <w:t>1</w:t>
            </w:r>
          </w:p>
        </w:tc>
        <w:tc>
          <w:tcPr>
            <w:tcW w:type="dxa" w:w="3024"/>
            <w:vAlign w:val="center"/>
          </w:tcPr>
          <w:p>
            <w:pPr>
              <w:spacing w:after="0" w:line="276" w:lineRule="auto"/>
              <w:jc w:val="left"/>
            </w:pPr>
            <w:r/>
            <w:r>
              <w:rPr>
                <w:rFonts w:ascii="Times New Roman" w:hAnsi="Times New Roman" w:eastAsia="宋体"/>
                <w:b w:val="0"/>
                <w:sz w:val="21"/>
              </w:rPr>
              <w:t>主界面</w:t>
            </w:r>
          </w:p>
        </w:tc>
        <w:tc>
          <w:tcPr>
            <w:tcW w:type="dxa" w:w="3024"/>
            <w:vAlign w:val="center"/>
          </w:tcPr>
          <w:p>
            <w:pPr>
              <w:spacing w:after="0" w:line="276" w:lineRule="auto"/>
              <w:jc w:val="left"/>
            </w:pPr>
            <w:r/>
            <w:r>
              <w:rPr>
                <w:rFonts w:ascii="Times New Roman" w:hAnsi="Times New Roman" w:eastAsia="宋体"/>
                <w:b w:val="0"/>
                <w:sz w:val="21"/>
              </w:rPr>
              <w:t>运行 npm run dev 后打开 http://localhost:5173/</w:t>
            </w:r>
          </w:p>
        </w:tc>
      </w:tr>
      <w:tr>
        <w:tc>
          <w:tcPr>
            <w:tcW w:type="dxa" w:w="3024"/>
            <w:vAlign w:val="center"/>
          </w:tcPr>
          <w:p>
            <w:pPr>
              <w:spacing w:after="0" w:line="276" w:lineRule="auto"/>
              <w:jc w:val="center"/>
            </w:pPr>
            <w:r/>
            <w:r>
              <w:rPr>
                <w:rFonts w:ascii="Times New Roman" w:hAnsi="Times New Roman" w:eastAsia="宋体"/>
                <w:b w:val="0"/>
                <w:sz w:val="21"/>
              </w:rPr>
              <w:t>2</w:t>
            </w:r>
          </w:p>
        </w:tc>
        <w:tc>
          <w:tcPr>
            <w:tcW w:type="dxa" w:w="3024"/>
            <w:vAlign w:val="center"/>
          </w:tcPr>
          <w:p>
            <w:pPr>
              <w:spacing w:after="0" w:line="276" w:lineRule="auto"/>
              <w:jc w:val="left"/>
            </w:pPr>
            <w:r/>
            <w:r>
              <w:rPr>
                <w:rFonts w:ascii="Times New Roman" w:hAnsi="Times New Roman" w:eastAsia="宋体"/>
                <w:b w:val="0"/>
                <w:sz w:val="21"/>
              </w:rPr>
              <w:t>知识资产看板</w:t>
            </w:r>
          </w:p>
        </w:tc>
        <w:tc>
          <w:tcPr>
            <w:tcW w:type="dxa" w:w="3024"/>
            <w:vAlign w:val="center"/>
          </w:tcPr>
          <w:p>
            <w:pPr>
              <w:spacing w:after="0" w:line="276" w:lineRule="auto"/>
              <w:jc w:val="left"/>
            </w:pPr>
            <w:r/>
            <w:r>
              <w:rPr>
                <w:rFonts w:ascii="Times New Roman" w:hAnsi="Times New Roman" w:eastAsia="宋体"/>
                <w:b w:val="0"/>
                <w:sz w:val="21"/>
              </w:rPr>
              <w:t>展开左侧面板，选择“知识资产看板”</w:t>
            </w:r>
          </w:p>
        </w:tc>
      </w:tr>
      <w:tr>
        <w:tc>
          <w:tcPr>
            <w:tcW w:type="dxa" w:w="3024"/>
            <w:vAlign w:val="center"/>
          </w:tcPr>
          <w:p>
            <w:pPr>
              <w:spacing w:after="0" w:line="276" w:lineRule="auto"/>
              <w:jc w:val="center"/>
            </w:pPr>
            <w:r/>
            <w:r>
              <w:rPr>
                <w:rFonts w:ascii="Times New Roman" w:hAnsi="Times New Roman" w:eastAsia="宋体"/>
                <w:b w:val="0"/>
                <w:sz w:val="21"/>
              </w:rPr>
              <w:t>3</w:t>
            </w:r>
          </w:p>
        </w:tc>
        <w:tc>
          <w:tcPr>
            <w:tcW w:type="dxa" w:w="3024"/>
            <w:vAlign w:val="center"/>
          </w:tcPr>
          <w:p>
            <w:pPr>
              <w:spacing w:after="0" w:line="276" w:lineRule="auto"/>
              <w:jc w:val="left"/>
            </w:pPr>
            <w:r/>
            <w:r>
              <w:rPr>
                <w:rFonts w:ascii="Times New Roman" w:hAnsi="Times New Roman" w:eastAsia="宋体"/>
                <w:b w:val="0"/>
                <w:sz w:val="21"/>
              </w:rPr>
              <w:t>学习反思记录</w:t>
            </w:r>
          </w:p>
        </w:tc>
        <w:tc>
          <w:tcPr>
            <w:tcW w:type="dxa" w:w="3024"/>
            <w:vAlign w:val="center"/>
          </w:tcPr>
          <w:p>
            <w:pPr>
              <w:spacing w:after="0" w:line="276" w:lineRule="auto"/>
              <w:jc w:val="left"/>
            </w:pPr>
            <w:r/>
            <w:r>
              <w:rPr>
                <w:rFonts w:ascii="Times New Roman" w:hAnsi="Times New Roman" w:eastAsia="宋体"/>
                <w:b w:val="0"/>
                <w:sz w:val="21"/>
              </w:rPr>
              <w:t>填写滑杆和计划，点击保存</w:t>
            </w:r>
          </w:p>
        </w:tc>
      </w:tr>
      <w:tr>
        <w:tc>
          <w:tcPr>
            <w:tcW w:type="dxa" w:w="3024"/>
            <w:vAlign w:val="center"/>
          </w:tcPr>
          <w:p>
            <w:pPr>
              <w:spacing w:after="0" w:line="276" w:lineRule="auto"/>
              <w:jc w:val="center"/>
            </w:pPr>
            <w:r/>
            <w:r>
              <w:rPr>
                <w:rFonts w:ascii="Times New Roman" w:hAnsi="Times New Roman" w:eastAsia="宋体"/>
                <w:b w:val="0"/>
                <w:sz w:val="21"/>
              </w:rPr>
              <w:t>4</w:t>
            </w:r>
          </w:p>
        </w:tc>
        <w:tc>
          <w:tcPr>
            <w:tcW w:type="dxa" w:w="3024"/>
            <w:vAlign w:val="center"/>
          </w:tcPr>
          <w:p>
            <w:pPr>
              <w:spacing w:after="0" w:line="276" w:lineRule="auto"/>
              <w:jc w:val="left"/>
            </w:pPr>
            <w:r/>
            <w:r>
              <w:rPr>
                <w:rFonts w:ascii="Times New Roman" w:hAnsi="Times New Roman" w:eastAsia="宋体"/>
                <w:b w:val="0"/>
                <w:sz w:val="21"/>
              </w:rPr>
              <w:t>语境增强词卡</w:t>
            </w:r>
          </w:p>
        </w:tc>
        <w:tc>
          <w:tcPr>
            <w:tcW w:type="dxa" w:w="3024"/>
            <w:vAlign w:val="center"/>
          </w:tcPr>
          <w:p>
            <w:pPr>
              <w:spacing w:after="0" w:line="276" w:lineRule="auto"/>
              <w:jc w:val="left"/>
            </w:pPr>
            <w:r/>
            <w:r>
              <w:rPr>
                <w:rFonts w:ascii="Times New Roman" w:hAnsi="Times New Roman" w:eastAsia="宋体"/>
                <w:b w:val="0"/>
                <w:sz w:val="21"/>
              </w:rPr>
              <w:t>在生词本点击“增强”</w:t>
            </w:r>
          </w:p>
        </w:tc>
      </w:tr>
      <w:tr>
        <w:tc>
          <w:tcPr>
            <w:tcW w:type="dxa" w:w="3024"/>
            <w:vAlign w:val="center"/>
          </w:tcPr>
          <w:p>
            <w:pPr>
              <w:spacing w:after="0" w:line="276" w:lineRule="auto"/>
              <w:jc w:val="center"/>
            </w:pPr>
            <w:r/>
            <w:r>
              <w:rPr>
                <w:rFonts w:ascii="Times New Roman" w:hAnsi="Times New Roman" w:eastAsia="宋体"/>
                <w:b w:val="0"/>
                <w:sz w:val="21"/>
              </w:rPr>
              <w:t>5</w:t>
            </w:r>
          </w:p>
        </w:tc>
        <w:tc>
          <w:tcPr>
            <w:tcW w:type="dxa" w:w="3024"/>
            <w:vAlign w:val="center"/>
          </w:tcPr>
          <w:p>
            <w:pPr>
              <w:spacing w:after="0" w:line="276" w:lineRule="auto"/>
              <w:jc w:val="left"/>
            </w:pPr>
            <w:r/>
            <w:r>
              <w:rPr>
                <w:rFonts w:ascii="Times New Roman" w:hAnsi="Times New Roman" w:eastAsia="宋体"/>
                <w:b w:val="0"/>
                <w:sz w:val="21"/>
              </w:rPr>
              <w:t>Markdown 导出</w:t>
            </w:r>
          </w:p>
        </w:tc>
        <w:tc>
          <w:tcPr>
            <w:tcW w:type="dxa" w:w="3024"/>
            <w:vAlign w:val="center"/>
          </w:tcPr>
          <w:p>
            <w:pPr>
              <w:spacing w:after="0" w:line="276" w:lineRule="auto"/>
              <w:jc w:val="left"/>
            </w:pPr>
            <w:r/>
            <w:r>
              <w:rPr>
                <w:rFonts w:ascii="Times New Roman" w:hAnsi="Times New Roman" w:eastAsia="宋体"/>
                <w:b w:val="0"/>
                <w:sz w:val="21"/>
              </w:rPr>
              <w:t>点击 PKM 下载中文知识库文件</w:t>
            </w:r>
          </w:p>
        </w:tc>
      </w:tr>
      <w:tr>
        <w:tc>
          <w:tcPr>
            <w:tcW w:type="dxa" w:w="3024"/>
            <w:vAlign w:val="center"/>
          </w:tcPr>
          <w:p>
            <w:pPr>
              <w:spacing w:after="0" w:line="276" w:lineRule="auto"/>
              <w:jc w:val="center"/>
            </w:pPr>
            <w:r/>
            <w:r>
              <w:rPr>
                <w:rFonts w:ascii="Times New Roman" w:hAnsi="Times New Roman" w:eastAsia="宋体"/>
                <w:b w:val="0"/>
                <w:sz w:val="21"/>
              </w:rPr>
              <w:t>6</w:t>
            </w:r>
          </w:p>
        </w:tc>
        <w:tc>
          <w:tcPr>
            <w:tcW w:type="dxa" w:w="3024"/>
            <w:vAlign w:val="center"/>
          </w:tcPr>
          <w:p>
            <w:pPr>
              <w:spacing w:after="0" w:line="276" w:lineRule="auto"/>
              <w:jc w:val="left"/>
            </w:pPr>
            <w:r/>
            <w:r>
              <w:rPr>
                <w:rFonts w:ascii="Times New Roman" w:hAnsi="Times New Roman" w:eastAsia="宋体"/>
                <w:b w:val="0"/>
                <w:sz w:val="21"/>
              </w:rPr>
              <w:t>Obsidian 双链</w:t>
            </w:r>
          </w:p>
        </w:tc>
        <w:tc>
          <w:tcPr>
            <w:tcW w:type="dxa" w:w="3024"/>
            <w:vAlign w:val="center"/>
          </w:tcPr>
          <w:p>
            <w:pPr>
              <w:spacing w:after="0" w:line="276" w:lineRule="auto"/>
              <w:jc w:val="left"/>
            </w:pPr>
            <w:r/>
            <w:r>
              <w:rPr>
                <w:rFonts w:ascii="Times New Roman" w:hAnsi="Times New Roman" w:eastAsia="宋体"/>
                <w:b w:val="0"/>
                <w:sz w:val="21"/>
              </w:rPr>
              <w:t>将 Markdown 文件放入 Obsidian 后截图</w:t>
            </w:r>
          </w:p>
        </w:tc>
      </w:tr>
    </w:tbl>
    <w:p>
      <w:pPr>
        <w:spacing w:before="0" w:after="80" w:line="300" w:lineRule="auto"/>
      </w:pPr>
      <w:r>
        <w:rPr>
          <w:rFonts w:ascii="Times New Roman" w:hAnsi="Times New Roman" w:eastAsia="宋体"/>
          <w:b w:val="0"/>
          <w:color w:val="000000"/>
          <w:sz w:val="24"/>
        </w:rPr>
      </w:r>
    </w:p>
    <w:p>
      <w:pPr>
        <w:spacing w:before="0" w:after="0" w:line="300" w:lineRule="auto"/>
        <w:ind w:firstLine="420"/>
      </w:pPr>
      <w:r>
        <w:rPr>
          <w:rFonts w:ascii="Times New Roman" w:hAnsi="Times New Roman" w:eastAsia="宋体"/>
          <w:b w:val="0"/>
          <w:color w:val="000000"/>
          <w:sz w:val="24"/>
        </w:rPr>
        <w:t>附录说明：本报告正文已包含程序功能、理论映射、指标口径和项目管理说明。若课程要求更偏“知识工程管理”，可在第11章增加组织知识管理或知识工程生命周期的讨论；若课程要求更偏“知识管理”，可突出 SECI 与个人知识库实践。</w:t>
      </w:r>
    </w:p>
    <w:sectPr w:rsidR="00FC693F" w:rsidRPr="0006063C" w:rsidSect="00034616">
      <w:headerReference w:type="default" r:id="rId11"/>
      <w:footerReference w:type="default" r:id="rId12"/>
      <w:pgSz w:w="11906" w:h="16838"/>
      <w:pgMar w:top="1984" w:right="1417" w:bottom="1417" w:left="1417" w:header="1417" w:footer="113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 </w:t>
      <w:fldChar w:fldCharType="begin"/>
      <w:instrText xml:space="preserve">PAGE \* ROMAN</w:instrText>
      <w:fldChar w:fldCharType="end"/>
    </w:r>
    <w:r>
      <w:rPr>
        <w:rFonts w:ascii="Times New Roman" w:hAnsi="Times New Roman" w:eastAsia="宋体"/>
        <w:sz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sz w:val="18"/>
      </w:rPr>
      <w:t xml:space="preserve">- </w:t>
      <w:fldChar w:fldCharType="begin"/>
      <w:instrText xml:space="preserve">PAGE</w:instrText>
      <w:fldChar w:fldCharType="end"/>
    </w:r>
    <w:r>
      <w:rPr>
        <w:rFonts w:ascii="Times New Roman" w:hAnsi="Times New Roman" w:eastAsia="宋体"/>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1" w:color="B7B7B7"/>
      </w:pBdr>
    </w:pPr>
    <w:r>
      <w:rPr>
        <w:rFonts w:ascii="Times New Roman" w:hAnsi="Times New Roman" w:eastAsia="宋体"/>
        <w:color w:val="5A606E"/>
        <w:sz w:val="21"/>
      </w:rPr>
      <w:t>雅思备考知识管理系统</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Bdr>
        <w:bottom w:val="single" w:sz="4" w:space="1" w:color="B7B7B7"/>
      </w:pBdr>
    </w:pPr>
    <w:r>
      <w:rPr>
        <w:rFonts w:ascii="Times New Roman" w:hAnsi="Times New Roman" w:eastAsia="宋体"/>
        <w:color w:val="5A606E"/>
        <w:sz w:val="21"/>
      </w:rPr>
      <w:t>雅思备考知识管理系统</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