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PDP问题</w:t>
      </w:r>
      <w:r>
        <w:rPr>
          <w:rFonts w:hint="eastAsia" w:ascii="Times New Roman" w:hAnsi="Times New Roman" w:cs="Times New Roman"/>
          <w:lang w:val="en-US" w:eastAsia="zh-CN"/>
        </w:rPr>
        <w:t>符号</w:t>
      </w:r>
      <w:r>
        <w:rPr>
          <w:rFonts w:hint="default" w:ascii="Times New Roman" w:hAnsi="Times New Roman" w:cs="Times New Roman"/>
          <w:lang w:val="en-US" w:eastAsia="zh-CN"/>
        </w:rPr>
        <w:t>描述：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取货节点 </w:t>
      </w:r>
      <w:r>
        <w:rPr>
          <w:rFonts w:hint="eastAsia" w:ascii="Times New Roman" w:hAnsi="Times New Roman" w:cs="Times New Roman"/>
          <w:lang w:val="en-US" w:eastAsia="zh-CN"/>
        </w:rPr>
        <w:t>pickup nodes：P = {1,...,n}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送货节点 delivery nodes：D = {n+1,...,2n}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7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符号</w: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2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需求点个数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1pt;width:13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车辆数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27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基于图的取货节点，{1,...,n}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28" o:spt="75" type="#_x0000_t75" style="height:13pt;width:13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7010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基于图的送货节点，{n+1,...,2n}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29" o:spt="75" type="#_x0000_t75" style="height:13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车辆集合，|K|=m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0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1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是能够满足需求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32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的车辆集合，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3" o:spt="75" type="#_x0000_t75" style="height:18pt;width:36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1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8pt;width:4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且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5" o:spt="75" type="#_x0000_t75" style="height:18pt;width:116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36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5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37" o:spt="75" type="#_x0000_t75" style="height:13.95pt;width:56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8" o:spt="75" type="#_x0000_t75" style="height:18pt;width:66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39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0" o:spt="75" type="#_x0000_t75" style="height:18pt;width:87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，开始端节点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1" o:spt="75" type="#_x0000_t75" style="height:19pt;width:13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2" o:spt="75" type="#_x0000_t75" style="height:19pt;width:75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，结束端节点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43" o:spt="75" type="#_x0000_t75" style="height:13.95pt;width:13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9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44" o:spt="75" type="#_x0000_t75" style="height:16pt;width:53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45" o:spt="75" type="#_x0000_t75" style="height:13.95pt;width:1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3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所有节点：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46" o:spt="75" type="#_x0000_t75" style="height:20pt;width:149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7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7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所有弧边：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48" o:spt="75" type="#_x0000_t75" style="height:13.95pt;width:49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49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对每一辆车，有子图：</w:t>
            </w: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50" o:spt="75" type="#_x0000_t75" style="height:18pt;width:64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51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5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52" o:spt="75" type="#_x0000_t75" style="height:19pt;width:103.95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53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9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54" o:spt="75" type="#_x0000_t75" style="height:18pt;width:58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6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55" o:spt="75" type="#_x0000_t75" style="height:19pt;width:15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3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56" o:spt="75" type="#_x0000_t75" style="height:16pt;width:45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57" o:spt="75" type="#_x0000_t75" style="height:19pt;width:33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，距离，非负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58" o:spt="75" type="#_x0000_t75" style="height:19pt;width:11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9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59" o:spt="75" type="#_x0000_t75" style="height:16pt;width:45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7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60" o:spt="75" type="#_x0000_t75" style="height:19pt;width:30pt;" o:ole="t" filled="f" o:preferrelative="t" stroked="f" coordsize="21600,21600">
                  <v:path/>
                  <v:fill on="f" focussize="0,0"/>
                  <v:stroke on="f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7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，旅行时间，非负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61" o:spt="75" type="#_x0000_t75" style="height:18pt;width:11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75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节点的服务时间</w:t>
            </w: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62" o:spt="75" type="#_x0000_t75" style="height:18pt;width:11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7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63" o:spt="75" type="#_x0000_t75" style="height:13.95pt;width:27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78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，装卸时间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64" o:spt="75" type="#_x0000_t75" style="height:18pt;width:31.95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80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节点的时间窗</w:t>
            </w: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65" o:spt="75" type="#_x0000_t75" style="height:18pt;width:31.95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82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66" o:spt="75" type="#_x0000_t75" style="height:13.95pt;width:27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6" r:id="rId8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，可以提前到达不可提前访问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67" o:spt="75" type="#_x0000_t75" style="height:18pt;width:9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7" r:id="rId84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节点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68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8" r:id="rId8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必须装到车上的货物，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69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9" r:id="rId88">
                  <o:LockedField>false</o:LockedField>
                </o:OLEObject>
              </w:objec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70" o:spt="75" type="#_x0000_t75" style="height:18pt;width:27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90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71" o:spt="75" type="#_x0000_t75" style="height:13.95pt;width:27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92">
                  <o:LockedField>false</o:LockedField>
                </o:OLEObject>
              </w:objec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72" o:spt="75" type="#_x0000_t75" style="height:18pt;width:42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9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73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74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4" r:id="rId98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车辆容量，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75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100">
                  <o:LockedField>false</o:LockedField>
                </o:OLEObject>
              </w:objec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7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决策变量</w: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76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102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vertAlign w:val="baseline"/>
                <w:lang w:val="en-US" w:eastAsia="zh-CN"/>
              </w:rPr>
              <w:object>
                <v:shape id="_x0000_i1077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7" r:id="rId10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=1，边</w:t>
            </w:r>
            <w:r>
              <w:rPr>
                <w:rFonts w:hint="eastAsia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78" o:spt="75" type="#_x0000_t75" style="height:15pt;width:11pt;" o:ole="t" filled="f" o:preferrelative="t" stroked="f" coordsize="21600,21600">
                  <v:path/>
                  <v:fill on="f" focussize="0,0"/>
                  <v:stroke on="f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78" r:id="rId10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使用车辆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7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10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cs="Times New Roman"/>
                <w:position w:val="-10"/>
                <w:vertAlign w:val="baseline"/>
                <w:lang w:val="en-US" w:eastAsia="zh-CN"/>
              </w:rPr>
              <w:object>
                <v:shape id="_x0000_i1080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80" r:id="rId109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81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81" r:id="rId11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82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2" r:id="rId113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车辆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8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3" r:id="rId115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从节点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84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84" r:id="rId11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开始服务，</w:t>
            </w: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125" o:spt="75" alt="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120" o:title=""/>
                  <o:lock v:ext="edit" aspectratio="t"/>
                  <w10:wrap type="none"/>
                  <w10:anchorlock/>
                </v:shape>
                <o:OLEObject Type="Embed" ProgID="Equation.KSEE3" ShapeID="_x0000_i1125" DrawAspect="Content" ObjectID="_1468075785" r:id="rId1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85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6" r:id="rId121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服务节点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8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24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7" r:id="rId12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离开后的货物装载上界，</w:t>
            </w: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126" o:spt="75" alt="" type="#_x0000_t75" style="height:18pt;width:35pt;" o:ole="t" filled="f" o:preferrelative="t" stroked="f" coordsize="21600,21600">
                  <v:path/>
                  <v:fill on="f" focussize="0,0"/>
                  <v:stroke on="f"/>
                  <v:imagedata r:id="rId126" o:title=""/>
                  <o:lock v:ext="edit" aspectratio="t"/>
                  <w10:wrap type="none"/>
                  <w10:anchorlock/>
                </v:shape>
                <o:OLEObject Type="Embed" ProgID="Equation.KSEE3" ShapeID="_x0000_i1126" DrawAspect="Content" ObjectID="_1468075788" r:id="rId1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87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128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89" r:id="rId127">
                  <o:LockedField>false</o:LockedField>
                </o:OLEObject>
              </w:object>
            </w:r>
          </w:p>
        </w:tc>
        <w:tc>
          <w:tcPr>
            <w:tcW w:w="70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12"/>
                <w:vertAlign w:val="baseline"/>
                <w:lang w:val="en-US" w:eastAsia="zh-CN"/>
              </w:rPr>
              <w:object>
                <v:shape id="_x0000_i1088" o:spt="75" type="#_x0000_t75" style="height:18pt;width:11pt;" o:ole="t" filled="f" o:preferrelative="t" stroked="f" coordsize="21600,21600">
                  <v:path/>
                  <v:fill on="f" focussize="0,0"/>
                  <v:stroke on="f"/>
                  <v:imagedata r:id="rId130" o:title=""/>
                  <o:lock v:ext="edit" aspectratio="t"/>
                  <w10:wrap type="none"/>
                  <w10:anchorlock/>
                </v:shape>
                <o:OLEObject Type="Embed" ProgID="Equation.KSEE3" ShapeID="_x0000_i1088" DrawAspect="Content" ObjectID="_1468075790" r:id="rId12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=1，节点</w:t>
            </w:r>
            <w:r>
              <w:rPr>
                <w:rFonts w:hint="eastAsia" w:ascii="Times New Roman" w:hAnsi="Times New Roman" w:cs="Times New Roman"/>
                <w:position w:val="-6"/>
                <w:vertAlign w:val="baseline"/>
                <w:lang w:val="en-US" w:eastAsia="zh-CN"/>
              </w:rPr>
              <w:object>
                <v:shape id="_x0000_i1089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32" o:title=""/>
                  <o:lock v:ext="edit" aspectratio="t"/>
                  <w10:wrap type="none"/>
                  <w10:anchorlock/>
                </v:shape>
                <o:OLEObject Type="Embed" ProgID="Equation.KSEE3" ShapeID="_x0000_i1089" DrawAspect="Content" ObjectID="_1468075791" r:id="rId13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是为需求点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时间满足三角不等式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4"/>
          <w:lang w:val="en-US" w:eastAsia="zh-CN"/>
        </w:rPr>
        <w:object>
          <v:shape id="_x0000_i1090" o:spt="75" type="#_x0000_t75" style="height:19pt;width:5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2" r:id="rId13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，all for 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91" o:spt="75" type="#_x0000_t75" style="height:16pt;width:4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1" DrawAspect="Content" ObjectID="_1468075793" r:id="rId135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假设</w:t>
      </w:r>
      <w:r>
        <w:rPr>
          <w:rFonts w:hint="default" w:ascii="Times New Roman" w:hAnsi="Times New Roman" w:cs="Times New Roman"/>
          <w:position w:val="-14"/>
          <w:lang w:val="en-US" w:eastAsia="zh-CN"/>
        </w:rPr>
        <w:object>
          <v:shape id="_x0000_i1092" o:spt="75" type="#_x0000_t75" style="height:19pt;width:5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2" DrawAspect="Content" ObjectID="_1468075794" r:id="rId13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，消除子回路和交货前的取货约束，进而更好的建模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4"/>
          <w:lang w:val="en-US" w:eastAsia="zh-CN"/>
        </w:rPr>
        <w:object>
          <v:shape id="_x0000_i1093" o:spt="75" type="#_x0000_t75" style="height:19pt;width:5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3" DrawAspect="Content" ObjectID="_1468075795" r:id="rId13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目标函数：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（1）加权后最小化：行驶距离的总和，花费时间总和和每辆车的请求数量。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lang w:val="en-US" w:eastAsia="zh-CN"/>
        </w:rPr>
        <w:object>
          <v:shape id="_x0000_i1094" o:spt="75" type="#_x0000_t75" style="height:28pt;width:222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4" DrawAspect="Content" ObjectID="_1468075796" r:id="rId1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约束条件：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（2）确保每个拾取节点已被访问或者相应的请求已经请求银行。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lang w:val="en-US" w:eastAsia="zh-CN"/>
        </w:rPr>
        <w:object>
          <v:shape id="_x0000_i1097" o:spt="75" type="#_x0000_t75" style="height:29pt;width:9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98" o:spt="75" type="#_x0000_t75" style="height:13.95pt;width:3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确保是同一辆车进行取送货。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lang w:val="en-US" w:eastAsia="zh-CN"/>
        </w:rPr>
        <w:object>
          <v:shape id="_x0000_i1099" o:spt="75" type="#_x0000_t75" style="height:29pt;width:105pt;" o:ole="t" filled="f" o:preferrelative="t" stroked="f" coordsize="21600,21600"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00" o:spt="75" type="#_x0000_t75" style="height:18pt;width:76pt;" o:ole="t" filled="f" o:preferrelative="t" stroked="f" coordsize="21600,21600"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8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车辆离开每个起点的终端。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lang w:val="en-US" w:eastAsia="zh-CN"/>
        </w:rPr>
        <w:object>
          <v:shape id="_x0000_i1107" o:spt="75" type="#_x0000_t75" style="height:29pt;width:67.9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7" DrawAspect="Content" ObjectID="_1468075801" r:id="rId150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108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8" DrawAspect="Content" ObjectID="_1468075802" r:id="rId15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车辆到达每个终点的终端。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lang w:val="en-US" w:eastAsia="zh-CN"/>
        </w:rPr>
        <w:object>
          <v:shape id="_x0000_i1106" o:spt="75" alt="" type="#_x0000_t75" style="height:29pt;width:78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6" DrawAspect="Content" ObjectID="_1468075803" r:id="rId15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105" o:spt="75" type="#_x0000_t75" style="height:13.95pt;width:3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5" DrawAspect="Content" ObjectID="_1468075804" r:id="rId156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保证介于开始节点和终端节点之间是连续路径。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position w:val="-32"/>
          <w:lang w:val="en-US" w:eastAsia="zh-CN"/>
        </w:rPr>
        <w:object>
          <v:shape id="_x0000_i1109" o:spt="75" type="#_x0000_t75" style="height:29pt;width:90pt;" o:ole="t" filled="f" o:preferrelative="t" stroked="f" coordsize="21600,21600"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9" DrawAspect="Content" ObjectID="_1468075805" r:id="rId15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0" o:spt="75" type="#_x0000_t75" style="height:18pt;width:80pt;" o:ole="t" filled="f" o:preferrelative="t" stroked="f" coordsize="21600,21600"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0" DrawAspect="Content" ObjectID="_1468075806" r:id="rId159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（7）保证车辆在节点服务遵守时间窗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position w:val="-14"/>
          <w:lang w:val="en-US" w:eastAsia="zh-CN"/>
        </w:rPr>
        <w:object>
          <v:shape id="_x0000_i1111" o:spt="75" type="#_x0000_t75" style="height:19pt;width:126pt;" o:ole="t" filled="f" o:preferrelative="t" stroked="f" coordsize="21600,21600"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1" DrawAspect="Content" ObjectID="_1468075807" r:id="rId16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2" o:spt="75" type="#_x0000_t75" style="height:18pt;width:96pt;" o:ole="t" filled="f" o:preferrelative="t" stroked="f" coordsize="21600,21600"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2" DrawAspect="Content" ObjectID="_1468075808" r:id="rId163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（8）保证车辆在节点服务遵守时间窗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113" o:spt="75" type="#_x0000_t75" style="height:18pt;width:57pt;" o:ole="t" filled="f" o:preferrelative="t" stroked="f" coordsize="21600,21600"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3" DrawAspect="Content" ObjectID="_1468075809" r:id="rId16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4" o:spt="75" type="#_x0000_t75" style="height:18pt;width:76pt;" o:ole="t" filled="f" o:preferrelative="t" stroked="f" coordsize="21600,21600"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4" DrawAspect="Content" ObjectID="_1468075810" r:id="rId167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保证取货在送货之前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4"/>
          <w:lang w:val="en-US" w:eastAsia="zh-CN"/>
        </w:rPr>
        <w:object>
          <v:shape id="_x0000_i1115" o:spt="75" type="#_x0000_t75" style="height:19pt;width:51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5" DrawAspect="Content" ObjectID="_1468075811" r:id="rId16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6" o:spt="75" type="#_x0000_t75" style="height:18pt;width:76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6" DrawAspect="Content" ObjectID="_1468075812" r:id="rId171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保证车辆的容量限制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4"/>
          <w:lang w:val="en-US" w:eastAsia="zh-CN"/>
        </w:rPr>
        <w:object>
          <v:shape id="_x0000_i1117" o:spt="75" type="#_x0000_t75" style="height:19pt;width:111pt;" o:ole="t" filled="f" o:preferrelative="t" stroked="f" coordsize="21600,21600"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7" DrawAspect="Content" ObjectID="_1468075813" r:id="rId173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18" o:spt="75" type="#_x0000_t75" style="height:18pt;width:96pt;" o:ole="t" filled="f" o:preferrelative="t" stroked="f" coordsize="21600,21600"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8" DrawAspect="Content" ObjectID="_1468075814" r:id="rId175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保证车辆的容量限制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119" o:spt="75" type="#_x0000_t75" style="height:18pt;width:40pt;" o:ole="t" filled="f" o:preferrelative="t" stroked="f" coordsize="21600,21600"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9" DrawAspect="Content" ObjectID="_1468075815" r:id="rId177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position w:val="-12"/>
          <w:lang w:val="en-US" w:eastAsia="zh-CN"/>
        </w:rPr>
        <w:object>
          <v:shape id="_x0000_i1120" o:spt="75" type="#_x0000_t75" style="height:18pt;width:76pt;" o:ole="t" filled="f" o:preferrelative="t" stroked="f" coordsize="21600,21600"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20" DrawAspect="Content" ObjectID="_1468075816" r:id="rId179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保证车辆的容量限制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position w:val="-18"/>
          <w:lang w:val="en-US" w:eastAsia="zh-CN"/>
        </w:rPr>
        <w:object>
          <v:shape id="_x0000_i1121" o:spt="75" type="#_x0000_t75" style="height:21pt;width:67.95pt;" o:ole="t" filled="f" o:preferrelative="t" stroked="f" coordsize="21600,21600"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1" DrawAspect="Content" ObjectID="_1468075817" r:id="rId181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122" o:spt="75" type="#_x0000_t75" style="height:13.95pt;width:39pt;" o:ole="t" filled="f" o:preferrelative="t" stroked="f" coordsize="21600,21600"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2" DrawAspect="Content" ObjectID="_1468075818" r:id="rId183">
            <o:LockedField>false</o:LockedField>
          </o:OLEObject>
        </w:objec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5F4C7"/>
    <w:multiLevelType w:val="singleLevel"/>
    <w:tmpl w:val="C675F4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89D5A3"/>
    <w:multiLevelType w:val="singleLevel"/>
    <w:tmpl w:val="D589D5A3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E737F"/>
    <w:rsid w:val="142B4396"/>
    <w:rsid w:val="167F0881"/>
    <w:rsid w:val="19B52F71"/>
    <w:rsid w:val="19FE737F"/>
    <w:rsid w:val="1D813EC8"/>
    <w:rsid w:val="24C23DB0"/>
    <w:rsid w:val="262D25F8"/>
    <w:rsid w:val="3109795C"/>
    <w:rsid w:val="36964751"/>
    <w:rsid w:val="4A510696"/>
    <w:rsid w:val="5353078A"/>
    <w:rsid w:val="592C09EE"/>
    <w:rsid w:val="64B50310"/>
    <w:rsid w:val="699F7DBA"/>
    <w:rsid w:val="6BC74C94"/>
    <w:rsid w:val="6EA65379"/>
    <w:rsid w:val="7DC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7" Type="http://schemas.openxmlformats.org/officeDocument/2006/relationships/fontTable" Target="fontTable.xml"/><Relationship Id="rId186" Type="http://schemas.openxmlformats.org/officeDocument/2006/relationships/numbering" Target="numbering.xml"/><Relationship Id="rId185" Type="http://schemas.openxmlformats.org/officeDocument/2006/relationships/customXml" Target="../customXml/item1.xml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2020-12-16T07:54:00Z</dcterms:created>
  <dc:creator>A WAYS AWAY</dc:creator>
  <cp:lastModifiedBy>A WAYS AWAY</cp:lastModifiedBy>
  <dcterms:modified xsi:type="dcterms:W3CDTF">2020-12-21T02:54:29Z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