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教师端智能体 SaaS 部署与集成指南</w:t>
      </w:r>
    </w:p>
    <w:p>
      <w:r>
        <w:rPr>
          <w:color w:val="667489"/>
        </w:rPr>
        <w:t>基于当前代码的运行链路与上线清单  |  版本 2.1  |  2026-09-17</w:t>
      </w:r>
    </w:p>
    <w:p>
      <w:r>
        <w:t>适用对象：SaaS 平台架构、部署、后端、前端与运维人员。本文说明“当前代码实际如何运行”以及“移植到多租户 SaaS 前要补齐什么”，两者不混同。</w:t>
      </w:r>
    </w:p>
    <w:p>
      <w:pPr>
        <w:pStyle w:val="Heading1"/>
      </w:pPr>
      <w:r>
        <w:t>1. 先看结论：当前产品边界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当前代码中的状态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部署含义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教师工作台（主入口）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同一个命令框接收自然语言和四个快捷任务：课程目标、知识点、教学活动、课件。结构化命令调用原备课 Agent 的意图规划；课件进入 OpenMAIC。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Node/Next.js、课程存储和模型服务是核心；前端必须能跳出嵌入式 iframe 打开独立审核页。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课程工作区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课程树、资料、周/课时目录、文件移动与删除、目标文件夹选择、历史产物缩略图。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需持久化课程结构、产物关联及附件；目录权限要由后端校验。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备课 Agent 后端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当前命令框已复用 /agent 的意图规划、确认与课程操作。单课时结构内容先生成草稿、由教师审核后再保存；开放式问答才可能进入可选 DeepSeek Harness。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结构化备课能力已是主入口的一部分；Python Harness 仍非必需，启用时需要单独隔离和监控。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LangGraph / 多角色实时讨论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仓库有历史依赖或代码，但当前课件生成不依赖 LangGraph；课堂实时多角色讨论已移除/停用。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不得把 LangGraph 当作部署必需组件。</w:t>
            </w:r>
          </w:p>
        </w:tc>
      </w:tr>
    </w:tbl>
    <w:p/>
    <w:p>
      <w:pPr>
        <w:pStyle w:val="Heading1"/>
      </w:pPr>
      <w:r>
        <w:t>2. 教师端的四页业务路径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路由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教师操作与后端依赖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首页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/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品牌欢迎与“进入课程”；无需任务 Worker。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Course 课程页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/course-space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查看和选择课程；读取课程记录。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当前课程状态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/course-space/[courseId]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查看课程结构、材料、产物和知识图谱状态。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Class 工作页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/course-space?workspace=&lt;courseId&gt;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课程目录与课件；“教师工作台 / 历史产物缩略图”两栏。工作台命令可启动课时内容审核页、课件预览页或其他产物任务页。</w:t>
            </w:r>
          </w:p>
        </w:tc>
      </w:tr>
    </w:tbl>
    <w:p/>
    <w:p>
      <w:r>
        <w:t>教师工作台顶部“当前工作位置”可选择课程根目录、模块或课时目录（课程下一级或两级）。选择只更新工作范围；嵌入式生成器保持挂载，并通过同源 postMessage 接收 scope/location，避免命令框因重载而跳动。</w:t>
      </w:r>
    </w:p>
    <w:p>
      <w:pPr>
        <w:pStyle w:val="Heading1"/>
      </w:pPr>
      <w:r>
        <w:t>3. 教师命令的两条生成链路</w:t>
      </w:r>
    </w:p>
    <w:p>
      <w:r>
        <w:t>教师在 Class 的同一个命令框发送文本命令，也可点击课程目标、知识点、教学活动、课件快捷按钮。前端将课程 ID 与当前 scope 传给后端；明确的课时结构内容命令先取得结构化计划，课件命令先由教师确认，再进入 OpenMAIC。文件移动与删除仍保留操作确认。</w:t>
      </w:r>
    </w:p>
    <w:p>
      <w:pPr>
        <w:pStyle w:val="Heading2"/>
      </w:pPr>
      <w:r>
        <w:t>3.1 课时目标 知识点 教学活动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当前实现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部署与集成注意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命令与计划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 /api/course-space/[courseId]/agent；规则意图规划返回 create-lesson-files 计划。选中的课时 scope 或命令中的第 N 周用于定位目标课时。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必须校验课程归属与课时 ID；不是所有自然语言都能解析成结构化计划。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打开确认页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父页面接收 iframe 同源 postMessage，将计划暂存到 sessionStorage，并跳转 /course-space/[courseId]/prepare?draft=&lt;id&gt;。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该计划目前是浏览器会话临时数据；刷新同标签页可保留，跨浏览器、会话结束后不可恢复；SaaS 应改用服务端任务记录。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确认与生成草稿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教师确认后 POST /api/course-space/[courseId]/lesson-files/draft，服务端读取已解析材料与课程结构、调用模型生成 JSON 草稿。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草稿生成是同步 HTTP 调用：浏览器约 120 秒超时，路由 maxDuration 为 180 秒。长任务与重试应迁至持久队列。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审核与写入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教师在独立页编辑草稿，点击审核通过后 PATCH 同一接口；updateServerCourse 写入或更新 lesson.files，状态置 ready。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审核前不覆盖文件；当前只保存最终正文与 ready 状态，尚无独立审核人、版本和审批事件表。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预览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保存成功后打开 /course-space/[courseId]/lesson-files/preview，从课程 API 重新读取已持久化文件。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必须以服务端重读的正文为准验收，不能仅展示浏览器缓存草稿。</w:t>
            </w:r>
          </w:p>
        </w:tc>
      </w:tr>
    </w:tbl>
    <w:p/>
    <w:p>
      <w:r>
        <w:t>当前独立确认与审核页针对单个课时的课时目标、知识点、教学活动。多课时批量内容命令仍可能走原有操作执行路径；SaaS 迁移时应统一为可持久化、可恢复的任务与审核机制。</w:t>
      </w:r>
    </w:p>
    <w:p>
      <w:pPr>
        <w:pStyle w:val="Heading2"/>
      </w:pPr>
      <w:r>
        <w:t>3.2 课件生成与课程挂接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实际动作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状态/失败点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1. 选位置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课程工作区生成 scope（课程/模块/课时），传入嵌入的 OpenMAIC 生成页。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页面和 iframe 必须同源；不能只信客户端 scope，写入时仍要校验课程权限。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2. 确认与暂存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教师确认课件命令后，嵌入页将需求、材料和 scope 写入 generationSession（sessionStorage），通知父页面导航。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会话状态是浏览器临时数据；父页面和 iframe 须同源，换浏览器或中断后不保证恢复。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3. 预览与生成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父页面在顶层打开 /generation-preview；执行大纲、场景、动作、媒体等分阶段生成，调用已配置的模型与媒体服务。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不得只在小 iframe 内导航；这是分阶段工作流，不是 LangGraph Agent 图。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4. 保存课堂本体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预览成功后调用 POST /api/classroom 保存课件/课堂主体。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此步必须成功，否则不得宣布“已归档到课程”。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5. 挂接课程目录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调用 POST /api/course-space/[courseId]/classrooms/attach 将课堂产物关联到当前 scope。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 ID、目标目录与课堂 ID 都需有效；失败须显示并允许重试。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6. 查看产物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课程工作区和“历史产物缩略图”展示已保存并关联的课件。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重启后仍可打开，才算持久化验收通过。</w:t>
            </w:r>
          </w:p>
        </w:tc>
      </w:tr>
    </w:tbl>
    <w:p/>
    <w:p>
      <w:r>
        <w:t>其他教学产物（教学大纲、计划、讲稿、习题、量规等）走课程任务 API。当前 app/api/course-space/[courseId]/jobs 使用 Next.js after() 在 Web 进程内触发 runCourseArtifactJob；课堂生成任务也有相同模式。这是现有实现，不等于可靠队列：进程重启、扩容和超时场景要在 SaaS 迁移时改造。</w:t>
      </w:r>
    </w:p>
    <w:p>
      <w:pPr>
        <w:pStyle w:val="Heading1"/>
      </w:pPr>
      <w:r>
        <w:t>4. 运行形态与最小依赖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组件 / 配置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必须：跑通主链路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Node.js ≥22.19；pnpm ≥10；Next.js 应用；可访问的文本大模型及对应 API Key。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课时草稿生成和课件生成都要实际调用模型。按 pnpm-lock.yaml 安装并构建；pnpm install --frozen-lockfile、pnpm build、pnpm start。容器可用仓库 Dockerfile（默认 3000 端口）。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必须：SaaS 持久化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PostgreSQL；DATABASE_URL；COURSE_DATABASE_URL 可与前者共用，配置时优先用于课程数据。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课程结构/产物与 OpenMAIC 课堂本体都应写服务端；不得依赖开发用 JSON 文件或仅浏览器状态。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必须：文件可用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可持久化且多实例共享的附件/媒体存储；可选 ASSET_S3_BUCKET + 标准 AWS SDK 凭证。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源材料、截图、生成课件媒体和导出文件需有统一归属、可访问 URL 与备份策略。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按需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图片生成、TTS、ASR/实时语音、PPT 解析与视频导出所需 API、字体和系统库。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未启用对应能力时不是主链路启动条件；能力启用后要分别做连通性测试。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非必需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LangGraph、RabbitMQ、Celery、Redis、DeepSeek Harness Python SDK。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课时结构内容由规则规划和模型调用完成；开放式请求仅在配置 DEEPSEEK_HARNESS_PYTHON 且不带截图时尝试 Harness，失败回退兼容模型。生产级异步队列是目标改造，不是仓库现状。</w:t>
            </w:r>
          </w:p>
        </w:tc>
      </w:tr>
    </w:tbl>
    <w:p/>
    <w:p>
      <w:r>
        <w:t>Dockerfile 已包含 Node 22、pnpm 10、构建所需 Python/图形库与运行时 cairo/pango 等依赖。裸机部署须按使用到的导入、渲染能力补齐系统库；容器部署优先使用现有 Dockerfile 验证。资源起点建议：Web/生成应用 2–4 vCPU、4–8 GB RAM/实例，PostgreSQL 与对象存储独立部署；这只是容量规划起点，需按并发、课件页数及媒体任务压测修订。</w:t>
      </w:r>
    </w:p>
    <w:p>
      <w:pPr>
        <w:pStyle w:val="Heading1"/>
      </w:pPr>
      <w:r>
        <w:t>5. 配置、存储与迁移注意事项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配置项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作用 / 当前行为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生产要求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DATABASE_URL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OpenMAIC 服务端课件/资产持久化连接；亦可作为课程库连接。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TLS、连接池、迁移与备份；禁止把密钥写进前端。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COURSE_DATABASE_URL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课程数据专用 PostgreSQL；配置时优先于 DATABASE_URL。缺省时课程可回退 data/course-spaces/ JSON。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SaaS 强烈建议显式配置；不要让多实例各写本地 JSON。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OPENAI_API_KEY / DEEPSEEK_API_KEY / QWEN_API_KEY 等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按所选模型供应商提供生成能力。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至少配置生成路径实际选中的模型；校验网络出口、额度和限流。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ASSET_S3_BUCKET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将资产字节放 S3 兼容对象存储；未配置时按当前持久化实现存储。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建议共享对象存储、备份、生命周期、签名 URL 和 CORS。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NEXT_PUBLIC_PERSISTENCE / PERSISTENCE_DEV_TOKEN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仓库提供开发用持久化开关/共享令牌。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共享开发令牌不提供用户隔离，不可作为公开 SaaS 的身份认证。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STUDENT_AGENT_API_KEY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学生智能体课程只读接口的服务端令牌。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仅服务端保存，按租户和用途授权；不放浏览器。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DEEPSEEK_HARNESS_PYTHON / DEEPSEEK_HARNESS_BRIDGE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可选旧备课智能体开放式问答桥接。未配置 Python 时跳过 Harness。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不是四项快捷任务的必需条件；若启用，需安装 SDK、隔离工作区并限制子进程权限。</w:t>
            </w:r>
          </w:p>
        </w:tc>
      </w:tr>
    </w:tbl>
    <w:p/>
    <w:p>
      <w:r>
        <w:t>数据分层：① PostgreSQL 中的课程、模块、课时及 lesson.files（审核后正文与 ready 状态）、材料、产物关联、任务与课件课堂主体；② 附件/媒体字节（数据库或对象存储）；③ 浏览器中的 generationSession 和 teacher-plan:&lt;id&gt; 等临时状态。课时草稿在教师审核前只由生成接口返回，尚未形成服务端持久草稿记录。备份必须覆盖 ①+②，并验证课件记录引用的媒体仍可读取。数据库结构可参考 docs/COURSE_STORAGE_MIGRATION.md、docs/course-data-api-v1.md 和 docs/STUDENT_AGENT_COURSE_API.md；服务方应以实际迁移脚本和数据库检查结果为准。</w:t>
      </w:r>
    </w:p>
    <w:p>
      <w:pPr>
        <w:pStyle w:val="Heading1"/>
      </w:pPr>
      <w:r>
        <w:t>6. SaaS 集成：必须补齐的生产边界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代码现状 / 风险</w:t>
            </w:r>
          </w:p>
        </w:tc>
        <w:tc>
          <w:tcPr>
            <w:tcW w:type="dxa" w:w="3229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服务方动作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身份与租户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部分课程 API 仍以 DEFAULT_TEACHER_ID = local-teacher 或请求中的 teacherId 工作。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以 SaaS SSO/会话取得 teacherId/tenantId；每次课程、文件、课件、任务读写都校验归属；禁止信任客户端身份字段。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同源路由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Class 页通过 iframe 嵌入生成页，scope 由同源 postMessage 同步。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Nginx 将前端、Next API、生成预览纳入同一可信 origin；如拆域，需重做消息 origin 校验和会话传递。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备课计划与审核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单课时计划存浏览器 sessionStorage；生成草稿经同步接口返回，PATCH 后直接写 ready；尚无独立审批事件。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计划、草稿、审核人、审核时间与版本应服务端持久化；审核保存需鉴权、并发版本校验、幂等和审计日志。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异步执行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课程任务与课堂生成使用进程内 after()。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将任务入持久队列并由独立 Worker 消费；记录状态、超时、重试、幂等键、断点/补偿；Web 节点可无状态扩缩。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文件与工作目录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前端可选 scope，且课程树支持移动/删除。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后端验证目标目录属于课程和租户；移动/删除留审计；课堂与材料关联事务化。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模型与媒体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 API、图片/TTS/ASR 可由不同供应商承担。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统一密钥托管、出口白名单、配额、失败重试；按租户记录消耗。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可靠性与观测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生成步骤跨浏览器状态、Web API、数据库和外部模型。</w:t>
            </w:r>
          </w:p>
        </w:tc>
        <w:tc>
          <w:tcPr>
            <w:tcW w:type="dxa" w:w="322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为每次生成分配 request/job ID，记录阶段、耗时、错误码；建立持久化失败告警与恢复入口。</w:t>
            </w:r>
          </w:p>
        </w:tc>
      </w:tr>
    </w:tbl>
    <w:p/>
    <w:p>
      <w:r>
        <w:t>可采用 Django/DRF 作为 SaaS 身份、课程权限与业务事实源，Nginx 作为同源入口；现有 Next.js/OpenMAIC 继续承载生成 UI 和 Node 生成逻辑。若平台已有 Celery/RabbitMQ，可由 Celery 调 Node Worker/API，或让 Node 独立消费队列；不要让两个消费者重复领取同一任务。该分层是目标架构建议，不是当前仓库已实现的拓扑。</w:t>
      </w:r>
    </w:p>
    <w:p>
      <w:pPr>
        <w:pStyle w:val="Heading1"/>
      </w:pPr>
      <w:r>
        <w:t>7. 上线顺序与验收</w:t>
      </w:r>
    </w:p>
    <w:p>
      <w:pPr>
        <w:pStyle w:val="ListBullet"/>
      </w:pPr>
      <w:r>
        <w:t>① 准备 PostgreSQL、共享资产存储、模型密钥与可用网络出口；使用仓库 Dockerfile 或 Node 22 环境构建；确认 GET /api/health、数据库连接和首页可用。</w:t>
      </w:r>
    </w:p>
    <w:p>
      <w:pPr>
        <w:pStyle w:val="ListBullet"/>
      </w:pPr>
      <w:r>
        <w:t>② 经平台身份登录后依次打开首页 → Course → 课程状态 → Class；课程、目录和历史产物只展示本租户可访问内容。</w:t>
      </w:r>
    </w:p>
    <w:p>
      <w:pPr>
        <w:pStyle w:val="ListBullet"/>
      </w:pPr>
      <w:r>
        <w:t>③ 在 Class 选择课程根/模块/课时：命令框不重载、不丢草稿；非法 scope 写入被拒绝。发送“生成第7周知识点”后应进入独立确认页，而不是卡在 iframe 的“执行中”。</w:t>
      </w:r>
    </w:p>
    <w:p>
      <w:pPr>
        <w:pStyle w:val="ListBullet"/>
      </w:pPr>
      <w:r>
        <w:t>④ 以真实材料走完单课时内容：确认计划、生成草稿、修改正文、审核通过、跳转预览；取消或生成失败时原文件不得被覆盖；重启后已审核正文仍可读取。</w:t>
      </w:r>
    </w:p>
    <w:p>
      <w:pPr>
        <w:pStyle w:val="ListBullet"/>
      </w:pPr>
      <w:r>
        <w:t>⑤ 生成一份课件：确认后顶层打开 /generation-preview；POST /api/classroom 保存成功、attach 成功、历史产物可打开；重启 Web/Worker 后产物仍在。</w:t>
      </w:r>
    </w:p>
    <w:p>
      <w:pPr>
        <w:pStyle w:val="ListBullet"/>
      </w:pPr>
      <w:r>
        <w:t>⑥ 测试失败恢复：模型超时、数据库中断、对象存储不可用、attach 失败、重复点击生成、任务重试；不得出现“显示成功但实际无课件”。</w:t>
      </w:r>
    </w:p>
    <w:p>
      <w:pPr>
        <w:pStyle w:val="ListBullet"/>
      </w:pPr>
      <w:r>
        <w:t>⑦ 检查备份恢复、访问审计、租户隔离、密钥与 CORS、限流、并发生成容量；再灰度放量。</w:t>
      </w:r>
    </w:p>
    <w:p>
      <w:pPr>
        <w:pStyle w:val="Heading1"/>
      </w:pPr>
      <w:r>
        <w:t>8. 关键接口与代码定位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844"/>
            <w:vAlign w:val="center"/>
            <w:shd w:fill="A0104E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入口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课程目录与资料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app/api/course-space/[courseId]/*；components/course-space/course-workspace-explorer.tsx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工作目录选择/同步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components/course-space/course-work-location-picker.tsx；app/course-space/page.tsx；app/page.tsx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命令规划与可选 Harness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 /api/course-space/[courseId]/agent；lib/course-space/teacher-agent-intent.ts；lib/server/teacher-workspace-agent.ts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单课时草稿、审核与预览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POST/PATCH /api/course-space/[courseId]/lesson-files/draft；/course-space/[courseId]/prepare；/course-space/[courseId]/lesson-files/preview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课件生成与预览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app/page.tsx → 顶层 app/generation-preview/page.tsx；app/api/generate-classroom/route.ts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课件保存与课程挂接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 /api/classroom；POST /api/course-space/[courseId]/classrooms/attach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其他产物任务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 /api/course-space/[courseId]/jobs；lib/server/course-artifact-runner.ts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需确认的课程结构操作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POST /api/course-space/[courseId]/agent/operations；lib/server/teacher-course-operations.ts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对外课程数据接口</w:t>
            </w:r>
          </w:p>
        </w:tc>
        <w:tc>
          <w:tcPr>
            <w:tcW w:type="dxa" w:w="48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docs/course-data-api-v1.md；docs/STUDENT_AGENT_COURSE_API.md</w:t>
            </w:r>
          </w:p>
        </w:tc>
      </w:tr>
    </w:tbl>
    <w:p/>
    <w:p>
      <w:r>
        <w:t>交付给部署方的最低材料：镜像/版本、环境变量模板与密钥清单、数据库迁移与备份方案、对象存储权限、模型供应商清单、API/SSO 对接说明、任务重试策略、日志与告警字段、上述验收记录。</w:t>
      </w:r>
    </w:p>
    <w:sectPr w:rsidR="00FC693F" w:rsidRPr="0006063C" w:rsidSect="00034616">
      <w:footerReference w:type="default" r:id="rId9"/>
      <w:pgSz w:w="12240" w:h="15840"/>
      <w:pgMar w:top="1077" w:right="1276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4"/>
      </w:rPr>
      <w:t>MENTRA / 教师端智能体 SaaS 部署与集成指南  ·  基于当前代码核对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2330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