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color w:val="4A4A4A"/>
          <w:sz w:val="20"/>
          <w:szCs w:val="20"/>
        </w:rPr>
        <w:t xml:space="preserve"/>
      </w:r>
    </w:p>
    <w:p>
      <w:pPr>
        <w:spacing w:after="60" w:before="0"/>
        <w:jc w:val="center"/>
      </w:pPr>
      <w:r>
        <w:rPr>
          <w:rFonts w:ascii="Arial" w:cs="Arial" w:eastAsia="Arial" w:hAnsi="Arial"/>
          <w:b/>
          <w:bCs/>
          <w:color w:val="C0392B"/>
          <w:sz w:val="36"/>
          <w:szCs w:val="36"/>
        </w:rPr>
        <w:t xml:space="preserve">SINO TUNISIAN COMMERCIAL COOPERATION</w:t>
      </w:r>
    </w:p>
    <w:p>
      <w:pPr>
        <w:spacing w:after="40" w:before="0"/>
        <w:jc w:val="center"/>
      </w:pPr>
      <w:r>
        <w:rPr>
          <w:rFonts w:ascii="Arial" w:cs="Arial" w:eastAsia="Arial" w:hAnsi="Arial"/>
          <w:i/>
          <w:iCs/>
          <w:color w:val="4A4A4A"/>
          <w:sz w:val="22"/>
          <w:szCs w:val="22"/>
        </w:rPr>
        <w:t xml:space="preserve">Coopération Commerciale Sino Tunisienne</w:t>
      </w:r>
    </w:p>
    <w:p>
      <w:pPr>
        <w:pBdr>
          <w:bottom w:val="single" w:color="C0392B" w:sz="8"/>
        </w:pBdr>
        <w:spacing w:after="80" w:before="80"/>
      </w:pPr>
      <w:r>
        <w:rPr>
          <w:rFonts w:ascii="Arial" w:cs="Arial" w:eastAsia="Arial" w:hAnsi="Arial"/>
          <w:color w:val="4A4A4A"/>
          <w:sz w:val="20"/>
          <w:szCs w:val="20"/>
        </w:rPr>
        <w:t xml:space="preserve"/>
      </w:r>
    </w:p>
    <w:p>
      <w:pPr>
        <w:spacing w:after="0" w:before="120"/>
      </w:pPr>
      <w:r>
        <w:rPr>
          <w:rFonts w:ascii="Arial" w:cs="Arial" w:eastAsia="Arial" w:hAnsi="Arial"/>
          <w:color w:val="4A4A4A"/>
          <w:sz w:val="20"/>
          <w:szCs w:val="20"/>
        </w:rPr>
        <w:t xml:space="preserve"/>
      </w:r>
    </w:p>
    <w:p>
      <w:pPr>
        <w:spacing w:after="60" w:before="0"/>
        <w:jc w:val="center"/>
      </w:pPr>
      <w:r>
        <w:rPr>
          <w:rFonts w:ascii="Arial" w:cs="Arial" w:eastAsia="Arial" w:hAnsi="Arial"/>
          <w:b/>
          <w:bCs/>
          <w:color w:val="1A1A1A"/>
          <w:sz w:val="44"/>
          <w:szCs w:val="44"/>
        </w:rPr>
        <w:t xml:space="preserve">VRIO STRATEGIC ANALYSIS</w:t>
      </w:r>
    </w:p>
    <w:p>
      <w:pPr>
        <w:spacing w:after="40" w:before="0"/>
        <w:jc w:val="center"/>
      </w:pPr>
      <w:r>
        <w:rPr>
          <w:rFonts w:ascii="Arial" w:cs="Arial" w:eastAsia="Arial" w:hAnsi="Arial"/>
          <w:color w:val="4A4A4A"/>
          <w:sz w:val="22"/>
          <w:szCs w:val="22"/>
        </w:rPr>
        <w:t xml:space="preserve">Internal Resource Assessment &amp; Competitive Advantage Framework</w:t>
      </w:r>
    </w:p>
    <w:p>
      <w:pPr>
        <w:spacing w:after="0" w:before="3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pPr>
              <w:spacing w:after="20" w:before="0"/>
            </w:pPr>
            <w:r>
              <w:rPr>
                <w:rFonts w:ascii="Arial" w:cs="Arial" w:eastAsia="Arial" w:hAnsi="Arial"/>
                <w:b/>
                <w:bCs/>
                <w:color w:val="C0392B"/>
                <w:sz w:val="16"/>
                <w:szCs w:val="16"/>
              </w:rPr>
              <w:t xml:space="preserve">Contact</w:t>
            </w:r>
          </w:p>
          <w:p>
            <w:r>
              <w:rPr>
                <w:rFonts w:ascii="Arial" w:cs="Arial" w:eastAsia="Arial" w:hAnsi="Arial"/>
                <w:color w:val="1A1A1A"/>
                <w:sz w:val="18"/>
                <w:szCs w:val="18"/>
              </w:rPr>
              <w:t xml:space="preserve">Ahmed Ghandour</w:t>
            </w:r>
          </w:p>
        </w:tc>
        <w:tc>
          <w:tcPr>
            <w:tcW w:type="dxa" w:w="234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pPr>
              <w:spacing w:after="20" w:before="0"/>
            </w:pPr>
            <w:r>
              <w:rPr>
                <w:rFonts w:ascii="Arial" w:cs="Arial" w:eastAsia="Arial" w:hAnsi="Arial"/>
                <w:b/>
                <w:bCs/>
                <w:color w:val="C0392B"/>
                <w:sz w:val="16"/>
                <w:szCs w:val="16"/>
              </w:rPr>
              <w:t xml:space="preserve">Role</w:t>
            </w:r>
          </w:p>
          <w:p>
            <w:r>
              <w:rPr>
                <w:rFonts w:ascii="Arial" w:cs="Arial" w:eastAsia="Arial" w:hAnsi="Arial"/>
                <w:color w:val="1A1A1A"/>
                <w:sz w:val="18"/>
                <w:szCs w:val="18"/>
              </w:rPr>
              <w:t xml:space="preserve">General Manager</w:t>
            </w:r>
          </w:p>
        </w:tc>
        <w:tc>
          <w:tcPr>
            <w:tcW w:type="dxa" w:w="234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pPr>
              <w:spacing w:after="20" w:before="0"/>
            </w:pPr>
            <w:r>
              <w:rPr>
                <w:rFonts w:ascii="Arial" w:cs="Arial" w:eastAsia="Arial" w:hAnsi="Arial"/>
                <w:b/>
                <w:bCs/>
                <w:color w:val="C0392B"/>
                <w:sz w:val="16"/>
                <w:szCs w:val="16"/>
              </w:rPr>
              <w:t xml:space="preserve">Email</w:t>
            </w:r>
          </w:p>
          <w:p>
            <w:r>
              <w:rPr>
                <w:rFonts w:ascii="Arial" w:cs="Arial" w:eastAsia="Arial" w:hAnsi="Arial"/>
                <w:color w:val="1A1A1A"/>
                <w:sz w:val="18"/>
                <w:szCs w:val="18"/>
              </w:rPr>
              <w:t xml:space="preserve">ahmed@sinotuncc.com</w:t>
            </w:r>
          </w:p>
        </w:tc>
        <w:tc>
          <w:tcPr>
            <w:tcW w:type="dxa" w:w="2340"/>
            <w:tcBorders>
              <w:top w:val="single" w:color="EEEEEE" w:sz="1"/>
              <w:left w:val="single" w:color="EEEEEE" w:sz="1"/>
              <w:bottom w:val="single" w:color="EEEEEE" w:sz="1"/>
              <w:right w:val="single" w:color="EEEEEE" w:sz="1"/>
            </w:tcBorders>
            <w:shd w:fill="F5F5F5" w:val="clear"/>
            <w:tcMar>
              <w:top w:type="dxa" w:w="80"/>
              <w:left w:type="dxa" w:w="120"/>
              <w:bottom w:type="dxa" w:w="80"/>
              <w:right w:type="dxa" w:w="120"/>
            </w:tcMar>
          </w:tcPr>
          <w:p>
            <w:pPr>
              <w:spacing w:after="20" w:before="0"/>
            </w:pPr>
            <w:r>
              <w:rPr>
                <w:rFonts w:ascii="Arial" w:cs="Arial" w:eastAsia="Arial" w:hAnsi="Arial"/>
                <w:b/>
                <w:bCs/>
                <w:color w:val="C0392B"/>
                <w:sz w:val="16"/>
                <w:szCs w:val="16"/>
              </w:rPr>
              <w:t xml:space="preserve">Location</w:t>
            </w:r>
          </w:p>
          <w:p>
            <w:r>
              <w:rPr>
                <w:rFonts w:ascii="Arial" w:cs="Arial" w:eastAsia="Arial" w:hAnsi="Arial"/>
                <w:color w:val="1A1A1A"/>
                <w:sz w:val="18"/>
                <w:szCs w:val="18"/>
              </w:rPr>
              <w:t xml:space="preserve">Tunis, Tunisia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40"/>
              <w:left w:type="dxa" w:w="280"/>
              <w:bottom w:type="dxa" w:w="140"/>
              <w:right w:type="dxa" w:w="280"/>
            </w:tcMar>
          </w:tcPr>
          <w:p>
            <w:pPr>
              <w:jc w:val="center"/>
            </w:pPr>
            <w:r>
              <w:rPr>
                <w:rFonts w:ascii="Arial" w:cs="Arial" w:eastAsia="Arial" w:hAnsi="Arial"/>
                <w:b/>
                <w:bCs/>
                <w:color w:val="FFFFFF"/>
                <w:sz w:val="22"/>
                <w:szCs w:val="22"/>
              </w:rPr>
              <w:t xml:space="preserve">WHAT IS THE VRIO FRAMEWORK?</w:t>
            </w:r>
          </w:p>
        </w:tc>
      </w:tr>
    </w:tbl>
    <w:p>
      <w:pPr>
        <w:spacing w:after="0" w:before="160"/>
      </w:pPr>
      <w:r>
        <w:rPr>
          <w:rFonts w:ascii="Arial" w:cs="Arial" w:eastAsia="Arial" w:hAnsi="Arial"/>
          <w:color w:val="4A4A4A"/>
          <w:sz w:val="20"/>
          <w:szCs w:val="20"/>
        </w:rPr>
        <w:t xml:space="preserve"/>
      </w:r>
    </w:p>
    <w:p>
      <w:pPr>
        <w:spacing w:after="60" w:before="60"/>
      </w:pPr>
      <w:r>
        <w:rPr>
          <w:rFonts w:ascii="Arial" w:cs="Arial" w:eastAsia="Arial" w:hAnsi="Arial"/>
          <w:color w:val="4A4A4A"/>
          <w:sz w:val="20"/>
          <w:szCs w:val="20"/>
        </w:rPr>
        <w:t xml:space="preserve">The VRIO framework is a strategic management tool used to evaluate a company’s internal resources and capabilities. It determines whether a resource can be a source of sustained competitive advantage by testing it against four criteria: Valuable, Rare, Inimitable, and Organized.</w:t>
      </w:r>
    </w:p>
    <w:p>
      <w:pPr>
        <w:spacing w:after="0" w:before="8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AF2FB" w:val="clear"/>
            <w:tcMar>
              <w:top w:type="dxa" w:w="120"/>
              <w:left w:type="dxa" w:w="160"/>
              <w:bottom w:type="dxa" w:w="120"/>
              <w:right w:type="dxa" w:w="160"/>
            </w:tcMar>
          </w:tcPr>
          <w:p>
            <w:pPr>
              <w:spacing w:after="60" w:before="0"/>
            </w:pPr>
            <w:r>
              <w:rPr>
                <w:rFonts w:ascii="Arial" w:cs="Arial" w:eastAsia="Arial" w:hAnsi="Arial"/>
                <w:b/>
                <w:bCs/>
                <w:color w:val="1A5276"/>
                <w:sz w:val="19"/>
                <w:szCs w:val="19"/>
              </w:rPr>
              <w:t xml:space="preserve">V  —  Valuable</w:t>
            </w:r>
          </w:p>
          <w:p>
            <w:r>
              <w:rPr>
                <w:rFonts w:ascii="Arial" w:cs="Arial" w:eastAsia="Arial" w:hAnsi="Arial"/>
                <w:color w:val="4A4A4A"/>
                <w:sz w:val="17"/>
                <w:szCs w:val="17"/>
              </w:rPr>
              <w:t xml:space="preserve">Does the resource help exploit opportunities or neutralize threats?</w:t>
            </w:r>
          </w:p>
        </w:tc>
        <w:tc>
          <w:tcPr>
            <w:tcW w:type="dxa" w:w="2340"/>
            <w:tcBorders>
              <w:top w:val="single" w:color="DDDDDD" w:sz="1"/>
              <w:left w:val="single" w:color="DDDDDD" w:sz="1"/>
              <w:bottom w:val="single" w:color="DDDDDD" w:sz="1"/>
              <w:right w:val="single" w:color="DDDDDD" w:sz="1"/>
            </w:tcBorders>
            <w:shd w:fill="EAFAF1" w:val="clear"/>
            <w:tcMar>
              <w:top w:type="dxa" w:w="120"/>
              <w:left w:type="dxa" w:w="160"/>
              <w:bottom w:type="dxa" w:w="120"/>
              <w:right w:type="dxa" w:w="160"/>
            </w:tcMar>
          </w:tcPr>
          <w:p>
            <w:pPr>
              <w:spacing w:after="60" w:before="0"/>
            </w:pPr>
            <w:r>
              <w:rPr>
                <w:rFonts w:ascii="Arial" w:cs="Arial" w:eastAsia="Arial" w:hAnsi="Arial"/>
                <w:b/>
                <w:bCs/>
                <w:color w:val="1E8449"/>
                <w:sz w:val="19"/>
                <w:szCs w:val="19"/>
              </w:rPr>
              <w:t xml:space="preserve">R  —  Rare</w:t>
            </w:r>
          </w:p>
          <w:p>
            <w:r>
              <w:rPr>
                <w:rFonts w:ascii="Arial" w:cs="Arial" w:eastAsia="Arial" w:hAnsi="Arial"/>
                <w:color w:val="4A4A4A"/>
                <w:sz w:val="17"/>
                <w:szCs w:val="17"/>
              </w:rPr>
              <w:t xml:space="preserve">Is it controlled by only a small number of competitors?</w:t>
            </w:r>
          </w:p>
        </w:tc>
        <w:tc>
          <w:tcPr>
            <w:tcW w:type="dxa" w:w="2340"/>
            <w:tcBorders>
              <w:top w:val="single" w:color="DDDDDD" w:sz="1"/>
              <w:left w:val="single" w:color="DDDDDD" w:sz="1"/>
              <w:bottom w:val="single" w:color="DDDDDD" w:sz="1"/>
              <w:right w:val="single" w:color="DDDDDD" w:sz="1"/>
            </w:tcBorders>
            <w:shd w:fill="FDF6E3" w:val="clear"/>
            <w:tcMar>
              <w:top w:type="dxa" w:w="120"/>
              <w:left w:type="dxa" w:w="160"/>
              <w:bottom w:type="dxa" w:w="120"/>
              <w:right w:type="dxa" w:w="160"/>
            </w:tcMar>
          </w:tcPr>
          <w:p>
            <w:pPr>
              <w:spacing w:after="60" w:before="0"/>
            </w:pPr>
            <w:r>
              <w:rPr>
                <w:rFonts w:ascii="Arial" w:cs="Arial" w:eastAsia="Arial" w:hAnsi="Arial"/>
                <w:b/>
                <w:bCs/>
                <w:color w:val="C9982A"/>
                <w:sz w:val="19"/>
                <w:szCs w:val="19"/>
              </w:rPr>
              <w:t xml:space="preserve">I  —  Inimitable</w:t>
            </w:r>
          </w:p>
          <w:p>
            <w:r>
              <w:rPr>
                <w:rFonts w:ascii="Arial" w:cs="Arial" w:eastAsia="Arial" w:hAnsi="Arial"/>
                <w:color w:val="4A4A4A"/>
                <w:sz w:val="17"/>
                <w:szCs w:val="17"/>
              </w:rPr>
              <w:t xml:space="preserve">Is it costly or difficult for rivals to copy or substitute?</w:t>
            </w:r>
          </w:p>
        </w:tc>
        <w:tc>
          <w:tcPr>
            <w:tcW w:type="dxa" w:w="2340"/>
            <w:tcBorders>
              <w:top w:val="single" w:color="DDDDDD" w:sz="1"/>
              <w:left w:val="single" w:color="DDDDDD" w:sz="1"/>
              <w:bottom w:val="single" w:color="DDDDDD" w:sz="1"/>
              <w:right w:val="single" w:color="DDDDDD" w:sz="1"/>
            </w:tcBorders>
            <w:shd w:fill="FDECEA" w:val="clear"/>
            <w:tcMar>
              <w:top w:type="dxa" w:w="120"/>
              <w:left w:type="dxa" w:w="160"/>
              <w:bottom w:type="dxa" w:w="120"/>
              <w:right w:type="dxa" w:w="160"/>
            </w:tcMar>
          </w:tcPr>
          <w:p>
            <w:pPr>
              <w:spacing w:after="60" w:before="0"/>
            </w:pPr>
            <w:r>
              <w:rPr>
                <w:rFonts w:ascii="Arial" w:cs="Arial" w:eastAsia="Arial" w:hAnsi="Arial"/>
                <w:b/>
                <w:bCs/>
                <w:color w:val="C0392B"/>
                <w:sz w:val="19"/>
                <w:szCs w:val="19"/>
              </w:rPr>
              <w:t xml:space="preserve">O  —  Organized</w:t>
            </w:r>
          </w:p>
          <w:p>
            <w:r>
              <w:rPr>
                <w:rFonts w:ascii="Arial" w:cs="Arial" w:eastAsia="Arial" w:hAnsi="Arial"/>
                <w:color w:val="4A4A4A"/>
                <w:sz w:val="17"/>
                <w:szCs w:val="17"/>
              </w:rPr>
              <w:t xml:space="preserve">Is the firm structured to fully capture the resource’s value?</w:t>
            </w:r>
          </w:p>
        </w:tc>
      </w:tr>
    </w:tbl>
    <w:p>
      <w:pPr>
        <w:pBdr>
          <w:bottom w:val="single" w:color="C0392B" w:sz="6" w:space="1"/>
        </w:pBdr>
        <w:spacing w:after="240" w:before="24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40"/>
              <w:left w:type="dxa" w:w="280"/>
              <w:bottom w:type="dxa" w:w="140"/>
              <w:right w:type="dxa" w:w="280"/>
            </w:tcMar>
          </w:tcPr>
          <w:p>
            <w:pPr>
              <w:jc w:val="center"/>
            </w:pPr>
            <w:r>
              <w:rPr>
                <w:rFonts w:ascii="Arial" w:cs="Arial" w:eastAsia="Arial" w:hAnsi="Arial"/>
                <w:b/>
                <w:bCs/>
                <w:color w:val="FFFFFF"/>
                <w:sz w:val="22"/>
                <w:szCs w:val="22"/>
              </w:rPr>
              <w:t xml:space="preserve">VRIO ANALYSIS — SINO TUNISIAN COMMERCIAL COOPERATION</w:t>
            </w:r>
          </w:p>
        </w:tc>
      </w:tr>
    </w:tbl>
    <w:p>
      <w:pPr>
        <w:spacing w:after="0" w:before="24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5276" w:val="clear"/>
            <w:tcMar>
              <w:top w:type="dxa" w:w="120"/>
              <w:left w:type="dxa" w:w="240"/>
              <w:bottom w:type="dxa" w:w="120"/>
              <w:right w:type="dxa" w:w="240"/>
            </w:tcMar>
            <w:vAlign w:val="center"/>
          </w:tcPr>
          <w:p>
            <w:pPr>
              <w:jc w:val="center"/>
            </w:pPr>
            <w:r>
              <w:rPr>
                <w:rFonts w:ascii="Arial" w:cs="Arial" w:eastAsia="Arial" w:hAnsi="Arial"/>
                <w:b/>
                <w:bCs/>
                <w:color w:val="FFFFFF"/>
                <w:sz w:val="36"/>
                <w:szCs w:val="36"/>
              </w:rPr>
              <w:t xml:space="preserve">01</w:t>
            </w:r>
          </w:p>
          <w:p>
            <w:pPr>
              <w:jc w:val="center"/>
            </w:pPr>
            <w:r>
              <w:rPr>
                <w:rFonts w:ascii="Arial" w:cs="Arial" w:eastAsia="Arial" w:hAnsi="Arial"/>
                <w:b/>
                <w:bCs/>
                <w:color w:val="FFFFFF"/>
                <w:sz w:val="48"/>
                <w:szCs w:val="48"/>
              </w:rPr>
              <w:t xml:space="preserve">V</w:t>
            </w:r>
          </w:p>
        </w:tc>
        <w:tc>
          <w:tcPr>
            <w:tcW w:type="dxa" w:w="7960"/>
            <w:tcBorders>
              <w:top w:val="none" w:color="FFFFFF" w:sz="0"/>
              <w:left w:val="none" w:color="FFFFFF" w:sz="0"/>
              <w:bottom w:val="none" w:color="FFFFFF" w:sz="0"/>
              <w:right w:val="none" w:color="FFFFFF" w:sz="0"/>
            </w:tcBorders>
            <w:shd w:fill="EAF2FB" w:val="clear"/>
            <w:tcMar>
              <w:top w:type="dxa" w:w="120"/>
              <w:left w:type="dxa" w:w="280"/>
              <w:bottom w:type="dxa" w:w="120"/>
              <w:right w:type="dxa" w:w="280"/>
            </w:tcMar>
          </w:tcPr>
          <w:p>
            <w:pPr>
              <w:spacing w:after="80" w:before="0"/>
            </w:pPr>
            <w:r>
              <w:rPr>
                <w:rFonts w:ascii="Arial" w:cs="Arial" w:eastAsia="Arial" w:hAnsi="Arial"/>
                <w:b/>
                <w:bCs/>
                <w:color w:val="1A5276"/>
                <w:sz w:val="28"/>
                <w:szCs w:val="28"/>
              </w:rPr>
              <w:t xml:space="preserve">VALUABLE</w:t>
            </w:r>
          </w:p>
          <w:p>
            <w:pPr>
              <w:spacing w:after="60" w:before="0"/>
            </w:pPr>
            <w:r>
              <w:rPr>
                <w:rFonts w:ascii="Arial" w:cs="Arial" w:eastAsia="Arial" w:hAnsi="Arial"/>
                <w:i/>
                <w:iCs/>
                <w:color w:val="4A4A4A"/>
                <w:sz w:val="18"/>
                <w:szCs w:val="18"/>
              </w:rPr>
              <w:t xml:space="preserve">Addresses real market pain points across multiple Tunisian B2B sectors</w:t>
            </w:r>
          </w:p>
        </w:tc>
      </w:tr>
      <w:tr>
        <w:tc>
          <w:tcPr>
            <w:tcW w:type="dxa" w:w="14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r>
              <w:rPr>
                <w:rFonts w:ascii="Arial" w:cs="Arial" w:eastAsia="Arial" w:hAnsi="Arial"/>
                <w:color w:val="4A4A4A"/>
                <w:sz w:val="20"/>
                <w:szCs w:val="20"/>
              </w:rPr>
              <w:t xml:space="preserve"/>
            </w:r>
          </w:p>
        </w:tc>
        <w:tc>
          <w:tcPr>
            <w:tcW w:type="dxa" w:w="7960"/>
            <w:tcBorders>
              <w:top w:val="single" w:color="CCCCCC" w:sz="1"/>
              <w:left w:val="none" w:color="FFFFFF" w:sz="0"/>
              <w:bottom w:val="none" w:color="FFFFFF" w:sz="0"/>
              <w:right w:val="none" w:color="FFFFFF" w:sz="0"/>
            </w:tcBorders>
            <w:shd w:fill="FAFAFA" w:val="clear"/>
            <w:tcMar>
              <w:top w:type="dxa" w:w="160"/>
              <w:left w:type="dxa" w:w="280"/>
              <w:bottom w:type="dxa" w:w="200"/>
              <w:right w:type="dxa" w:w="280"/>
            </w:tcMar>
          </w:tcPr>
          <w:p>
            <w:pPr>
              <w:spacing w:after="60" w:before="60"/>
            </w:pPr>
            <w:r>
              <w:rPr>
                <w:rFonts w:ascii="Arial" w:cs="Arial" w:eastAsia="Arial" w:hAnsi="Arial"/>
                <w:color w:val="4A4A4A"/>
                <w:sz w:val="19"/>
                <w:szCs w:val="19"/>
              </w:rPr>
              <w:t xml:space="preserve">Sino Tunisian CC creates tangible, measurable value for Tunisian B2B clients by removing the barriers of international trade. The core value drivers are:</w:t>
            </w:r>
          </w:p>
          <w:p>
            <w:pPr>
              <w:spacing w:after="0" w:before="60"/>
            </w:pPr>
            <w:r>
              <w:rPr>
                <w:rFonts w:ascii="Arial" w:cs="Arial" w:eastAsia="Arial" w:hAnsi="Arial"/>
                <w:color w:val="4A4A4A"/>
                <w:sz w:val="20"/>
                <w:szCs w:val="20"/>
              </w:rPr>
              <w:t xml:space="preserve"/>
            </w:r>
          </w:p>
          <w:p>
            <w:pPr>
              <w:pStyle w:val="ListParagraph"/>
              <w:numPr>
                <w:ilvl w:val="0"/>
                <w:numId w:val="2"/>
              </w:numPr>
              <w:spacing w:after="50" w:before="50"/>
            </w:pPr>
            <w:r>
              <w:rPr>
                <w:rFonts w:ascii="Arial" w:cs="Arial" w:eastAsia="Arial" w:hAnsi="Arial"/>
                <w:color w:val="4A4A4A"/>
                <w:sz w:val="20"/>
                <w:szCs w:val="20"/>
              </w:rPr>
              <w:t xml:space="preserve">Order-based sourcing eliminates inventory risk — clients pay only for what they need, when they need it</w:t>
            </w:r>
          </w:p>
          <w:p>
            <w:pPr>
              <w:pStyle w:val="ListParagraph"/>
              <w:numPr>
                <w:ilvl w:val="0"/>
                <w:numId w:val="2"/>
              </w:numPr>
              <w:spacing w:after="50" w:before="50"/>
            </w:pPr>
            <w:r>
              <w:rPr>
                <w:rFonts w:ascii="Arial" w:cs="Arial" w:eastAsia="Arial" w:hAnsi="Arial"/>
                <w:color w:val="4A4A4A"/>
                <w:sz w:val="20"/>
                <w:szCs w:val="20"/>
              </w:rPr>
              <w:t xml:space="preserve">Official Yingli Solar representative in North Africa — gives clients access to a globally certified, tier-1 solar brand</w:t>
            </w:r>
          </w:p>
          <w:p>
            <w:pPr>
              <w:pStyle w:val="ListParagraph"/>
              <w:numPr>
                <w:ilvl w:val="0"/>
                <w:numId w:val="2"/>
              </w:numPr>
              <w:spacing w:after="50" w:before="50"/>
            </w:pPr>
            <w:r>
              <w:rPr>
                <w:rFonts w:ascii="Arial" w:cs="Arial" w:eastAsia="Arial" w:hAnsi="Arial"/>
                <w:color w:val="4A4A4A"/>
                <w:sz w:val="20"/>
                <w:szCs w:val="20"/>
              </w:rPr>
              <w:t xml:space="preserve">End-to-end logistics management (sourcing → production → shipping → customs) reduces operational burden on the client</w:t>
            </w:r>
          </w:p>
          <w:p>
            <w:pPr>
              <w:pStyle w:val="ListParagraph"/>
              <w:numPr>
                <w:ilvl w:val="0"/>
                <w:numId w:val="2"/>
              </w:numPr>
              <w:spacing w:after="50" w:before="50"/>
            </w:pPr>
            <w:r>
              <w:rPr>
                <w:rFonts w:ascii="Arial" w:cs="Arial" w:eastAsia="Arial" w:hAnsi="Arial"/>
                <w:color w:val="4A4A4A"/>
                <w:sz w:val="20"/>
                <w:szCs w:val="20"/>
              </w:rPr>
              <w:t xml:space="preserve">Multilingual capability (Arabic, French, English, Chinese) removes communication barriers across the entire supply chain</w:t>
            </w:r>
          </w:p>
          <w:p>
            <w:pPr>
              <w:pStyle w:val="ListParagraph"/>
              <w:numPr>
                <w:ilvl w:val="0"/>
                <w:numId w:val="2"/>
              </w:numPr>
              <w:spacing w:after="50" w:before="50"/>
            </w:pPr>
            <w:r>
              <w:rPr>
                <w:rFonts w:ascii="Arial" w:cs="Arial" w:eastAsia="Arial" w:hAnsi="Arial"/>
                <w:color w:val="4A4A4A"/>
                <w:sz w:val="20"/>
                <w:szCs w:val="20"/>
              </w:rPr>
              <w:t xml:space="preserve">Product breadth — solar, heat pumps, construction, industrial, electrical — serves multiple sectors from one trusted partner</w:t>
            </w:r>
          </w:p>
          <w:p>
            <w:pPr>
              <w:spacing w:after="0" w:before="80"/>
            </w:pPr>
            <w:r>
              <w:rPr>
                <w:rFonts w:ascii="Arial" w:cs="Arial" w:eastAsia="Arial" w:hAnsi="Arial"/>
                <w:color w:val="4A4A4A"/>
                <w:sz w:val="20"/>
                <w:szCs w:val="20"/>
              </w:rPr>
              <w:t xml:space="preserve"/>
            </w:r>
          </w:p>
          <w:p>
            <w:pPr>
              <w:spacing w:after="60" w:before="60"/>
            </w:pPr>
            <w:r>
              <w:rPr>
                <w:rFonts w:ascii="Arial" w:cs="Arial" w:eastAsia="Arial" w:hAnsi="Arial"/>
                <w:b/>
                <w:bCs/>
                <w:color w:val="1A5276"/>
                <w:sz w:val="18"/>
                <w:szCs w:val="18"/>
              </w:rPr>
              <w:t xml:space="preserve">✔  Verdict: The company’s resources are clearly Valuable. They address real pain points (cost, complexity, trust) for the target market.</w:t>
            </w:r>
          </w:p>
        </w:tc>
      </w:tr>
    </w:tbl>
    <w:p>
      <w:pPr>
        <w:spacing w:after="0" w:before="20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E8449" w:val="clear"/>
            <w:tcMar>
              <w:top w:type="dxa" w:w="120"/>
              <w:left w:type="dxa" w:w="240"/>
              <w:bottom w:type="dxa" w:w="120"/>
              <w:right w:type="dxa" w:w="240"/>
            </w:tcMar>
            <w:vAlign w:val="center"/>
          </w:tcPr>
          <w:p>
            <w:pPr>
              <w:jc w:val="center"/>
            </w:pPr>
            <w:r>
              <w:rPr>
                <w:rFonts w:ascii="Arial" w:cs="Arial" w:eastAsia="Arial" w:hAnsi="Arial"/>
                <w:b/>
                <w:bCs/>
                <w:color w:val="FFFFFF"/>
                <w:sz w:val="36"/>
                <w:szCs w:val="36"/>
              </w:rPr>
              <w:t xml:space="preserve">02</w:t>
            </w:r>
          </w:p>
          <w:p>
            <w:pPr>
              <w:jc w:val="center"/>
            </w:pPr>
            <w:r>
              <w:rPr>
                <w:rFonts w:ascii="Arial" w:cs="Arial" w:eastAsia="Arial" w:hAnsi="Arial"/>
                <w:b/>
                <w:bCs/>
                <w:color w:val="FFFFFF"/>
                <w:sz w:val="48"/>
                <w:szCs w:val="48"/>
              </w:rPr>
              <w:t xml:space="preserve">R</w:t>
            </w:r>
          </w:p>
        </w:tc>
        <w:tc>
          <w:tcPr>
            <w:tcW w:type="dxa" w:w="7960"/>
            <w:tcBorders>
              <w:top w:val="none" w:color="FFFFFF" w:sz="0"/>
              <w:left w:val="none" w:color="FFFFFF" w:sz="0"/>
              <w:bottom w:val="none" w:color="FFFFFF" w:sz="0"/>
              <w:right w:val="none" w:color="FFFFFF" w:sz="0"/>
            </w:tcBorders>
            <w:shd w:fill="EAFAF1" w:val="clear"/>
            <w:tcMar>
              <w:top w:type="dxa" w:w="120"/>
              <w:left w:type="dxa" w:w="280"/>
              <w:bottom w:type="dxa" w:w="120"/>
              <w:right w:type="dxa" w:w="280"/>
            </w:tcMar>
          </w:tcPr>
          <w:p>
            <w:pPr>
              <w:spacing w:after="80" w:before="0"/>
            </w:pPr>
            <w:r>
              <w:rPr>
                <w:rFonts w:ascii="Arial" w:cs="Arial" w:eastAsia="Arial" w:hAnsi="Arial"/>
                <w:b/>
                <w:bCs/>
                <w:color w:val="1E8449"/>
                <w:sz w:val="28"/>
                <w:szCs w:val="28"/>
              </w:rPr>
              <w:t xml:space="preserve">RARE</w:t>
            </w:r>
          </w:p>
          <w:p>
            <w:pPr>
              <w:spacing w:after="60" w:before="0"/>
            </w:pPr>
            <w:r>
              <w:rPr>
                <w:rFonts w:ascii="Arial" w:cs="Arial" w:eastAsia="Arial" w:hAnsi="Arial"/>
                <w:i/>
                <w:iCs/>
                <w:color w:val="4A4A4A"/>
                <w:sz w:val="18"/>
                <w:szCs w:val="18"/>
              </w:rPr>
              <w:t xml:space="preserve">Exclusive partnerships and a unique hybrid model not widely replicated in Tunisia</w:t>
            </w:r>
          </w:p>
        </w:tc>
      </w:tr>
      <w:tr>
        <w:tc>
          <w:tcPr>
            <w:tcW w:type="dxa" w:w="1400"/>
            <w:tcBorders>
              <w:top w:val="none" w:color="FFFFFF" w:sz="0"/>
              <w:left w:val="none" w:color="FFFFFF" w:sz="0"/>
              <w:bottom w:val="none" w:color="FFFFFF" w:sz="0"/>
              <w:right w:val="none" w:color="FFFFFF" w:sz="0"/>
            </w:tcBorders>
            <w:shd w:fill="1E8449" w:val="clear"/>
            <w:tcMar>
              <w:top w:type="dxa" w:w="0"/>
              <w:left w:type="dxa" w:w="0"/>
              <w:bottom w:type="dxa" w:w="0"/>
              <w:right w:type="dxa" w:w="0"/>
            </w:tcMar>
          </w:tcPr>
          <w:p>
            <w:r>
              <w:rPr>
                <w:rFonts w:ascii="Arial" w:cs="Arial" w:eastAsia="Arial" w:hAnsi="Arial"/>
                <w:color w:val="4A4A4A"/>
                <w:sz w:val="20"/>
                <w:szCs w:val="20"/>
              </w:rPr>
              <w:t xml:space="preserve"/>
            </w:r>
          </w:p>
        </w:tc>
        <w:tc>
          <w:tcPr>
            <w:tcW w:type="dxa" w:w="7960"/>
            <w:tcBorders>
              <w:top w:val="single" w:color="CCCCCC" w:sz="1"/>
              <w:left w:val="none" w:color="FFFFFF" w:sz="0"/>
              <w:bottom w:val="none" w:color="FFFFFF" w:sz="0"/>
              <w:right w:val="none" w:color="FFFFFF" w:sz="0"/>
            </w:tcBorders>
            <w:shd w:fill="FAFAFA" w:val="clear"/>
            <w:tcMar>
              <w:top w:type="dxa" w:w="160"/>
              <w:left w:type="dxa" w:w="280"/>
              <w:bottom w:type="dxa" w:w="200"/>
              <w:right w:type="dxa" w:w="280"/>
            </w:tcMar>
          </w:tcPr>
          <w:p>
            <w:pPr>
              <w:spacing w:after="60" w:before="60"/>
            </w:pPr>
            <w:r>
              <w:rPr>
                <w:rFonts w:ascii="Arial" w:cs="Arial" w:eastAsia="Arial" w:hAnsi="Arial"/>
                <w:color w:val="4A4A4A"/>
                <w:sz w:val="19"/>
                <w:szCs w:val="19"/>
              </w:rPr>
              <w:t xml:space="preserve">Several of the company’s capabilities are not widely available in the Tunisian market:</w:t>
            </w:r>
          </w:p>
          <w:p>
            <w:pPr>
              <w:spacing w:after="0" w:before="60"/>
            </w:pPr>
            <w:r>
              <w:rPr>
                <w:rFonts w:ascii="Arial" w:cs="Arial" w:eastAsia="Arial" w:hAnsi="Arial"/>
                <w:color w:val="4A4A4A"/>
                <w:sz w:val="20"/>
                <w:szCs w:val="20"/>
              </w:rPr>
              <w:t xml:space="preserve"/>
            </w:r>
          </w:p>
          <w:p>
            <w:pPr>
              <w:pStyle w:val="ListParagraph"/>
              <w:numPr>
                <w:ilvl w:val="0"/>
                <w:numId w:val="2"/>
              </w:numPr>
              <w:spacing w:after="50" w:before="50"/>
            </w:pPr>
            <w:r>
              <w:rPr>
                <w:rFonts w:ascii="Arial" w:cs="Arial" w:eastAsia="Arial" w:hAnsi="Arial"/>
                <w:color w:val="4A4A4A"/>
                <w:sz w:val="20"/>
                <w:szCs w:val="20"/>
              </w:rPr>
              <w:t xml:space="preserve">Official Yingli Solar partnership in North Africa is an exclusive, contractual arrangement — not replicable without renegotiation at the manufacturer level</w:t>
            </w:r>
          </w:p>
          <w:p>
            <w:pPr>
              <w:pStyle w:val="ListParagraph"/>
              <w:numPr>
                <w:ilvl w:val="0"/>
                <w:numId w:val="2"/>
              </w:numPr>
              <w:spacing w:after="50" w:before="50"/>
            </w:pPr>
            <w:r>
              <w:rPr>
                <w:rFonts w:ascii="Arial" w:cs="Arial" w:eastAsia="Arial" w:hAnsi="Arial"/>
                <w:color w:val="4A4A4A"/>
                <w:sz w:val="20"/>
                <w:szCs w:val="20"/>
              </w:rPr>
              <w:t xml:space="preserve">Demand-driven, order-based import model is uncommon — most competitors maintain fixed inventory or fixed product catalogs</w:t>
            </w:r>
          </w:p>
          <w:p>
            <w:pPr>
              <w:pStyle w:val="ListParagraph"/>
              <w:numPr>
                <w:ilvl w:val="0"/>
                <w:numId w:val="2"/>
              </w:numPr>
              <w:spacing w:after="50" w:before="50"/>
            </w:pPr>
            <w:r>
              <w:rPr>
                <w:rFonts w:ascii="Arial" w:cs="Arial" w:eastAsia="Arial" w:hAnsi="Arial"/>
                <w:color w:val="4A4A4A"/>
                <w:sz w:val="20"/>
                <w:szCs w:val="20"/>
              </w:rPr>
              <w:t xml:space="preserve">On-the-ground presence in both Tunisia and China supply networks is operationally rare for a company of this size</w:t>
            </w:r>
          </w:p>
          <w:p>
            <w:pPr>
              <w:pStyle w:val="ListParagraph"/>
              <w:numPr>
                <w:ilvl w:val="0"/>
                <w:numId w:val="2"/>
              </w:numPr>
              <w:spacing w:after="50" w:before="50"/>
            </w:pPr>
            <w:r>
              <w:rPr>
                <w:rFonts w:ascii="Arial" w:cs="Arial" w:eastAsia="Arial" w:hAnsi="Arial"/>
                <w:color w:val="4A4A4A"/>
                <w:sz w:val="20"/>
                <w:szCs w:val="20"/>
              </w:rPr>
              <w:t xml:space="preserve">Deep Tunisian B2B market knowledge combined with Chinese supplier fluency is a rare combination</w:t>
            </w:r>
          </w:p>
          <w:p>
            <w:pPr>
              <w:spacing w:after="0" w:before="80"/>
            </w:pPr>
            <w:r>
              <w:rPr>
                <w:rFonts w:ascii="Arial" w:cs="Arial" w:eastAsia="Arial" w:hAnsi="Arial"/>
                <w:color w:val="4A4A4A"/>
                <w:sz w:val="20"/>
                <w:szCs w:val="20"/>
              </w:rPr>
              <w:t xml:space="preserve"/>
            </w:r>
          </w:p>
          <w:p>
            <w:pPr>
              <w:spacing w:after="60" w:before="60"/>
            </w:pPr>
            <w:r>
              <w:rPr>
                <w:rFonts w:ascii="Arial" w:cs="Arial" w:eastAsia="Arial" w:hAnsi="Arial"/>
                <w:b/>
                <w:bCs/>
                <w:color w:val="1E8449"/>
                <w:sz w:val="18"/>
                <w:szCs w:val="18"/>
              </w:rPr>
              <w:t xml:space="preserve">✔  Verdict: The Yingli exclusivity and the combination of local market depth + Chinese supplier access make this company’s position genuinely Rare.</w:t>
            </w:r>
          </w:p>
        </w:tc>
      </w:tr>
    </w:tbl>
    <w:p>
      <w:pPr>
        <w:spacing w:after="0" w:before="20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9982A" w:val="clear"/>
            <w:tcMar>
              <w:top w:type="dxa" w:w="120"/>
              <w:left w:type="dxa" w:w="240"/>
              <w:bottom w:type="dxa" w:w="120"/>
              <w:right w:type="dxa" w:w="240"/>
            </w:tcMar>
            <w:vAlign w:val="center"/>
          </w:tcPr>
          <w:p>
            <w:pPr>
              <w:jc w:val="center"/>
            </w:pPr>
            <w:r>
              <w:rPr>
                <w:rFonts w:ascii="Arial" w:cs="Arial" w:eastAsia="Arial" w:hAnsi="Arial"/>
                <w:b/>
                <w:bCs/>
                <w:color w:val="FFFFFF"/>
                <w:sz w:val="36"/>
                <w:szCs w:val="36"/>
              </w:rPr>
              <w:t xml:space="preserve">03</w:t>
            </w:r>
          </w:p>
          <w:p>
            <w:pPr>
              <w:jc w:val="center"/>
            </w:pPr>
            <w:r>
              <w:rPr>
                <w:rFonts w:ascii="Arial" w:cs="Arial" w:eastAsia="Arial" w:hAnsi="Arial"/>
                <w:b/>
                <w:bCs/>
                <w:color w:val="FFFFFF"/>
                <w:sz w:val="48"/>
                <w:szCs w:val="48"/>
              </w:rPr>
              <w:t xml:space="preserve">I</w:t>
            </w:r>
          </w:p>
        </w:tc>
        <w:tc>
          <w:tcPr>
            <w:tcW w:type="dxa" w:w="7960"/>
            <w:tcBorders>
              <w:top w:val="none" w:color="FFFFFF" w:sz="0"/>
              <w:left w:val="none" w:color="FFFFFF" w:sz="0"/>
              <w:bottom w:val="none" w:color="FFFFFF" w:sz="0"/>
              <w:right w:val="none" w:color="FFFFFF" w:sz="0"/>
            </w:tcBorders>
            <w:shd w:fill="FDF6E3" w:val="clear"/>
            <w:tcMar>
              <w:top w:type="dxa" w:w="120"/>
              <w:left w:type="dxa" w:w="280"/>
              <w:bottom w:type="dxa" w:w="120"/>
              <w:right w:type="dxa" w:w="280"/>
            </w:tcMar>
          </w:tcPr>
          <w:p>
            <w:pPr>
              <w:spacing w:after="80" w:before="0"/>
            </w:pPr>
            <w:r>
              <w:rPr>
                <w:rFonts w:ascii="Arial" w:cs="Arial" w:eastAsia="Arial" w:hAnsi="Arial"/>
                <w:b/>
                <w:bCs/>
                <w:color w:val="C9982A"/>
                <w:sz w:val="28"/>
                <w:szCs w:val="28"/>
              </w:rPr>
              <w:t xml:space="preserve">INIMITABLE</w:t>
            </w:r>
          </w:p>
          <w:p>
            <w:pPr>
              <w:spacing w:after="60" w:before="0"/>
            </w:pPr>
            <w:r>
              <w:rPr>
                <w:rFonts w:ascii="Arial" w:cs="Arial" w:eastAsia="Arial" w:hAnsi="Arial"/>
                <w:i/>
                <w:iCs/>
                <w:color w:val="4A4A4A"/>
                <w:sz w:val="18"/>
                <w:szCs w:val="18"/>
              </w:rPr>
              <w:t xml:space="preserve">Supplier relationships and exclusive partnerships are hard to copy — logistics less so</w:t>
            </w:r>
          </w:p>
        </w:tc>
      </w:tr>
      <w:tr>
        <w:tc>
          <w:tcPr>
            <w:tcW w:type="dxa" w:w="1400"/>
            <w:tcBorders>
              <w:top w:val="none" w:color="FFFFFF" w:sz="0"/>
              <w:left w:val="none" w:color="FFFFFF" w:sz="0"/>
              <w:bottom w:val="none" w:color="FFFFFF" w:sz="0"/>
              <w:right w:val="none" w:color="FFFFFF" w:sz="0"/>
            </w:tcBorders>
            <w:shd w:fill="C9982A" w:val="clear"/>
            <w:tcMar>
              <w:top w:type="dxa" w:w="0"/>
              <w:left w:type="dxa" w:w="0"/>
              <w:bottom w:type="dxa" w:w="0"/>
              <w:right w:type="dxa" w:w="0"/>
            </w:tcMar>
          </w:tcPr>
          <w:p>
            <w:r>
              <w:rPr>
                <w:rFonts w:ascii="Arial" w:cs="Arial" w:eastAsia="Arial" w:hAnsi="Arial"/>
                <w:color w:val="4A4A4A"/>
                <w:sz w:val="20"/>
                <w:szCs w:val="20"/>
              </w:rPr>
              <w:t xml:space="preserve"/>
            </w:r>
          </w:p>
        </w:tc>
        <w:tc>
          <w:tcPr>
            <w:tcW w:type="dxa" w:w="7960"/>
            <w:tcBorders>
              <w:top w:val="single" w:color="CCCCCC" w:sz="1"/>
              <w:left w:val="none" w:color="FFFFFF" w:sz="0"/>
              <w:bottom w:val="none" w:color="FFFFFF" w:sz="0"/>
              <w:right w:val="none" w:color="FFFFFF" w:sz="0"/>
            </w:tcBorders>
            <w:shd w:fill="FAFAFA" w:val="clear"/>
            <w:tcMar>
              <w:top w:type="dxa" w:w="160"/>
              <w:left w:type="dxa" w:w="280"/>
              <w:bottom w:type="dxa" w:w="200"/>
              <w:right w:type="dxa" w:w="280"/>
            </w:tcMar>
          </w:tcPr>
          <w:p>
            <w:pPr>
              <w:spacing w:after="60" w:before="60"/>
            </w:pPr>
            <w:r>
              <w:rPr>
                <w:rFonts w:ascii="Arial" w:cs="Arial" w:eastAsia="Arial" w:hAnsi="Arial"/>
                <w:color w:val="4A4A4A"/>
                <w:sz w:val="19"/>
                <w:szCs w:val="19"/>
              </w:rPr>
              <w:t xml:space="preserve">Three factors make the company’s core advantages difficult for competitors to replicate:</w:t>
            </w:r>
          </w:p>
          <w:p>
            <w:pPr>
              <w:spacing w:after="0" w:before="60"/>
            </w:pPr>
            <w:r>
              <w:rPr>
                <w:rFonts w:ascii="Arial" w:cs="Arial" w:eastAsia="Arial" w:hAnsi="Arial"/>
                <w:color w:val="4A4A4A"/>
                <w:sz w:val="20"/>
                <w:szCs w:val="20"/>
              </w:rPr>
              <w:t xml:space="preserve"/>
            </w:r>
          </w:p>
          <w:p>
            <w:pPr>
              <w:pStyle w:val="ListParagraph"/>
              <w:numPr>
                <w:ilvl w:val="0"/>
                <w:numId w:val="2"/>
              </w:numPr>
              <w:spacing w:after="50" w:before="50"/>
            </w:pPr>
            <w:r>
              <w:rPr>
                <w:rFonts w:ascii="Arial" w:cs="Arial" w:eastAsia="Arial" w:hAnsi="Arial"/>
                <w:color w:val="4A4A4A"/>
                <w:sz w:val="20"/>
                <w:szCs w:val="20"/>
              </w:rPr>
              <w:t xml:space="preserve">Historical path dependency: the supplier network in China has been built over years of direct relationships, trust, and proven performance — a newcomer cannot shortcut this</w:t>
            </w:r>
          </w:p>
          <w:p>
            <w:pPr>
              <w:pStyle w:val="ListParagraph"/>
              <w:numPr>
                <w:ilvl w:val="0"/>
                <w:numId w:val="2"/>
              </w:numPr>
              <w:spacing w:after="50" w:before="50"/>
            </w:pPr>
            <w:r>
              <w:rPr>
                <w:rFonts w:ascii="Arial" w:cs="Arial" w:eastAsia="Arial" w:hAnsi="Arial"/>
                <w:color w:val="4A4A4A"/>
                <w:sz w:val="20"/>
                <w:szCs w:val="20"/>
              </w:rPr>
              <w:t xml:space="preserve">Causal ambiguity: competitors cannot easily identify which combination of relationships, processes, and local knowledge produces the company’s results</w:t>
            </w:r>
          </w:p>
          <w:p>
            <w:pPr>
              <w:pStyle w:val="ListParagraph"/>
              <w:numPr>
                <w:ilvl w:val="0"/>
                <w:numId w:val="2"/>
              </w:numPr>
              <w:spacing w:after="50" w:before="50"/>
            </w:pPr>
            <w:r>
              <w:rPr>
                <w:rFonts w:ascii="Arial" w:cs="Arial" w:eastAsia="Arial" w:hAnsi="Arial"/>
                <w:color w:val="4A4A4A"/>
                <w:sz w:val="20"/>
                <w:szCs w:val="20"/>
              </w:rPr>
              <w:t xml:space="preserve">Social complexity: the Yingli Solar representation is a brand-relationship asset — not a transferable or easily licensed capability</w:t>
            </w:r>
          </w:p>
          <w:p>
            <w:pPr>
              <w:pStyle w:val="ListParagraph"/>
              <w:numPr>
                <w:ilvl w:val="0"/>
                <w:numId w:val="2"/>
              </w:numPr>
              <w:spacing w:after="50" w:before="50"/>
            </w:pPr>
            <w:r>
              <w:rPr>
                <w:rFonts w:ascii="Arial" w:cs="Arial" w:eastAsia="Arial" w:hAnsi="Arial"/>
                <w:color w:val="4A4A4A"/>
                <w:sz w:val="20"/>
                <w:szCs w:val="20"/>
              </w:rPr>
              <w:t xml:space="preserve">Language and cultural fluency in Chinese business practices is a tacit skill that is difficult to acquire quickly</w:t>
            </w:r>
          </w:p>
          <w:p>
            <w:pPr>
              <w:spacing w:after="0" w:before="80"/>
            </w:pPr>
            <w:r>
              <w:rPr>
                <w:rFonts w:ascii="Arial" w:cs="Arial" w:eastAsia="Arial" w:hAnsi="Arial"/>
                <w:color w:val="4A4A4A"/>
                <w:sz w:val="20"/>
                <w:szCs w:val="20"/>
              </w:rPr>
              <w:t xml:space="preserve"/>
            </w:r>
          </w:p>
          <w:p>
            <w:pPr>
              <w:spacing w:after="60" w:before="60"/>
            </w:pPr>
            <w:r>
              <w:rPr>
                <w:rFonts w:ascii="Arial" w:cs="Arial" w:eastAsia="Arial" w:hAnsi="Arial"/>
                <w:i/>
                <w:iCs/>
                <w:color w:val="C9982A"/>
                <w:sz w:val="18"/>
                <w:szCs w:val="18"/>
              </w:rPr>
              <w:t xml:space="preserve">⚠  Nuance: The multilingual team and logistics operations are increasingly replicable as the industry matures. These are strong today but will require continuous reinvestment to remain inimitable.</w:t>
            </w:r>
          </w:p>
          <w:p>
            <w:pPr>
              <w:spacing w:after="0" w:before="60"/>
            </w:pPr>
            <w:r>
              <w:rPr>
                <w:rFonts w:ascii="Arial" w:cs="Arial" w:eastAsia="Arial" w:hAnsi="Arial"/>
                <w:color w:val="4A4A4A"/>
                <w:sz w:val="20"/>
                <w:szCs w:val="20"/>
              </w:rPr>
              <w:t xml:space="preserve"/>
            </w:r>
          </w:p>
          <w:p>
            <w:pPr>
              <w:spacing w:after="60" w:before="60"/>
            </w:pPr>
            <w:r>
              <w:rPr>
                <w:rFonts w:ascii="Arial" w:cs="Arial" w:eastAsia="Arial" w:hAnsi="Arial"/>
                <w:b/>
                <w:bCs/>
                <w:color w:val="C9982A"/>
                <w:sz w:val="18"/>
                <w:szCs w:val="18"/>
              </w:rPr>
              <w:t xml:space="preserve">✔  Verdict: Core assets (supplier network, Yingli exclusivity, market knowledge) are Inimitable. Operational capabilities (logistics, languages) carry a moderate imitation risk over time.</w:t>
            </w:r>
          </w:p>
        </w:tc>
      </w:tr>
    </w:tbl>
    <w:p>
      <w:pPr>
        <w:spacing w:after="0" w:before="20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vAlign w:val="center"/>
          </w:tcPr>
          <w:p>
            <w:pPr>
              <w:jc w:val="center"/>
            </w:pPr>
            <w:r>
              <w:rPr>
                <w:rFonts w:ascii="Arial" w:cs="Arial" w:eastAsia="Arial" w:hAnsi="Arial"/>
                <w:b/>
                <w:bCs/>
                <w:color w:val="FFFFFF"/>
                <w:sz w:val="36"/>
                <w:szCs w:val="36"/>
              </w:rPr>
              <w:t xml:space="preserve">04</w:t>
            </w:r>
          </w:p>
          <w:p>
            <w:pPr>
              <w:jc w:val="center"/>
            </w:pPr>
            <w:r>
              <w:rPr>
                <w:rFonts w:ascii="Arial" w:cs="Arial" w:eastAsia="Arial" w:hAnsi="Arial"/>
                <w:b/>
                <w:bCs/>
                <w:color w:val="FFFFFF"/>
                <w:sz w:val="48"/>
                <w:szCs w:val="48"/>
              </w:rPr>
              <w:t xml:space="preserve">O</w:t>
            </w:r>
          </w:p>
        </w:tc>
        <w:tc>
          <w:tcPr>
            <w:tcW w:type="dxa" w:w="7960"/>
            <w:tcBorders>
              <w:top w:val="none" w:color="FFFFFF" w:sz="0"/>
              <w:left w:val="none" w:color="FFFFFF" w:sz="0"/>
              <w:bottom w:val="none" w:color="FFFFFF" w:sz="0"/>
              <w:right w:val="none" w:color="FFFFFF" w:sz="0"/>
            </w:tcBorders>
            <w:shd w:fill="FDECEA" w:val="clear"/>
            <w:tcMar>
              <w:top w:type="dxa" w:w="120"/>
              <w:left w:type="dxa" w:w="280"/>
              <w:bottom w:type="dxa" w:w="120"/>
              <w:right w:type="dxa" w:w="280"/>
            </w:tcMar>
          </w:tcPr>
          <w:p>
            <w:pPr>
              <w:spacing w:after="80" w:before="0"/>
            </w:pPr>
            <w:r>
              <w:rPr>
                <w:rFonts w:ascii="Arial" w:cs="Arial" w:eastAsia="Arial" w:hAnsi="Arial"/>
                <w:b/>
                <w:bCs/>
                <w:color w:val="C0392B"/>
                <w:sz w:val="28"/>
                <w:szCs w:val="28"/>
              </w:rPr>
              <w:t xml:space="preserve">ORGANIZED</w:t>
            </w:r>
          </w:p>
          <w:p>
            <w:pPr>
              <w:spacing w:after="60" w:before="0"/>
            </w:pPr>
            <w:r>
              <w:rPr>
                <w:rFonts w:ascii="Arial" w:cs="Arial" w:eastAsia="Arial" w:hAnsi="Arial"/>
                <w:i/>
                <w:iCs/>
                <w:color w:val="4A4A4A"/>
                <w:sz w:val="18"/>
                <w:szCs w:val="18"/>
              </w:rPr>
              <w:t xml:space="preserve">Teams are aligned around the model — formalization will protect this at scale</w:t>
            </w:r>
          </w:p>
        </w:tc>
      </w:tr>
      <w:tr>
        <w:tc>
          <w:tcPr>
            <w:tcW w:type="dxa" w:w="1400"/>
            <w:tcBorders>
              <w:top w:val="none" w:color="FFFFFF" w:sz="0"/>
              <w:left w:val="none" w:color="FFFFFF" w:sz="0"/>
              <w:bottom w:val="none" w:color="FFFFFF" w:sz="0"/>
              <w:right w:val="none" w:color="FFFFFF" w:sz="0"/>
            </w:tcBorders>
            <w:shd w:fill="C0392B" w:val="clear"/>
            <w:tcMar>
              <w:top w:type="dxa" w:w="0"/>
              <w:left w:type="dxa" w:w="0"/>
              <w:bottom w:type="dxa" w:w="0"/>
              <w:right w:type="dxa" w:w="0"/>
            </w:tcMar>
          </w:tcPr>
          <w:p>
            <w:r>
              <w:rPr>
                <w:rFonts w:ascii="Arial" w:cs="Arial" w:eastAsia="Arial" w:hAnsi="Arial"/>
                <w:color w:val="4A4A4A"/>
                <w:sz w:val="20"/>
                <w:szCs w:val="20"/>
              </w:rPr>
              <w:t xml:space="preserve"/>
            </w:r>
          </w:p>
        </w:tc>
        <w:tc>
          <w:tcPr>
            <w:tcW w:type="dxa" w:w="7960"/>
            <w:tcBorders>
              <w:top w:val="single" w:color="CCCCCC" w:sz="1"/>
              <w:left w:val="none" w:color="FFFFFF" w:sz="0"/>
              <w:bottom w:val="none" w:color="FFFFFF" w:sz="0"/>
              <w:right w:val="none" w:color="FFFFFF" w:sz="0"/>
            </w:tcBorders>
            <w:shd w:fill="FAFAFA" w:val="clear"/>
            <w:tcMar>
              <w:top w:type="dxa" w:w="160"/>
              <w:left w:type="dxa" w:w="280"/>
              <w:bottom w:type="dxa" w:w="200"/>
              <w:right w:type="dxa" w:w="280"/>
            </w:tcMar>
          </w:tcPr>
          <w:p>
            <w:pPr>
              <w:spacing w:after="60" w:before="60"/>
            </w:pPr>
            <w:r>
              <w:rPr>
                <w:rFonts w:ascii="Arial" w:cs="Arial" w:eastAsia="Arial" w:hAnsi="Arial"/>
                <w:color w:val="4A4A4A"/>
                <w:sz w:val="19"/>
                <w:szCs w:val="19"/>
              </w:rPr>
              <w:t xml:space="preserve">The company is structured to capture value from its resources through dedicated functional teams:</w:t>
            </w:r>
          </w:p>
          <w:p>
            <w:pPr>
              <w:spacing w:after="0" w:before="60"/>
            </w:pPr>
            <w:r>
              <w:rPr>
                <w:rFonts w:ascii="Arial" w:cs="Arial" w:eastAsia="Arial" w:hAnsi="Arial"/>
                <w:color w:val="4A4A4A"/>
                <w:sz w:val="20"/>
                <w:szCs w:val="20"/>
              </w:rPr>
              <w:t xml:space="preserve"/>
            </w:r>
          </w:p>
          <w:p>
            <w:pPr>
              <w:pStyle w:val="ListParagraph"/>
              <w:numPr>
                <w:ilvl w:val="0"/>
                <w:numId w:val="2"/>
              </w:numPr>
              <w:spacing w:after="50" w:before="50"/>
            </w:pPr>
            <w:r>
              <w:rPr>
                <w:rFonts w:ascii="Arial" w:cs="Arial" w:eastAsia="Arial" w:hAnsi="Arial"/>
                <w:color w:val="4A4A4A"/>
                <w:sz w:val="20"/>
                <w:szCs w:val="20"/>
              </w:rPr>
              <w:t xml:space="preserve">Dedicated sourcing team: identifies and vets Chinese suppliers to match each client order</w:t>
            </w:r>
          </w:p>
          <w:p>
            <w:pPr>
              <w:pStyle w:val="ListParagraph"/>
              <w:numPr>
                <w:ilvl w:val="0"/>
                <w:numId w:val="2"/>
              </w:numPr>
              <w:spacing w:after="50" w:before="50"/>
            </w:pPr>
            <w:r>
              <w:rPr>
                <w:rFonts w:ascii="Arial" w:cs="Arial" w:eastAsia="Arial" w:hAnsi="Arial"/>
                <w:color w:val="4A4A4A"/>
                <w:sz w:val="20"/>
                <w:szCs w:val="20"/>
              </w:rPr>
              <w:t xml:space="preserve">Logistics team: manages shipping, customs brokerage, and last-mile coordination</w:t>
            </w:r>
          </w:p>
          <w:p>
            <w:pPr>
              <w:pStyle w:val="ListParagraph"/>
              <w:numPr>
                <w:ilvl w:val="0"/>
                <w:numId w:val="2"/>
              </w:numPr>
              <w:spacing w:after="50" w:before="50"/>
            </w:pPr>
            <w:r>
              <w:rPr>
                <w:rFonts w:ascii="Arial" w:cs="Arial" w:eastAsia="Arial" w:hAnsi="Arial"/>
                <w:color w:val="4A4A4A"/>
                <w:sz w:val="20"/>
                <w:szCs w:val="20"/>
              </w:rPr>
              <w:t xml:space="preserve">Customer service layer: maintains client relationships and ensures post-delivery follow-up</w:t>
            </w:r>
          </w:p>
          <w:p>
            <w:pPr>
              <w:pStyle w:val="ListParagraph"/>
              <w:numPr>
                <w:ilvl w:val="0"/>
                <w:numId w:val="2"/>
              </w:numPr>
              <w:spacing w:after="50" w:before="50"/>
            </w:pPr>
            <w:r>
              <w:rPr>
                <w:rFonts w:ascii="Arial" w:cs="Arial" w:eastAsia="Arial" w:hAnsi="Arial"/>
                <w:color w:val="4A4A4A"/>
                <w:sz w:val="20"/>
                <w:szCs w:val="20"/>
              </w:rPr>
              <w:t xml:space="preserve">Process design: each order follows a defined A-to-Z workflow — from spec collection to delivery confirmation</w:t>
            </w:r>
          </w:p>
          <w:p>
            <w:pPr>
              <w:spacing w:after="0" w:before="80"/>
            </w:pPr>
            <w:r>
              <w:rPr>
                <w:rFonts w:ascii="Arial" w:cs="Arial" w:eastAsia="Arial" w:hAnsi="Arial"/>
                <w:color w:val="4A4A4A"/>
                <w:sz w:val="20"/>
                <w:szCs w:val="20"/>
              </w:rPr>
              <w:t xml:space="preserve"/>
            </w:r>
          </w:p>
          <w:p>
            <w:pPr>
              <w:spacing w:after="60" w:before="60"/>
            </w:pPr>
            <w:r>
              <w:rPr>
                <w:rFonts w:ascii="Arial" w:cs="Arial" w:eastAsia="Arial" w:hAnsi="Arial"/>
                <w:i/>
                <w:iCs/>
                <w:color w:val="C0392B"/>
                <w:sz w:val="18"/>
                <w:szCs w:val="18"/>
              </w:rPr>
              <w:t xml:space="preserve">⚠  Improvement opportunity: As the company scales, it should formalize its processes with documented SOPs, CRM tooling, and performance tracking to ensure the organizational advantage does not degrade with growth.</w:t>
            </w:r>
          </w:p>
          <w:p>
            <w:pPr>
              <w:spacing w:after="0" w:before="60"/>
            </w:pPr>
            <w:r>
              <w:rPr>
                <w:rFonts w:ascii="Arial" w:cs="Arial" w:eastAsia="Arial" w:hAnsi="Arial"/>
                <w:color w:val="4A4A4A"/>
                <w:sz w:val="20"/>
                <w:szCs w:val="20"/>
              </w:rPr>
              <w:t xml:space="preserve"/>
            </w:r>
          </w:p>
          <w:p>
            <w:pPr>
              <w:spacing w:after="60" w:before="60"/>
            </w:pPr>
            <w:r>
              <w:rPr>
                <w:rFonts w:ascii="Arial" w:cs="Arial" w:eastAsia="Arial" w:hAnsi="Arial"/>
                <w:b/>
                <w:bCs/>
                <w:color w:val="C0392B"/>
                <w:sz w:val="18"/>
                <w:szCs w:val="18"/>
              </w:rPr>
              <w:t xml:space="preserve">✔  Verdict: Currently Organized. Recommend formalizing systems proactively to sustain this advantage at scale.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40"/>
              <w:left w:type="dxa" w:w="280"/>
              <w:bottom w:type="dxa" w:w="140"/>
              <w:right w:type="dxa" w:w="280"/>
            </w:tcMar>
          </w:tcPr>
          <w:p>
            <w:pPr>
              <w:jc w:val="center"/>
            </w:pPr>
            <w:r>
              <w:rPr>
                <w:rFonts w:ascii="Arial" w:cs="Arial" w:eastAsia="Arial" w:hAnsi="Arial"/>
                <w:b/>
                <w:bCs/>
                <w:color w:val="FFFFFF"/>
                <w:sz w:val="22"/>
                <w:szCs w:val="22"/>
              </w:rPr>
              <w:t xml:space="preserve">VRIO SUMMARY MATRIX</w:t>
            </w:r>
          </w:p>
        </w:tc>
      </w:tr>
    </w:tbl>
    <w:p>
      <w:pPr>
        <w:spacing w:after="0" w:before="20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780"/>
        <w:gridCol w:w="780"/>
        <w:gridCol w:w="780"/>
        <w:gridCol w:w="780"/>
        <w:gridCol w:w="3520"/>
      </w:tblGrid>
      <w:tr>
        <w:tc>
          <w:tcPr>
            <w:tcW w:type="dxa" w:w="1560"/>
            <w:tcBorders>
              <w:top w:val="single" w:color="C0392B" w:sz="1"/>
              <w:left w:val="single" w:color="C0392B" w:sz="1"/>
              <w:bottom w:val="single" w:color="C0392B" w:sz="1"/>
              <w:right w:val="single" w:color="C0392B" w:sz="1"/>
            </w:tcBorders>
            <w:shd w:fill="922B2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Resource / Capability</w:t>
            </w:r>
          </w:p>
        </w:tc>
        <w:tc>
          <w:tcPr>
            <w:tcW w:type="dxa" w:w="1560"/>
            <w:tcBorders>
              <w:top w:val="single" w:color="C0392B" w:sz="1"/>
              <w:left w:val="single" w:color="C0392B" w:sz="1"/>
              <w:bottom w:val="single" w:color="C0392B" w:sz="1"/>
              <w:right w:val="single" w:color="C0392B" w:sz="1"/>
            </w:tcBorders>
            <w:shd w:fill="922B2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w:t>
            </w:r>
          </w:p>
        </w:tc>
        <w:tc>
          <w:tcPr>
            <w:tcW w:type="dxa" w:w="1560"/>
            <w:tcBorders>
              <w:top w:val="single" w:color="C0392B" w:sz="1"/>
              <w:left w:val="single" w:color="C0392B" w:sz="1"/>
              <w:bottom w:val="single" w:color="C0392B" w:sz="1"/>
              <w:right w:val="single" w:color="C0392B" w:sz="1"/>
            </w:tcBorders>
            <w:shd w:fill="922B2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R</w:t>
            </w:r>
          </w:p>
        </w:tc>
        <w:tc>
          <w:tcPr>
            <w:tcW w:type="dxa" w:w="1560"/>
            <w:tcBorders>
              <w:top w:val="single" w:color="C0392B" w:sz="1"/>
              <w:left w:val="single" w:color="C0392B" w:sz="1"/>
              <w:bottom w:val="single" w:color="C0392B" w:sz="1"/>
              <w:right w:val="single" w:color="C0392B" w:sz="1"/>
            </w:tcBorders>
            <w:shd w:fill="922B2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w:t>
            </w:r>
          </w:p>
        </w:tc>
        <w:tc>
          <w:tcPr>
            <w:tcW w:type="dxa" w:w="1560"/>
            <w:tcBorders>
              <w:top w:val="single" w:color="C0392B" w:sz="1"/>
              <w:left w:val="single" w:color="C0392B" w:sz="1"/>
              <w:bottom w:val="single" w:color="C0392B" w:sz="1"/>
              <w:right w:val="single" w:color="C0392B" w:sz="1"/>
            </w:tcBorders>
            <w:shd w:fill="922B2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O</w:t>
            </w:r>
          </w:p>
        </w:tc>
        <w:tc>
          <w:tcPr>
            <w:tcW w:type="dxa" w:w="1560"/>
            <w:tcBorders>
              <w:top w:val="single" w:color="C0392B" w:sz="1"/>
              <w:left w:val="single" w:color="C0392B" w:sz="1"/>
              <w:bottom w:val="single" w:color="C0392B" w:sz="1"/>
              <w:right w:val="single" w:color="C0392B" w:sz="1"/>
            </w:tcBorders>
            <w:shd w:fill="922B21"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Competitive Outcome</w:t>
            </w:r>
          </w:p>
        </w:tc>
      </w:tr>
      <w:tr>
        <w:tc>
          <w:tcPr>
            <w:tcW w:type="dxa" w:w="27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Order-Based Import Model</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364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r>
              <w:rPr>
                <w:rFonts w:ascii="Arial" w:cs="Arial" w:eastAsia="Arial" w:hAnsi="Arial"/>
                <w:b/>
                <w:bCs/>
                <w:color w:val="FFFFFF"/>
                <w:sz w:val="18"/>
                <w:szCs w:val="18"/>
              </w:rPr>
              <w:t xml:space="preserve">Sustained Advantage</w:t>
            </w:r>
          </w:p>
        </w:tc>
      </w:tr>
      <w:tr>
        <w:tc>
          <w:tcPr>
            <w:tcW w:type="dxa" w:w="27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Verified Chinese Supplier Net.</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364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r>
              <w:rPr>
                <w:rFonts w:ascii="Arial" w:cs="Arial" w:eastAsia="Arial" w:hAnsi="Arial"/>
                <w:b/>
                <w:bCs/>
                <w:color w:val="FFFFFF"/>
                <w:sz w:val="18"/>
                <w:szCs w:val="18"/>
              </w:rPr>
              <w:t xml:space="preserve">Sustained Advantage</w:t>
            </w:r>
          </w:p>
        </w:tc>
      </w:tr>
      <w:tr>
        <w:tc>
          <w:tcPr>
            <w:tcW w:type="dxa" w:w="27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Yingli Solar Representation</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364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r>
              <w:rPr>
                <w:rFonts w:ascii="Arial" w:cs="Arial" w:eastAsia="Arial" w:hAnsi="Arial"/>
                <w:b/>
                <w:bCs/>
                <w:color w:val="FFFFFF"/>
                <w:sz w:val="18"/>
                <w:szCs w:val="18"/>
              </w:rPr>
              <w:t xml:space="preserve">Sustained Advantage</w:t>
            </w:r>
          </w:p>
        </w:tc>
      </w:tr>
      <w:tr>
        <w:tc>
          <w:tcPr>
            <w:tcW w:type="dxa" w:w="27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Multilingual Team (4 langs)</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BBBBBB"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3640"/>
            <w:tcBorders>
              <w:top w:val="single" w:color="DDDDDD" w:sz="1"/>
              <w:left w:val="single" w:color="DDDDDD" w:sz="1"/>
              <w:bottom w:val="single" w:color="DDDDDD" w:sz="1"/>
              <w:right w:val="single" w:color="DDDDDD" w:sz="1"/>
            </w:tcBorders>
            <w:shd w:fill="C9982A" w:val="clear"/>
            <w:tcMar>
              <w:top w:type="dxa" w:w="80"/>
              <w:left w:type="dxa" w:w="140"/>
              <w:bottom w:type="dxa" w:w="80"/>
              <w:right w:type="dxa" w:w="140"/>
            </w:tcMar>
          </w:tcPr>
          <w:p>
            <w:r>
              <w:rPr>
                <w:rFonts w:ascii="Arial" w:cs="Arial" w:eastAsia="Arial" w:hAnsi="Arial"/>
                <w:b/>
                <w:bCs/>
                <w:color w:val="FFFFFF"/>
                <w:sz w:val="18"/>
                <w:szCs w:val="18"/>
              </w:rPr>
              <w:t xml:space="preserve">Temporary Advantage</w:t>
            </w:r>
          </w:p>
        </w:tc>
      </w:tr>
      <w:tr>
        <w:tc>
          <w:tcPr>
            <w:tcW w:type="dxa" w:w="27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Tunisia Market Knowledge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3640"/>
            <w:tcBorders>
              <w:top w:val="single" w:color="DDDDDD" w:sz="1"/>
              <w:left w:val="single" w:color="DDDDDD" w:sz="1"/>
              <w:bottom w:val="single" w:color="DDDDDD" w:sz="1"/>
              <w:right w:val="single" w:color="DDDDDD" w:sz="1"/>
            </w:tcBorders>
            <w:shd w:fill="1E8449" w:val="clear"/>
            <w:tcMar>
              <w:top w:type="dxa" w:w="80"/>
              <w:left w:type="dxa" w:w="140"/>
              <w:bottom w:type="dxa" w:w="80"/>
              <w:right w:type="dxa" w:w="140"/>
            </w:tcMar>
          </w:tcPr>
          <w:p>
            <w:r>
              <w:rPr>
                <w:rFonts w:ascii="Arial" w:cs="Arial" w:eastAsia="Arial" w:hAnsi="Arial"/>
                <w:b/>
                <w:bCs/>
                <w:color w:val="FFFFFF"/>
                <w:sz w:val="18"/>
                <w:szCs w:val="18"/>
              </w:rPr>
              <w:t xml:space="preserve">Sustained Advantage</w:t>
            </w:r>
          </w:p>
        </w:tc>
      </w:tr>
      <w:tr>
        <w:tc>
          <w:tcPr>
            <w:tcW w:type="dxa" w:w="27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End-to-End Logistics</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BBBBBB"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BBBBBB"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780"/>
            <w:tcBorders>
              <w:top w:val="single" w:color="DDDDDD" w:sz="1"/>
              <w:left w:val="single" w:color="DDDDDD" w:sz="1"/>
              <w:bottom w:val="single" w:color="DDDDDD" w:sz="1"/>
              <w:right w:val="single" w:color="DDDDDD" w:sz="1"/>
            </w:tcBorders>
            <w:shd w:fill="1E8449" w:val="clear"/>
            <w:tcMar>
              <w:top w:type="dxa" w:w="80"/>
              <w:left w:type="dxa" w:w="60"/>
              <w:bottom w:type="dxa" w:w="80"/>
              <w:right w:type="dxa" w:w="60"/>
            </w:tcMar>
          </w:tcPr>
          <w:p>
            <w:pPr>
              <w:jc w:val="center"/>
            </w:pPr>
            <w:r>
              <w:rPr>
                <w:rFonts w:ascii="Arial" w:cs="Arial" w:eastAsia="Arial" w:hAnsi="Arial"/>
                <w:b/>
                <w:bCs/>
                <w:color w:val="FFFFFF"/>
                <w:sz w:val="20"/>
                <w:szCs w:val="20"/>
              </w:rPr>
              <w:t xml:space="preserve">✓</w:t>
            </w:r>
          </w:p>
        </w:tc>
        <w:tc>
          <w:tcPr>
            <w:tcW w:type="dxa" w:w="3640"/>
            <w:tcBorders>
              <w:top w:val="single" w:color="DDDDDD" w:sz="1"/>
              <w:left w:val="single" w:color="DDDDDD" w:sz="1"/>
              <w:bottom w:val="single" w:color="DDDDDD" w:sz="1"/>
              <w:right w:val="single" w:color="DDDDDD" w:sz="1"/>
            </w:tcBorders>
            <w:shd w:fill="1A5276" w:val="clear"/>
            <w:tcMar>
              <w:top w:type="dxa" w:w="80"/>
              <w:left w:type="dxa" w:w="140"/>
              <w:bottom w:type="dxa" w:w="80"/>
              <w:right w:type="dxa" w:w="140"/>
            </w:tcMar>
          </w:tcPr>
          <w:p>
            <w:r>
              <w:rPr>
                <w:rFonts w:ascii="Arial" w:cs="Arial" w:eastAsia="Arial" w:hAnsi="Arial"/>
                <w:b/>
                <w:bCs/>
                <w:color w:val="FFFFFF"/>
                <w:sz w:val="18"/>
                <w:szCs w:val="18"/>
              </w:rPr>
              <w:t xml:space="preserve">Competitive Parity</w:t>
            </w:r>
          </w:p>
        </w:tc>
      </w:tr>
    </w:tbl>
    <w:p>
      <w:pPr>
        <w:spacing w:after="0" w:before="12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E8449" w:val="clear"/>
            <w:tcMar>
              <w:top w:type="dxa" w:w="80"/>
              <w:left w:type="dxa" w:w="160"/>
              <w:bottom w:type="dxa" w:w="80"/>
              <w:right w:type="dxa" w:w="160"/>
            </w:tcMar>
          </w:tcPr>
          <w:p>
            <w:pPr>
              <w:jc w:val="center"/>
            </w:pPr>
            <w:r>
              <w:rPr>
                <w:rFonts w:ascii="Arial" w:cs="Arial" w:eastAsia="Arial" w:hAnsi="Arial"/>
                <w:b/>
                <w:bCs/>
                <w:color w:val="FFFFFF"/>
                <w:sz w:val="17"/>
                <w:szCs w:val="17"/>
              </w:rPr>
              <w:t xml:space="preserve">Sustained Competitive Advantage</w:t>
            </w:r>
          </w:p>
          <w:p>
            <w:pPr>
              <w:jc w:val="center"/>
            </w:pPr>
            <w:r>
              <w:rPr>
                <w:rFonts w:ascii="Arial" w:cs="Arial" w:eastAsia="Arial" w:hAnsi="Arial"/>
                <w:i/>
                <w:iCs/>
                <w:color w:val="FFFFFF"/>
                <w:sz w:val="16"/>
                <w:szCs w:val="16"/>
              </w:rPr>
              <w:t xml:space="preserve">V + R + I + O</w:t>
            </w:r>
          </w:p>
        </w:tc>
        <w:tc>
          <w:tcPr>
            <w:tcW w:type="dxa" w:w="3120"/>
            <w:tcBorders>
              <w:top w:val="none" w:color="FFFFFF" w:sz="0"/>
              <w:left w:val="none" w:color="FFFFFF" w:sz="0"/>
              <w:bottom w:val="none" w:color="FFFFFF" w:sz="0"/>
              <w:right w:val="none" w:color="FFFFFF" w:sz="0"/>
            </w:tcBorders>
            <w:shd w:fill="C9982A" w:val="clear"/>
            <w:tcMar>
              <w:top w:type="dxa" w:w="80"/>
              <w:left w:type="dxa" w:w="160"/>
              <w:bottom w:type="dxa" w:w="80"/>
              <w:right w:type="dxa" w:w="160"/>
            </w:tcMar>
          </w:tcPr>
          <w:p>
            <w:pPr>
              <w:jc w:val="center"/>
            </w:pPr>
            <w:r>
              <w:rPr>
                <w:rFonts w:ascii="Arial" w:cs="Arial" w:eastAsia="Arial" w:hAnsi="Arial"/>
                <w:b/>
                <w:bCs/>
                <w:color w:val="FFFFFF"/>
                <w:sz w:val="17"/>
                <w:szCs w:val="17"/>
              </w:rPr>
              <w:t xml:space="preserve">Temporary Competitive Advantage</w:t>
            </w:r>
          </w:p>
          <w:p>
            <w:pPr>
              <w:jc w:val="center"/>
            </w:pPr>
            <w:r>
              <w:rPr>
                <w:rFonts w:ascii="Arial" w:cs="Arial" w:eastAsia="Arial" w:hAnsi="Arial"/>
                <w:i/>
                <w:iCs/>
                <w:color w:val="FFFFFF"/>
                <w:sz w:val="16"/>
                <w:szCs w:val="16"/>
              </w:rPr>
              <w:t xml:space="preserve">V + R + O only</w:t>
            </w:r>
          </w:p>
        </w:tc>
        <w:tc>
          <w:tcPr>
            <w:tcW w:type="dxa" w:w="3120"/>
            <w:tcBorders>
              <w:top w:val="none" w:color="FFFFFF" w:sz="0"/>
              <w:left w:val="none" w:color="FFFFFF" w:sz="0"/>
              <w:bottom w:val="none" w:color="FFFFFF" w:sz="0"/>
              <w:right w:val="none" w:color="FFFFFF" w:sz="0"/>
            </w:tcBorders>
            <w:shd w:fill="1A5276" w:val="clear"/>
            <w:tcMar>
              <w:top w:type="dxa" w:w="80"/>
              <w:left w:type="dxa" w:w="160"/>
              <w:bottom w:type="dxa" w:w="80"/>
              <w:right w:type="dxa" w:w="160"/>
            </w:tcMar>
          </w:tcPr>
          <w:p>
            <w:pPr>
              <w:jc w:val="center"/>
            </w:pPr>
            <w:r>
              <w:rPr>
                <w:rFonts w:ascii="Arial" w:cs="Arial" w:eastAsia="Arial" w:hAnsi="Arial"/>
                <w:b/>
                <w:bCs/>
                <w:color w:val="FFFFFF"/>
                <w:sz w:val="17"/>
                <w:szCs w:val="17"/>
              </w:rPr>
              <w:t xml:space="preserve">Competitive Parity</w:t>
            </w:r>
          </w:p>
          <w:p>
            <w:pPr>
              <w:jc w:val="center"/>
            </w:pPr>
            <w:r>
              <w:rPr>
                <w:rFonts w:ascii="Arial" w:cs="Arial" w:eastAsia="Arial" w:hAnsi="Arial"/>
                <w:i/>
                <w:iCs/>
                <w:color w:val="FFFFFF"/>
                <w:sz w:val="16"/>
                <w:szCs w:val="16"/>
              </w:rPr>
              <w:t xml:space="preserve">V only</w:t>
            </w:r>
          </w:p>
        </w:tc>
      </w:tr>
    </w:tbl>
    <w:p>
      <w:pPr>
        <w:pBdr>
          <w:bottom w:val="single" w:color="C0392B" w:sz="6" w:space="1"/>
        </w:pBdr>
        <w:spacing w:after="240" w:before="24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40"/>
              <w:left w:type="dxa" w:w="280"/>
              <w:bottom w:type="dxa" w:w="140"/>
              <w:right w:type="dxa" w:w="280"/>
            </w:tcMar>
          </w:tcPr>
          <w:p>
            <w:pPr>
              <w:jc w:val="center"/>
            </w:pPr>
            <w:r>
              <w:rPr>
                <w:rFonts w:ascii="Arial" w:cs="Arial" w:eastAsia="Arial" w:hAnsi="Arial"/>
                <w:b/>
                <w:bCs/>
                <w:color w:val="FFFFFF"/>
                <w:sz w:val="22"/>
                <w:szCs w:val="22"/>
              </w:rPr>
              <w:t xml:space="preserve">STRATEGIC IMPLICATIONS &amp; RECOMMENDATIONS</w:t>
            </w:r>
          </w:p>
        </w:tc>
      </w:tr>
    </w:tbl>
    <w:p>
      <w:pPr>
        <w:spacing w:after="0" w:before="20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8449"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1</w:t>
            </w:r>
          </w:p>
        </w:tc>
        <w:tc>
          <w:tcPr>
            <w:tcW w:type="dxa" w:w="8160"/>
            <w:tcBorders>
              <w:top w:val="single" w:color="EEEEEE" w:sz="1"/>
              <w:left w:val="none" w:color="FFFFFF" w:sz="0"/>
              <w:bottom w:val="single" w:color="EEEEEE" w:sz="1"/>
              <w:right w:val="none" w:color="FFFFFF" w:sz="0"/>
            </w:tcBorders>
            <w:shd w:fill="EAFAF1" w:val="clear"/>
            <w:tcMar>
              <w:top w:type="dxa" w:w="100"/>
              <w:left w:type="dxa" w:w="200"/>
              <w:bottom w:type="dxa" w:w="100"/>
              <w:right w:type="dxa" w:w="200"/>
            </w:tcMar>
          </w:tcPr>
          <w:p>
            <w:pPr>
              <w:spacing w:after="40" w:before="0"/>
            </w:pPr>
            <w:r>
              <w:rPr>
                <w:rFonts w:ascii="Arial" w:cs="Arial" w:eastAsia="Arial" w:hAnsi="Arial"/>
                <w:b/>
                <w:bCs/>
                <w:color w:val="1A1A1A"/>
                <w:sz w:val="20"/>
                <w:szCs w:val="20"/>
              </w:rPr>
              <w:t xml:space="preserve">Protect the Yingli Solar Exclusivity</w:t>
            </w:r>
          </w:p>
          <w:p>
            <w:pPr>
              <w:spacing w:after="0" w:before="0"/>
            </w:pPr>
            <w:r>
              <w:rPr>
                <w:rFonts w:ascii="Arial" w:cs="Arial" w:eastAsia="Arial" w:hAnsi="Arial"/>
                <w:color w:val="4A4A4A"/>
                <w:sz w:val="19"/>
                <w:szCs w:val="19"/>
              </w:rPr>
              <w:t xml:space="preserve">This is the single most defensible competitive asset. Renew and deepen the partnership proactively. Explore expanding the exclusivity scope to additional Yingli product lines or geographies.</w:t>
            </w:r>
          </w:p>
        </w:tc>
      </w:tr>
      <w:tr>
        <w:tc>
          <w:tcPr>
            <w:tcW w:type="dxa" w:w="9360"/>
            <w:tcBorders>
              <w:top w:val="none" w:color="FFFFFF" w:sz="0"/>
              <w:left w:val="none" w:color="FFFFFF" w:sz="0"/>
              <w:bottom w:val="none" w:color="FFFFFF" w:sz="0"/>
              <w:right w:val="none" w:color="FFFFFF" w:sz="0"/>
            </w:tcBorders>
          </w:tcPr>
          <w:p>
            <w:pPr>
              <w:spacing w:after="0" w:before="60"/>
            </w:pPr>
            <w:r>
              <w:rPr>
                <w:rFonts w:ascii="Arial" w:cs="Arial" w:eastAsia="Arial" w:hAnsi="Arial"/>
                <w:color w:val="4A4A4A"/>
                <w:sz w:val="20"/>
                <w:szCs w:val="20"/>
              </w:rPr>
              <w:t xml:space="preserve"/>
            </w:r>
          </w:p>
        </w:tc>
        <w:tc>
          <w:tcPr>
            <w:tcW w:type="dxa" w:w="8160"/>
            <w:tcBorders>
              <w:top w:val="none" w:color="FFFFFF" w:sz="0"/>
              <w:left w:val="none" w:color="FFFFFF" w:sz="0"/>
              <w:bottom w:val="none" w:color="FFFFFF" w:sz="0"/>
              <w:right w:val="none" w:color="FFFFFF" w:sz="0"/>
            </w:tcBorders>
          </w:tcPr>
          <w:p>
            <w:pPr>
              <w:spacing w:after="0" w:before="60"/>
            </w:pPr>
            <w:r>
              <w:rPr>
                <w:rFonts w:ascii="Arial" w:cs="Arial" w:eastAsia="Arial" w:hAnsi="Arial"/>
                <w:color w:val="4A4A4A"/>
                <w:sz w:val="20"/>
                <w:szCs w:val="20"/>
              </w:rPr>
              <w:t xml:space="preserve"/>
            </w:r>
          </w:p>
        </w:tc>
      </w:tr>
      <w:tr>
        <w:tc>
          <w:tcPr>
            <w:tcW w:type="dxa" w:w="1200"/>
            <w:tcBorders>
              <w:top w:val="none" w:color="FFFFFF" w:sz="0"/>
              <w:left w:val="none" w:color="FFFFFF" w:sz="0"/>
              <w:bottom w:val="none" w:color="FFFFFF" w:sz="0"/>
              <w:right w:val="none" w:color="FFFFFF" w:sz="0"/>
            </w:tcBorders>
            <w:shd w:fill="1A5276"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2</w:t>
            </w:r>
          </w:p>
        </w:tc>
        <w:tc>
          <w:tcPr>
            <w:tcW w:type="dxa" w:w="8160"/>
            <w:tcBorders>
              <w:top w:val="single" w:color="EEEEEE" w:sz="1"/>
              <w:left w:val="none" w:color="FFFFFF" w:sz="0"/>
              <w:bottom w:val="single" w:color="EEEEEE" w:sz="1"/>
              <w:right w:val="none" w:color="FFFFFF" w:sz="0"/>
            </w:tcBorders>
            <w:shd w:fill="EAF2FB" w:val="clear"/>
            <w:tcMar>
              <w:top w:type="dxa" w:w="100"/>
              <w:left w:type="dxa" w:w="200"/>
              <w:bottom w:type="dxa" w:w="100"/>
              <w:right w:type="dxa" w:w="200"/>
            </w:tcMar>
          </w:tcPr>
          <w:p>
            <w:pPr>
              <w:spacing w:after="40" w:before="0"/>
            </w:pPr>
            <w:r>
              <w:rPr>
                <w:rFonts w:ascii="Arial" w:cs="Arial" w:eastAsia="Arial" w:hAnsi="Arial"/>
                <w:b/>
                <w:bCs/>
                <w:color w:val="1A1A1A"/>
                <w:sz w:val="20"/>
                <w:szCs w:val="20"/>
              </w:rPr>
              <w:t xml:space="preserve">Formalize the Supplier Network</w:t>
            </w:r>
          </w:p>
          <w:p>
            <w:pPr>
              <w:spacing w:after="0" w:before="0"/>
            </w:pPr>
            <w:r>
              <w:rPr>
                <w:rFonts w:ascii="Arial" w:cs="Arial" w:eastAsia="Arial" w:hAnsi="Arial"/>
                <w:color w:val="4A4A4A"/>
                <w:sz w:val="19"/>
                <w:szCs w:val="19"/>
              </w:rPr>
              <w:t xml:space="preserve">Document supplier relationships, certifications, and performance records. A structured supplier database transforms a personal network into an organizational asset that survives personnel changes.</w:t>
            </w:r>
          </w:p>
        </w:tc>
      </w:tr>
      <w:tr>
        <w:tc>
          <w:tcPr>
            <w:tcW w:type="dxa" w:w="9360"/>
            <w:tcBorders>
              <w:top w:val="none" w:color="FFFFFF" w:sz="0"/>
              <w:left w:val="none" w:color="FFFFFF" w:sz="0"/>
              <w:bottom w:val="none" w:color="FFFFFF" w:sz="0"/>
              <w:right w:val="none" w:color="FFFFFF" w:sz="0"/>
            </w:tcBorders>
          </w:tcPr>
          <w:p>
            <w:pPr>
              <w:spacing w:after="0" w:before="60"/>
            </w:pPr>
            <w:r>
              <w:rPr>
                <w:rFonts w:ascii="Arial" w:cs="Arial" w:eastAsia="Arial" w:hAnsi="Arial"/>
                <w:color w:val="4A4A4A"/>
                <w:sz w:val="20"/>
                <w:szCs w:val="20"/>
              </w:rPr>
              <w:t xml:space="preserve"/>
            </w:r>
          </w:p>
        </w:tc>
        <w:tc>
          <w:tcPr>
            <w:tcW w:type="dxa" w:w="8160"/>
            <w:tcBorders>
              <w:top w:val="none" w:color="FFFFFF" w:sz="0"/>
              <w:left w:val="none" w:color="FFFFFF" w:sz="0"/>
              <w:bottom w:val="none" w:color="FFFFFF" w:sz="0"/>
              <w:right w:val="none" w:color="FFFFFF" w:sz="0"/>
            </w:tcBorders>
          </w:tcPr>
          <w:p>
            <w:pPr>
              <w:spacing w:after="0" w:before="60"/>
            </w:pPr>
            <w:r>
              <w:rPr>
                <w:rFonts w:ascii="Arial" w:cs="Arial" w:eastAsia="Arial" w:hAnsi="Arial"/>
                <w:color w:val="4A4A4A"/>
                <w:sz w:val="20"/>
                <w:szCs w:val="20"/>
              </w:rPr>
              <w:t xml:space="preserve"/>
            </w:r>
          </w:p>
        </w:tc>
      </w:tr>
      <w:tr>
        <w:tc>
          <w:tcPr>
            <w:tcW w:type="dxa" w:w="1200"/>
            <w:tcBorders>
              <w:top w:val="none" w:color="FFFFFF" w:sz="0"/>
              <w:left w:val="none" w:color="FFFFFF" w:sz="0"/>
              <w:bottom w:val="none" w:color="FFFFFF" w:sz="0"/>
              <w:right w:val="none" w:color="FFFFFF" w:sz="0"/>
            </w:tcBorders>
            <w:shd w:fill="C9982A"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3</w:t>
            </w:r>
          </w:p>
        </w:tc>
        <w:tc>
          <w:tcPr>
            <w:tcW w:type="dxa" w:w="8160"/>
            <w:tcBorders>
              <w:top w:val="single" w:color="EEEEEE" w:sz="1"/>
              <w:left w:val="none" w:color="FFFFFF" w:sz="0"/>
              <w:bottom w:val="single" w:color="EEEEEE" w:sz="1"/>
              <w:right w:val="none" w:color="FFFFFF" w:sz="0"/>
            </w:tcBorders>
            <w:shd w:fill="FDF6E3" w:val="clear"/>
            <w:tcMar>
              <w:top w:type="dxa" w:w="100"/>
              <w:left w:type="dxa" w:w="200"/>
              <w:bottom w:type="dxa" w:w="100"/>
              <w:right w:type="dxa" w:w="200"/>
            </w:tcMar>
          </w:tcPr>
          <w:p>
            <w:pPr>
              <w:spacing w:after="40" w:before="0"/>
            </w:pPr>
            <w:r>
              <w:rPr>
                <w:rFonts w:ascii="Arial" w:cs="Arial" w:eastAsia="Arial" w:hAnsi="Arial"/>
                <w:b/>
                <w:bCs/>
                <w:color w:val="1A1A1A"/>
                <w:sz w:val="20"/>
                <w:szCs w:val="20"/>
              </w:rPr>
              <w:t xml:space="preserve">Invest in Brand Communication</w:t>
            </w:r>
          </w:p>
          <w:p>
            <w:pPr>
              <w:spacing w:after="0" w:before="0"/>
            </w:pPr>
            <w:r>
              <w:rPr>
                <w:rFonts w:ascii="Arial" w:cs="Arial" w:eastAsia="Arial" w:hAnsi="Arial"/>
                <w:color w:val="4A4A4A"/>
                <w:sz w:val="19"/>
                <w:szCs w:val="19"/>
              </w:rPr>
              <w:t xml:space="preserve">The VRIO advantages are real but not widely known. The website, proposals, and marketing materials should explicitly communicate the Yingli partnership, multilingual capability, and end-to-end model.</w:t>
            </w:r>
          </w:p>
        </w:tc>
      </w:tr>
      <w:tr>
        <w:tc>
          <w:tcPr>
            <w:tcW w:type="dxa" w:w="9360"/>
            <w:tcBorders>
              <w:top w:val="none" w:color="FFFFFF" w:sz="0"/>
              <w:left w:val="none" w:color="FFFFFF" w:sz="0"/>
              <w:bottom w:val="none" w:color="FFFFFF" w:sz="0"/>
              <w:right w:val="none" w:color="FFFFFF" w:sz="0"/>
            </w:tcBorders>
          </w:tcPr>
          <w:p>
            <w:pPr>
              <w:spacing w:after="0" w:before="60"/>
            </w:pPr>
            <w:r>
              <w:rPr>
                <w:rFonts w:ascii="Arial" w:cs="Arial" w:eastAsia="Arial" w:hAnsi="Arial"/>
                <w:color w:val="4A4A4A"/>
                <w:sz w:val="20"/>
                <w:szCs w:val="20"/>
              </w:rPr>
              <w:t xml:space="preserve"/>
            </w:r>
          </w:p>
        </w:tc>
        <w:tc>
          <w:tcPr>
            <w:tcW w:type="dxa" w:w="8160"/>
            <w:tcBorders>
              <w:top w:val="none" w:color="FFFFFF" w:sz="0"/>
              <w:left w:val="none" w:color="FFFFFF" w:sz="0"/>
              <w:bottom w:val="none" w:color="FFFFFF" w:sz="0"/>
              <w:right w:val="none" w:color="FFFFFF" w:sz="0"/>
            </w:tcBorders>
          </w:tcPr>
          <w:p>
            <w:pPr>
              <w:spacing w:after="0" w:before="60"/>
            </w:pPr>
            <w:r>
              <w:rPr>
                <w:rFonts w:ascii="Arial" w:cs="Arial" w:eastAsia="Arial" w:hAnsi="Arial"/>
                <w:color w:val="4A4A4A"/>
                <w:sz w:val="20"/>
                <w:szCs w:val="20"/>
              </w:rPr>
              <w:t xml:space="preserve"/>
            </w:r>
          </w:p>
        </w:tc>
      </w:tr>
      <w:tr>
        <w:tc>
          <w:tcPr>
            <w:tcW w:type="dxa" w:w="1200"/>
            <w:tcBorders>
              <w:top w:val="none" w:color="FFFFFF" w:sz="0"/>
              <w:left w:val="none" w:color="FFFFFF" w:sz="0"/>
              <w:bottom w:val="none" w:color="FFFFFF" w:sz="0"/>
              <w:right w:val="none" w:color="FFFFFF" w:sz="0"/>
            </w:tcBorders>
            <w:shd w:fill="C0392B"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4</w:t>
            </w:r>
          </w:p>
        </w:tc>
        <w:tc>
          <w:tcPr>
            <w:tcW w:type="dxa" w:w="8160"/>
            <w:tcBorders>
              <w:top w:val="single" w:color="EEEEEE" w:sz="1"/>
              <w:left w:val="none" w:color="FFFFFF" w:sz="0"/>
              <w:bottom w:val="single" w:color="EEEEEE" w:sz="1"/>
              <w:right w:val="none" w:color="FFFFFF" w:sz="0"/>
            </w:tcBorders>
            <w:shd w:fill="FDECEA" w:val="clear"/>
            <w:tcMar>
              <w:top w:type="dxa" w:w="100"/>
              <w:left w:type="dxa" w:w="200"/>
              <w:bottom w:type="dxa" w:w="100"/>
              <w:right w:type="dxa" w:w="200"/>
            </w:tcMar>
          </w:tcPr>
          <w:p>
            <w:pPr>
              <w:spacing w:after="40" w:before="0"/>
            </w:pPr>
            <w:r>
              <w:rPr>
                <w:rFonts w:ascii="Arial" w:cs="Arial" w:eastAsia="Arial" w:hAnsi="Arial"/>
                <w:b/>
                <w:bCs/>
                <w:color w:val="1A1A1A"/>
                <w:sz w:val="20"/>
                <w:szCs w:val="20"/>
              </w:rPr>
              <w:t xml:space="preserve">Monitor Imitation Risk</w:t>
            </w:r>
          </w:p>
          <w:p>
            <w:pPr>
              <w:spacing w:after="0" w:before="0"/>
            </w:pPr>
            <w:r>
              <w:rPr>
                <w:rFonts w:ascii="Arial" w:cs="Arial" w:eastAsia="Arial" w:hAnsi="Arial"/>
                <w:color w:val="4A4A4A"/>
                <w:sz w:val="19"/>
                <w:szCs w:val="19"/>
              </w:rPr>
              <w:t xml:space="preserve">Logistics and multilingual capabilities will be challenged as the Sino-Tunisian trade corridor grows. Deepen these through technology (TMS, CRM) and continuous team training to stay ahead.</w:t>
            </w:r>
          </w:p>
        </w:tc>
      </w:tr>
    </w:tbl>
    <w:p>
      <w:pPr>
        <w:pBdr>
          <w:bottom w:val="single" w:color="C0392B" w:sz="6" w:space="1"/>
        </w:pBdr>
        <w:spacing w:after="240" w:before="240"/>
      </w:pPr>
      <w:r>
        <w:rPr>
          <w:rFonts w:ascii="Arial" w:cs="Arial" w:eastAsia="Arial" w:hAnsi="Arial"/>
          <w:color w:val="4A4A4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40"/>
              <w:left w:type="dxa" w:w="280"/>
              <w:bottom w:type="dxa" w:w="140"/>
              <w:right w:type="dxa" w:w="280"/>
            </w:tcMar>
          </w:tcPr>
          <w:p>
            <w:pPr>
              <w:jc w:val="center"/>
            </w:pPr>
            <w:r>
              <w:rPr>
                <w:rFonts w:ascii="Arial" w:cs="Arial" w:eastAsia="Arial" w:hAnsi="Arial"/>
                <w:b/>
                <w:bCs/>
                <w:color w:val="FFFFFF"/>
                <w:sz w:val="22"/>
                <w:szCs w:val="22"/>
              </w:rPr>
              <w:t xml:space="preserve">CONCLUSION</w:t>
            </w:r>
          </w:p>
        </w:tc>
      </w:tr>
    </w:tbl>
    <w:p>
      <w:pPr>
        <w:spacing w:after="0" w:before="160"/>
      </w:pPr>
      <w:r>
        <w:rPr>
          <w:rFonts w:ascii="Arial" w:cs="Arial" w:eastAsia="Arial" w:hAnsi="Arial"/>
          <w:color w:val="4A4A4A"/>
          <w:sz w:val="20"/>
          <w:szCs w:val="20"/>
        </w:rPr>
        <w:t xml:space="preserve"/>
      </w:r>
    </w:p>
    <w:p>
      <w:pPr>
        <w:spacing w:after="60" w:before="60"/>
      </w:pPr>
      <w:r>
        <w:rPr>
          <w:rFonts w:ascii="Arial" w:cs="Arial" w:eastAsia="Arial" w:hAnsi="Arial"/>
          <w:color w:val="4A4A4A"/>
          <w:sz w:val="20"/>
          <w:szCs w:val="20"/>
        </w:rPr>
        <w:t xml:space="preserve">Sino Tunisian Commercial Cooperation holds a strong and defensible competitive position. Its three core resources — the order-based import model, verified Chinese supplier network, and exclusive Yingli Solar representation — all pass the full VRIO test and qualify as sources of Sustained Competitive Advantage.</w:t>
      </w:r>
    </w:p>
    <w:p>
      <w:pPr>
        <w:spacing w:after="0" w:before="100"/>
      </w:pPr>
      <w:r>
        <w:rPr>
          <w:rFonts w:ascii="Arial" w:cs="Arial" w:eastAsia="Arial" w:hAnsi="Arial"/>
          <w:color w:val="4A4A4A"/>
          <w:sz w:val="20"/>
          <w:szCs w:val="20"/>
        </w:rPr>
        <w:t xml:space="preserve"/>
      </w:r>
    </w:p>
    <w:p>
      <w:pPr>
        <w:spacing w:after="60" w:before="60"/>
      </w:pPr>
      <w:r>
        <w:rPr>
          <w:rFonts w:ascii="Arial" w:cs="Arial" w:eastAsia="Arial" w:hAnsi="Arial"/>
          <w:color w:val="4A4A4A"/>
          <w:sz w:val="20"/>
          <w:szCs w:val="20"/>
        </w:rPr>
        <w:t xml:space="preserve">The company’s primary strategic priorities should be to protect these exclusive assets, formalize its operational processes for scale, and communicate these advantages clearly to the market through its website and client-facing materials.</w:t>
      </w:r>
    </w:p>
    <w:p>
      <w:pPr>
        <w:spacing w:after="0" w:before="100"/>
      </w:pPr>
      <w:r>
        <w:rPr>
          <w:rFonts w:ascii="Arial" w:cs="Arial" w:eastAsia="Arial" w:hAnsi="Arial"/>
          <w:color w:val="4A4A4A"/>
          <w:sz w:val="20"/>
          <w:szCs w:val="20"/>
        </w:rPr>
        <w:t xml:space="preserve"/>
      </w:r>
    </w:p>
    <w:p>
      <w:pPr>
        <w:spacing w:after="0" w:before="160"/>
        <w:jc w:val="center"/>
      </w:pPr>
      <w:r>
        <w:rPr>
          <w:rFonts w:ascii="Arial" w:cs="Arial" w:eastAsia="Arial" w:hAnsi="Arial"/>
          <w:b/>
          <w:bCs/>
          <w:i/>
          <w:iCs/>
          <w:color w:val="C0392B"/>
          <w:sz w:val="22"/>
          <w:szCs w:val="22"/>
        </w:rPr>
        <w:t xml:space="preserve">We’re not just a trading company — we’re your bridge to global success.</w:t>
      </w:r>
    </w:p>
    <w:p>
      <w:pPr>
        <w:spacing w:after="0" w:before="60"/>
      </w:pPr>
      <w:r>
        <w:rPr>
          <w:rFonts w:ascii="Arial" w:cs="Arial" w:eastAsia="Arial" w:hAnsi="Arial"/>
          <w:color w:val="4A4A4A"/>
          <w:sz w:val="20"/>
          <w:szCs w:val="20"/>
        </w:rPr>
        <w:t xml:space="preserve"/>
      </w:r>
    </w:p>
    <w:p>
      <w:pPr>
        <w:jc w:val="center"/>
      </w:pPr>
      <w:r>
        <w:rPr>
          <w:rFonts w:ascii="Arial" w:cs="Arial" w:eastAsia="Arial" w:hAnsi="Arial"/>
          <w:color w:val="4A4A4A"/>
          <w:sz w:val="18"/>
          <w:szCs w:val="18"/>
        </w:rPr>
        <w:t xml:space="preserve">ahmed@sinotuncc.com  •  +216 52 773 919  •  sinotunisiancc.com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2026-04-24T11:55:44.571Z</dcterms:created>
  <dcterms:modified xsi:type="dcterms:W3CDTF">2026-04-24T11:55:44.572Z</dcterms:modified>
</cp:coreProperties>
</file>

<file path=docProps/custom.xml><?xml version="1.0" encoding="utf-8"?>
<Properties xmlns="http://schemas.openxmlformats.org/officeDocument/2006/custom-properties" xmlns:vt="http://schemas.openxmlformats.org/officeDocument/2006/docPropsVTypes"/>
</file>