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31166">
      <w:pPr>
        <w:spacing w:before="480" w:after="480" w:line="288" w:lineRule="auto"/>
        <w:ind w:left="0"/>
      </w:pPr>
      <w:r>
        <w:rPr>
          <w:rFonts w:ascii="Arial" w:hAnsi="Arial" w:eastAsia="等线" w:cs="Arial"/>
          <w:b/>
          <w:sz w:val="52"/>
        </w:rPr>
        <w:t>HKU Academic Integrity Code (2025-2026 Academic Year)</w:t>
      </w:r>
    </w:p>
    <w:p w14:paraId="398B1671">
      <w:pPr>
        <w:spacing w:before="380" w:after="140" w:line="288" w:lineRule="auto"/>
        <w:ind w:left="0"/>
        <w:jc w:val="left"/>
        <w:outlineLvl w:val="0"/>
      </w:pPr>
      <w:bookmarkStart w:id="0" w:name="heading_0"/>
      <w:r>
        <w:rPr>
          <w:rFonts w:ascii="Arial" w:hAnsi="Arial" w:eastAsia="等线" w:cs="Arial"/>
          <w:b/>
          <w:sz w:val="36"/>
        </w:rPr>
        <w:t>The University of Hong Kong Academic Integrity Code</w:t>
      </w:r>
      <w:bookmarkEnd w:id="0"/>
    </w:p>
    <w:p w14:paraId="6FACD5FA">
      <w:pPr>
        <w:spacing w:before="320" w:after="120" w:line="288" w:lineRule="auto"/>
        <w:ind w:left="0"/>
        <w:jc w:val="left"/>
        <w:outlineLvl w:val="1"/>
      </w:pPr>
      <w:bookmarkStart w:id="1" w:name="heading_1"/>
      <w:r>
        <w:rPr>
          <w:rFonts w:ascii="Arial" w:hAnsi="Arial" w:eastAsia="等线" w:cs="Arial"/>
          <w:b/>
          <w:sz w:val="32"/>
        </w:rPr>
        <w:t>1. Preamble</w:t>
      </w:r>
      <w:bookmarkEnd w:id="1"/>
    </w:p>
    <w:p w14:paraId="45C75DE9">
      <w:pPr>
        <w:spacing w:before="120" w:after="120" w:line="288" w:lineRule="auto"/>
        <w:ind w:left="0"/>
        <w:jc w:val="left"/>
      </w:pPr>
      <w:r>
        <w:rPr>
          <w:rFonts w:ascii="Arial" w:hAnsi="Arial" w:eastAsia="等线" w:cs="Arial"/>
          <w:sz w:val="22"/>
        </w:rPr>
        <w:t>Academic integrity is the cornerstone of The University of Hong Kong's (HKU) academic excellence and institutional reputation. This Code defines the standards of ethical academic conduct expected of all undergraduate and postgraduate students, including research students, across all programs and academic activities. It applies to coursework, examinations, research projects, theses, dissertations, and any other academic work submitted for credit or publication under the University's auspices.</w:t>
      </w:r>
    </w:p>
    <w:p w14:paraId="02F51811">
      <w:pPr>
        <w:spacing w:before="120" w:after="120" w:line="288" w:lineRule="auto"/>
        <w:ind w:left="0"/>
        <w:jc w:val="left"/>
      </w:pPr>
      <w:r>
        <w:rPr>
          <w:rFonts w:ascii="Arial" w:hAnsi="Arial" w:eastAsia="等线" w:cs="Arial"/>
          <w:sz w:val="22"/>
        </w:rPr>
        <w:t>The purpose of this Code is to: (1) clarify expectations for honest academic practice; (2) provide a framework for identifying and addressing academic misconduct; (3) protect the rights of students who uphold academic integrity; and (4) foster a culture of integrity, responsibility, and mutual trust within the HKU community. All students are required to familiarize themselves with this Code and adhere to its provisions throughout their studies.</w:t>
      </w:r>
    </w:p>
    <w:p w14:paraId="532E1FA6">
      <w:pPr>
        <w:spacing w:before="320" w:after="120" w:line="288" w:lineRule="auto"/>
        <w:ind w:left="0"/>
        <w:jc w:val="left"/>
        <w:outlineLvl w:val="1"/>
      </w:pPr>
      <w:bookmarkStart w:id="2" w:name="heading_2"/>
      <w:r>
        <w:rPr>
          <w:rFonts w:ascii="Arial" w:hAnsi="Arial" w:eastAsia="等线" w:cs="Arial"/>
          <w:b/>
          <w:sz w:val="32"/>
        </w:rPr>
        <w:t>2. Core Principles of Academic Integrity</w:t>
      </w:r>
      <w:bookmarkEnd w:id="2"/>
    </w:p>
    <w:p w14:paraId="323337D6">
      <w:pPr>
        <w:spacing w:before="120" w:after="120" w:line="288" w:lineRule="auto"/>
        <w:ind w:left="0"/>
        <w:jc w:val="left"/>
      </w:pPr>
      <w:r>
        <w:rPr>
          <w:rFonts w:ascii="Arial" w:hAnsi="Arial" w:eastAsia="等线" w:cs="Arial"/>
          <w:sz w:val="22"/>
        </w:rPr>
        <w:t>HKU students shall uphold the following five core principles in all academic endeavors:</w:t>
      </w:r>
    </w:p>
    <w:p w14:paraId="75A5FD8E">
      <w:pPr>
        <w:numPr>
          <w:ilvl w:val="0"/>
          <w:numId w:val="1"/>
        </w:numPr>
        <w:spacing w:before="120" w:after="120" w:line="288" w:lineRule="auto"/>
        <w:ind w:left="0"/>
        <w:jc w:val="left"/>
      </w:pPr>
      <w:r>
        <w:rPr>
          <w:rFonts w:ascii="Arial" w:hAnsi="Arial" w:eastAsia="等线" w:cs="Arial"/>
          <w:b/>
          <w:sz w:val="22"/>
        </w:rPr>
        <w:t>Honesty</w:t>
      </w:r>
      <w:r>
        <w:rPr>
          <w:rFonts w:ascii="Arial" w:hAnsi="Arial" w:eastAsia="等线" w:cs="Arial"/>
          <w:sz w:val="22"/>
        </w:rPr>
        <w:t>: Present one's own work, ideas, and achievements truthfully, without falsification, misrepresentation, or deception.</w:t>
      </w:r>
    </w:p>
    <w:p w14:paraId="2668EAFB">
      <w:pPr>
        <w:numPr>
          <w:ilvl w:val="0"/>
          <w:numId w:val="2"/>
        </w:numPr>
        <w:spacing w:before="120" w:after="120" w:line="288" w:lineRule="auto"/>
        <w:ind w:left="0"/>
        <w:jc w:val="left"/>
      </w:pPr>
      <w:r>
        <w:rPr>
          <w:rFonts w:ascii="Arial" w:hAnsi="Arial" w:eastAsia="等线" w:cs="Arial"/>
          <w:b/>
          <w:sz w:val="22"/>
        </w:rPr>
        <w:t>Responsibility</w:t>
      </w:r>
      <w:r>
        <w:rPr>
          <w:rFonts w:ascii="Arial" w:hAnsi="Arial" w:eastAsia="等线" w:cs="Arial"/>
          <w:sz w:val="22"/>
        </w:rPr>
        <w:t>: Take ownership of one's academic work, meet deadlines, and accept accountability for the quality and integrity of submitted materials.</w:t>
      </w:r>
    </w:p>
    <w:p w14:paraId="0DAC050C">
      <w:pPr>
        <w:numPr>
          <w:ilvl w:val="0"/>
          <w:numId w:val="3"/>
        </w:numPr>
        <w:spacing w:before="120" w:after="120" w:line="288" w:lineRule="auto"/>
        <w:ind w:left="0"/>
        <w:jc w:val="left"/>
      </w:pPr>
      <w:r>
        <w:rPr>
          <w:rFonts w:ascii="Arial" w:hAnsi="Arial" w:eastAsia="等线" w:cs="Arial"/>
          <w:b/>
          <w:sz w:val="22"/>
        </w:rPr>
        <w:t>Fairness</w:t>
      </w:r>
      <w:r>
        <w:rPr>
          <w:rFonts w:ascii="Arial" w:hAnsi="Arial" w:eastAsia="等线" w:cs="Arial"/>
          <w:sz w:val="22"/>
        </w:rPr>
        <w:t>: Respect the academic efforts of others, refrain from gaining unfair advantages in assessments, and comply with all rules governing academic activities.</w:t>
      </w:r>
    </w:p>
    <w:p w14:paraId="0F7CD428">
      <w:pPr>
        <w:numPr>
          <w:ilvl w:val="0"/>
          <w:numId w:val="4"/>
        </w:numPr>
        <w:spacing w:before="120" w:after="120" w:line="288" w:lineRule="auto"/>
        <w:ind w:left="0"/>
        <w:jc w:val="left"/>
      </w:pPr>
      <w:r>
        <w:rPr>
          <w:rFonts w:ascii="Arial" w:hAnsi="Arial" w:eastAsia="等线" w:cs="Arial"/>
          <w:b/>
          <w:sz w:val="22"/>
        </w:rPr>
        <w:t>Respect</w:t>
      </w:r>
      <w:r>
        <w:rPr>
          <w:rFonts w:ascii="Arial" w:hAnsi="Arial" w:eastAsia="等线" w:cs="Arial"/>
          <w:sz w:val="22"/>
        </w:rPr>
        <w:t>: Acknowledge the intellectual property of others through proper citation and attribution, and respect the confidentiality and integrity of academic materials (e.g., exam papers, research data).</w:t>
      </w:r>
    </w:p>
    <w:p w14:paraId="2A5C3B38">
      <w:pPr>
        <w:numPr>
          <w:ilvl w:val="0"/>
          <w:numId w:val="5"/>
        </w:numPr>
        <w:spacing w:before="120" w:after="120" w:line="288" w:lineRule="auto"/>
        <w:ind w:left="0"/>
        <w:jc w:val="left"/>
      </w:pPr>
      <w:r>
        <w:rPr>
          <w:rFonts w:ascii="Arial" w:hAnsi="Arial" w:eastAsia="等线" w:cs="Arial"/>
          <w:b/>
          <w:sz w:val="22"/>
        </w:rPr>
        <w:t>Transparency</w:t>
      </w:r>
      <w:r>
        <w:rPr>
          <w:rFonts w:ascii="Arial" w:hAnsi="Arial" w:eastAsia="等线" w:cs="Arial"/>
          <w:sz w:val="22"/>
        </w:rPr>
        <w:t>: Disclose any potential conflicts of interest in academic work, seek clarification on unclear requirements, and report suspected academic misconduct appropriately.</w:t>
      </w:r>
    </w:p>
    <w:p w14:paraId="6F01F876">
      <w:pPr>
        <w:spacing w:before="320" w:after="120" w:line="288" w:lineRule="auto"/>
        <w:ind w:left="0"/>
        <w:jc w:val="left"/>
        <w:outlineLvl w:val="1"/>
      </w:pPr>
      <w:bookmarkStart w:id="3" w:name="heading_3"/>
      <w:r>
        <w:rPr>
          <w:rFonts w:ascii="Arial" w:hAnsi="Arial" w:eastAsia="等线" w:cs="Arial"/>
          <w:b/>
          <w:sz w:val="32"/>
        </w:rPr>
        <w:t>3. Definitions of Academic Misconduct</w:t>
      </w:r>
      <w:bookmarkEnd w:id="3"/>
    </w:p>
    <w:p w14:paraId="619A13A1">
      <w:pPr>
        <w:spacing w:before="120" w:after="120" w:line="288" w:lineRule="auto"/>
        <w:ind w:left="0"/>
        <w:jc w:val="left"/>
      </w:pPr>
      <w:r>
        <w:rPr>
          <w:rFonts w:ascii="Arial" w:hAnsi="Arial" w:eastAsia="等线" w:cs="Arial"/>
          <w:sz w:val="22"/>
        </w:rPr>
        <w:t>Academic misconduct refers to any behavior that violates the core principles outlined above. The following are specific examples of prohibited conduct, categorized by type for clarity:</w:t>
      </w:r>
    </w:p>
    <w:p w14:paraId="5B972728">
      <w:pPr>
        <w:spacing w:before="300" w:after="120" w:line="288" w:lineRule="auto"/>
        <w:ind w:left="0"/>
        <w:jc w:val="left"/>
        <w:outlineLvl w:val="2"/>
      </w:pPr>
      <w:bookmarkStart w:id="4" w:name="heading_4"/>
      <w:r>
        <w:rPr>
          <w:rFonts w:ascii="Arial" w:hAnsi="Arial" w:eastAsia="等线" w:cs="Arial"/>
          <w:b/>
          <w:sz w:val="30"/>
        </w:rPr>
        <w:t>3.1 Plagiarism</w:t>
      </w:r>
      <w:bookmarkEnd w:id="4"/>
    </w:p>
    <w:p w14:paraId="52D005C3">
      <w:pPr>
        <w:spacing w:before="120" w:after="120" w:line="288" w:lineRule="auto"/>
        <w:ind w:left="0"/>
        <w:jc w:val="left"/>
      </w:pPr>
      <w:r>
        <w:rPr>
          <w:rFonts w:ascii="Arial" w:hAnsi="Arial" w:eastAsia="等线" w:cs="Arial"/>
          <w:sz w:val="22"/>
        </w:rPr>
        <w:t>Plagiarism involves presenting the intellectual property of others as one's own without proper attribution. This includes, but is not limited to:</w:t>
      </w:r>
    </w:p>
    <w:p w14:paraId="19C8A209">
      <w:pPr>
        <w:numPr>
          <w:ilvl w:val="0"/>
          <w:numId w:val="6"/>
        </w:numPr>
        <w:spacing w:before="120" w:after="120" w:line="288" w:lineRule="auto"/>
        <w:ind w:left="0"/>
        <w:jc w:val="left"/>
      </w:pPr>
      <w:r>
        <w:rPr>
          <w:rFonts w:ascii="Arial" w:hAnsi="Arial" w:eastAsia="等线" w:cs="Arial"/>
          <w:sz w:val="22"/>
        </w:rPr>
        <w:t>Directly copying text, data, images, graphs, or ideas from books, journals, websites, lectures, or other sources without citing the original author and source.</w:t>
      </w:r>
    </w:p>
    <w:p w14:paraId="15FA02CE">
      <w:pPr>
        <w:numPr>
          <w:ilvl w:val="0"/>
          <w:numId w:val="7"/>
        </w:numPr>
        <w:spacing w:before="120" w:after="120" w:line="288" w:lineRule="auto"/>
        <w:ind w:left="0"/>
        <w:jc w:val="left"/>
      </w:pPr>
      <w:r>
        <w:rPr>
          <w:rFonts w:ascii="Arial" w:hAnsi="Arial" w:eastAsia="等线" w:cs="Arial"/>
          <w:sz w:val="22"/>
        </w:rPr>
        <w:t>Paraphrasing or summarizing others' work in a way that retains the original meaning but fails to provide appropriate citation.</w:t>
      </w:r>
    </w:p>
    <w:p w14:paraId="3555EFD5">
      <w:pPr>
        <w:numPr>
          <w:ilvl w:val="0"/>
          <w:numId w:val="8"/>
        </w:numPr>
        <w:spacing w:before="120" w:after="120" w:line="288" w:lineRule="auto"/>
        <w:ind w:left="0"/>
        <w:jc w:val="left"/>
      </w:pPr>
      <w:r>
        <w:rPr>
          <w:rFonts w:ascii="Arial" w:hAnsi="Arial" w:eastAsia="等线" w:cs="Arial"/>
          <w:sz w:val="22"/>
        </w:rPr>
        <w:t>Using quotations from a source without indicating the quoted text (e.g., through quotation marks) and citing the source.</w:t>
      </w:r>
    </w:p>
    <w:p w14:paraId="799B16ED">
      <w:pPr>
        <w:numPr>
          <w:ilvl w:val="0"/>
          <w:numId w:val="9"/>
        </w:numPr>
        <w:spacing w:before="120" w:after="120" w:line="288" w:lineRule="auto"/>
        <w:ind w:left="0"/>
        <w:jc w:val="left"/>
      </w:pPr>
      <w:r>
        <w:rPr>
          <w:rFonts w:ascii="Arial" w:hAnsi="Arial" w:eastAsia="等线" w:cs="Arial"/>
          <w:sz w:val="22"/>
        </w:rPr>
        <w:t>Including data or findings from other research (including classmates' work, unpublished manuscripts, or online forums) without permission and proper citation.</w:t>
      </w:r>
    </w:p>
    <w:p w14:paraId="5613BBB3">
      <w:pPr>
        <w:numPr>
          <w:ilvl w:val="0"/>
          <w:numId w:val="10"/>
        </w:numPr>
        <w:spacing w:before="120" w:after="120" w:line="288" w:lineRule="auto"/>
        <w:ind w:left="0"/>
        <w:jc w:val="left"/>
      </w:pPr>
      <w:r>
        <w:rPr>
          <w:rFonts w:ascii="Arial" w:hAnsi="Arial" w:eastAsia="等线" w:cs="Arial"/>
          <w:sz w:val="22"/>
        </w:rPr>
        <w:t>Submitting work written or edited by others (e.g., professional writing services, friends, family members) as one's own, even if minor revisions are made.</w:t>
      </w:r>
    </w:p>
    <w:p w14:paraId="2BA39A1A">
      <w:pPr>
        <w:spacing w:before="300" w:after="120" w:line="288" w:lineRule="auto"/>
        <w:ind w:left="0"/>
        <w:jc w:val="left"/>
        <w:outlineLvl w:val="2"/>
      </w:pPr>
      <w:bookmarkStart w:id="5" w:name="heading_5"/>
      <w:r>
        <w:rPr>
          <w:rFonts w:ascii="Arial" w:hAnsi="Arial" w:eastAsia="等线" w:cs="Arial"/>
          <w:b/>
          <w:sz w:val="30"/>
        </w:rPr>
        <w:t>3.2 Cheating in Assessments</w:t>
      </w:r>
      <w:bookmarkEnd w:id="5"/>
    </w:p>
    <w:p w14:paraId="5EACE123">
      <w:pPr>
        <w:spacing w:before="120" w:after="120" w:line="288" w:lineRule="auto"/>
        <w:ind w:left="0"/>
        <w:jc w:val="left"/>
      </w:pPr>
      <w:r>
        <w:rPr>
          <w:rFonts w:ascii="Arial" w:hAnsi="Arial" w:eastAsia="等线" w:cs="Arial"/>
          <w:sz w:val="22"/>
        </w:rPr>
        <w:t>Cheating involves gaining or attempting to gain an unfair advantage in academic assessments. This includes, but is not limited to:</w:t>
      </w:r>
    </w:p>
    <w:p w14:paraId="6D9D060B">
      <w:pPr>
        <w:numPr>
          <w:ilvl w:val="0"/>
          <w:numId w:val="11"/>
        </w:numPr>
        <w:spacing w:before="120" w:after="120" w:line="288" w:lineRule="auto"/>
        <w:ind w:left="0"/>
        <w:jc w:val="left"/>
      </w:pPr>
      <w:r>
        <w:rPr>
          <w:rFonts w:ascii="Arial" w:hAnsi="Arial" w:eastAsia="等线" w:cs="Arial"/>
          <w:sz w:val="22"/>
        </w:rPr>
        <w:t>Bringing unauthorized materials into an examination or quiz (e.g., notes, textbooks, electronic devices such as mobile phones, smartwatches, or calculators not approved by the instructor).</w:t>
      </w:r>
    </w:p>
    <w:p w14:paraId="22B2BE68">
      <w:pPr>
        <w:numPr>
          <w:ilvl w:val="0"/>
          <w:numId w:val="12"/>
        </w:numPr>
        <w:spacing w:before="120" w:after="120" w:line="288" w:lineRule="auto"/>
        <w:ind w:left="0"/>
        <w:jc w:val="left"/>
      </w:pPr>
      <w:r>
        <w:rPr>
          <w:rFonts w:ascii="Arial" w:hAnsi="Arial" w:eastAsia="等线" w:cs="Arial"/>
          <w:sz w:val="22"/>
        </w:rPr>
        <w:t>Communicating with other students during an examination or quiz (verbally, through gestures, or electronic devices) to share or receive answers.</w:t>
      </w:r>
    </w:p>
    <w:p w14:paraId="3F581A25">
      <w:pPr>
        <w:numPr>
          <w:ilvl w:val="0"/>
          <w:numId w:val="13"/>
        </w:numPr>
        <w:spacing w:before="120" w:after="120" w:line="288" w:lineRule="auto"/>
        <w:ind w:left="0"/>
        <w:jc w:val="left"/>
      </w:pPr>
      <w:r>
        <w:rPr>
          <w:rFonts w:ascii="Arial" w:hAnsi="Arial" w:eastAsia="等线" w:cs="Arial"/>
          <w:sz w:val="22"/>
        </w:rPr>
        <w:t>Copying answers from another student's assessment paper or allowing others to copy from one's own paper.</w:t>
      </w:r>
    </w:p>
    <w:p w14:paraId="18A4F512">
      <w:pPr>
        <w:numPr>
          <w:ilvl w:val="0"/>
          <w:numId w:val="14"/>
        </w:numPr>
        <w:spacing w:before="120" w:after="120" w:line="288" w:lineRule="auto"/>
        <w:ind w:left="0"/>
        <w:jc w:val="left"/>
      </w:pPr>
      <w:r>
        <w:rPr>
          <w:rFonts w:ascii="Arial" w:hAnsi="Arial" w:eastAsia="等线" w:cs="Arial"/>
          <w:sz w:val="22"/>
        </w:rPr>
        <w:t>Using pre-written answers or notes during a closed-book assessment.</w:t>
      </w:r>
    </w:p>
    <w:p w14:paraId="127C673E">
      <w:pPr>
        <w:numPr>
          <w:ilvl w:val="0"/>
          <w:numId w:val="15"/>
        </w:numPr>
        <w:spacing w:before="120" w:after="120" w:line="288" w:lineRule="auto"/>
        <w:ind w:left="0"/>
        <w:jc w:val="left"/>
      </w:pPr>
      <w:r>
        <w:rPr>
          <w:rFonts w:ascii="Arial" w:hAnsi="Arial" w:eastAsia="等线" w:cs="Arial"/>
          <w:sz w:val="22"/>
        </w:rPr>
        <w:t>Taking an examination or quiz on behalf of another student or having someone else take an assessment on one's behalf.</w:t>
      </w:r>
    </w:p>
    <w:p w14:paraId="05842C9B">
      <w:pPr>
        <w:numPr>
          <w:ilvl w:val="0"/>
          <w:numId w:val="16"/>
        </w:numPr>
        <w:spacing w:before="120" w:after="120" w:line="288" w:lineRule="auto"/>
        <w:ind w:left="0"/>
        <w:jc w:val="left"/>
      </w:pPr>
      <w:r>
        <w:rPr>
          <w:rFonts w:ascii="Arial" w:hAnsi="Arial" w:eastAsia="等线" w:cs="Arial"/>
          <w:sz w:val="22"/>
        </w:rPr>
        <w:t>Altering or falsifying assessment results (e.g., changing answers on a graded paper and requesting a regrade).</w:t>
      </w:r>
    </w:p>
    <w:p w14:paraId="2FD19D7A">
      <w:pPr>
        <w:numPr>
          <w:ilvl w:val="0"/>
          <w:numId w:val="17"/>
        </w:numPr>
        <w:spacing w:before="120" w:after="120" w:line="288" w:lineRule="auto"/>
        <w:ind w:left="0"/>
        <w:jc w:val="left"/>
      </w:pPr>
      <w:r>
        <w:rPr>
          <w:rFonts w:ascii="Arial" w:hAnsi="Arial" w:eastAsia="等线" w:cs="Arial"/>
          <w:sz w:val="22"/>
        </w:rPr>
        <w:t>Obtaining advance access to confidential assessment materials (e.g., exam papers, quiz questions) without authorization.</w:t>
      </w:r>
    </w:p>
    <w:p w14:paraId="1F01DC7E">
      <w:pPr>
        <w:spacing w:before="300" w:after="120" w:line="288" w:lineRule="auto"/>
        <w:ind w:left="0"/>
        <w:jc w:val="left"/>
        <w:outlineLvl w:val="2"/>
      </w:pPr>
      <w:bookmarkStart w:id="6" w:name="heading_6"/>
      <w:r>
        <w:rPr>
          <w:rFonts w:ascii="Arial" w:hAnsi="Arial" w:eastAsia="等线" w:cs="Arial"/>
          <w:b/>
          <w:sz w:val="30"/>
        </w:rPr>
        <w:t>3.3 Fabrication and Falsification</w:t>
      </w:r>
      <w:bookmarkEnd w:id="6"/>
    </w:p>
    <w:p w14:paraId="0212041B">
      <w:pPr>
        <w:spacing w:before="120" w:after="120" w:line="288" w:lineRule="auto"/>
        <w:ind w:left="0"/>
        <w:jc w:val="left"/>
      </w:pPr>
      <w:r>
        <w:rPr>
          <w:rFonts w:ascii="Arial" w:hAnsi="Arial" w:eastAsia="等线" w:cs="Arial"/>
          <w:sz w:val="22"/>
        </w:rPr>
        <w:t>Fabrication involves inventing or creating false information, while falsification involves altering existing information to mislead. This includes, but is not limited to:</w:t>
      </w:r>
    </w:p>
    <w:p w14:paraId="4C7EF0C2">
      <w:pPr>
        <w:numPr>
          <w:ilvl w:val="0"/>
          <w:numId w:val="18"/>
        </w:numPr>
        <w:spacing w:before="120" w:after="120" w:line="288" w:lineRule="auto"/>
        <w:ind w:left="0"/>
        <w:jc w:val="left"/>
      </w:pPr>
      <w:r>
        <w:rPr>
          <w:rFonts w:ascii="Arial" w:hAnsi="Arial" w:eastAsia="等线" w:cs="Arial"/>
          <w:sz w:val="22"/>
        </w:rPr>
        <w:t>Inventing experimental data, survey responses, or research findings that were not actually collected.</w:t>
      </w:r>
    </w:p>
    <w:p w14:paraId="68D96CA1">
      <w:pPr>
        <w:numPr>
          <w:ilvl w:val="0"/>
          <w:numId w:val="19"/>
        </w:numPr>
        <w:spacing w:before="120" w:after="120" w:line="288" w:lineRule="auto"/>
        <w:ind w:left="0"/>
        <w:jc w:val="left"/>
      </w:pPr>
      <w:r>
        <w:rPr>
          <w:rFonts w:ascii="Arial" w:hAnsi="Arial" w:eastAsia="等线" w:cs="Arial"/>
          <w:sz w:val="22"/>
        </w:rPr>
        <w:t>Altering raw data, graphs, or figures to support a desired conclusion or improve results.</w:t>
      </w:r>
    </w:p>
    <w:p w14:paraId="26EBAB0B">
      <w:pPr>
        <w:numPr>
          <w:ilvl w:val="0"/>
          <w:numId w:val="20"/>
        </w:numPr>
        <w:spacing w:before="120" w:after="120" w:line="288" w:lineRule="auto"/>
        <w:ind w:left="0"/>
        <w:jc w:val="left"/>
      </w:pPr>
      <w:r>
        <w:rPr>
          <w:rFonts w:ascii="Arial" w:hAnsi="Arial" w:eastAsia="等线" w:cs="Arial"/>
          <w:sz w:val="22"/>
        </w:rPr>
        <w:t>Falsifying academic records, transcripts, or supporting documents (e.g., medical certificates for excused absences, recommendation letters).</w:t>
      </w:r>
    </w:p>
    <w:p w14:paraId="615BE512">
      <w:pPr>
        <w:numPr>
          <w:ilvl w:val="0"/>
          <w:numId w:val="21"/>
        </w:numPr>
        <w:spacing w:before="120" w:after="120" w:line="288" w:lineRule="auto"/>
        <w:ind w:left="0"/>
        <w:jc w:val="left"/>
      </w:pPr>
      <w:r>
        <w:rPr>
          <w:rFonts w:ascii="Arial" w:hAnsi="Arial" w:eastAsia="等线" w:cs="Arial"/>
          <w:sz w:val="22"/>
        </w:rPr>
        <w:t>Creating fake citations or referencing sources that do not exist or were not used.</w:t>
      </w:r>
    </w:p>
    <w:p w14:paraId="5CD0535B">
      <w:pPr>
        <w:spacing w:before="300" w:after="120" w:line="288" w:lineRule="auto"/>
        <w:ind w:left="0"/>
        <w:jc w:val="left"/>
        <w:outlineLvl w:val="2"/>
      </w:pPr>
      <w:bookmarkStart w:id="7" w:name="heading_7"/>
      <w:r>
        <w:rPr>
          <w:rFonts w:ascii="Arial" w:hAnsi="Arial" w:eastAsia="等线" w:cs="Arial"/>
          <w:b/>
          <w:sz w:val="30"/>
        </w:rPr>
        <w:t>3.4 Unauthorized Collaboration</w:t>
      </w:r>
      <w:bookmarkEnd w:id="7"/>
    </w:p>
    <w:p w14:paraId="13946498">
      <w:pPr>
        <w:spacing w:before="120" w:after="120" w:line="288" w:lineRule="auto"/>
        <w:ind w:left="0"/>
        <w:jc w:val="left"/>
      </w:pPr>
      <w:r>
        <w:rPr>
          <w:rFonts w:ascii="Arial" w:hAnsi="Arial" w:eastAsia="等线" w:cs="Arial"/>
          <w:sz w:val="22"/>
        </w:rPr>
        <w:t>Unauthorized collaboration involves working with others on academic work that is intended to be completed independently. This includes, but is not limited to:</w:t>
      </w:r>
    </w:p>
    <w:p w14:paraId="1B414102">
      <w:pPr>
        <w:numPr>
          <w:ilvl w:val="0"/>
          <w:numId w:val="22"/>
        </w:numPr>
        <w:spacing w:before="120" w:after="120" w:line="288" w:lineRule="auto"/>
        <w:ind w:left="0"/>
        <w:jc w:val="left"/>
      </w:pPr>
      <w:r>
        <w:rPr>
          <w:rFonts w:ascii="Arial" w:hAnsi="Arial" w:eastAsia="等线" w:cs="Arial"/>
          <w:sz w:val="22"/>
        </w:rPr>
        <w:t>Collaborating with classmates on individual assignments, essays, or projects without explicit permission from the instructor.</w:t>
      </w:r>
    </w:p>
    <w:p w14:paraId="5AADD629">
      <w:pPr>
        <w:numPr>
          <w:ilvl w:val="0"/>
          <w:numId w:val="23"/>
        </w:numPr>
        <w:spacing w:before="120" w:after="120" w:line="288" w:lineRule="auto"/>
        <w:ind w:left="0"/>
        <w:jc w:val="left"/>
      </w:pPr>
      <w:r>
        <w:rPr>
          <w:rFonts w:ascii="Arial" w:hAnsi="Arial" w:eastAsia="等线" w:cs="Arial"/>
          <w:sz w:val="22"/>
        </w:rPr>
        <w:t>Sharing complete or partial drafts of independent assignments with others, including through online platforms or study groups, when such sharing is prohibited.</w:t>
      </w:r>
    </w:p>
    <w:p w14:paraId="34E70609">
      <w:pPr>
        <w:numPr>
          <w:ilvl w:val="0"/>
          <w:numId w:val="24"/>
        </w:numPr>
        <w:spacing w:before="120" w:after="120" w:line="288" w:lineRule="auto"/>
        <w:ind w:left="0"/>
        <w:jc w:val="left"/>
      </w:pPr>
      <w:r>
        <w:rPr>
          <w:rFonts w:ascii="Arial" w:hAnsi="Arial" w:eastAsia="等线" w:cs="Arial"/>
          <w:sz w:val="22"/>
        </w:rPr>
        <w:t>Dividing work on an individual assignment among multiple people and submitting the combined work as one's own.</w:t>
      </w:r>
    </w:p>
    <w:p w14:paraId="5184B0A6">
      <w:pPr>
        <w:spacing w:before="300" w:after="120" w:line="288" w:lineRule="auto"/>
        <w:ind w:left="0"/>
        <w:jc w:val="left"/>
        <w:outlineLvl w:val="2"/>
      </w:pPr>
      <w:bookmarkStart w:id="8" w:name="heading_8"/>
      <w:r>
        <w:rPr>
          <w:rFonts w:ascii="Arial" w:hAnsi="Arial" w:eastAsia="等线" w:cs="Arial"/>
          <w:b/>
          <w:sz w:val="30"/>
        </w:rPr>
        <w:t>3.5 Duplicate Submission</w:t>
      </w:r>
      <w:bookmarkEnd w:id="8"/>
    </w:p>
    <w:p w14:paraId="3BFBFB70">
      <w:pPr>
        <w:spacing w:before="120" w:after="120" w:line="288" w:lineRule="auto"/>
        <w:ind w:left="0"/>
        <w:jc w:val="left"/>
      </w:pPr>
      <w:r>
        <w:rPr>
          <w:rFonts w:ascii="Arial" w:hAnsi="Arial" w:eastAsia="等线" w:cs="Arial"/>
          <w:sz w:val="22"/>
        </w:rPr>
        <w:t>Duplicate submission involves submitting the same or substantially similar work for credit in multiple courses or academic programs without prior written approval from all relevant instructors. This includes:</w:t>
      </w:r>
    </w:p>
    <w:p w14:paraId="17333502">
      <w:pPr>
        <w:numPr>
          <w:ilvl w:val="0"/>
          <w:numId w:val="25"/>
        </w:numPr>
        <w:spacing w:before="120" w:after="120" w:line="288" w:lineRule="auto"/>
        <w:ind w:left="0"/>
        <w:jc w:val="left"/>
      </w:pPr>
      <w:r>
        <w:rPr>
          <w:rFonts w:ascii="Arial" w:hAnsi="Arial" w:eastAsia="等线" w:cs="Arial"/>
          <w:sz w:val="22"/>
        </w:rPr>
        <w:t>Submitting a paper, project, or thesis that was previously submitted for another course at HKU or another institution.</w:t>
      </w:r>
    </w:p>
    <w:p w14:paraId="56A39B7D">
      <w:pPr>
        <w:numPr>
          <w:ilvl w:val="0"/>
          <w:numId w:val="26"/>
        </w:numPr>
        <w:spacing w:before="120" w:after="120" w:line="288" w:lineRule="auto"/>
        <w:ind w:left="0"/>
        <w:jc w:val="left"/>
      </w:pPr>
      <w:r>
        <w:rPr>
          <w:rFonts w:ascii="Arial" w:hAnsi="Arial" w:eastAsia="等线" w:cs="Arial"/>
          <w:sz w:val="22"/>
        </w:rPr>
        <w:t>Reusing large portions of a previous assignment (e.g., more than 30% of the content) in a new assignment without citation and instructor approval.</w:t>
      </w:r>
    </w:p>
    <w:p w14:paraId="0E7B63E2">
      <w:pPr>
        <w:spacing w:before="300" w:after="120" w:line="288" w:lineRule="auto"/>
        <w:ind w:left="0"/>
        <w:jc w:val="left"/>
        <w:outlineLvl w:val="2"/>
      </w:pPr>
      <w:bookmarkStart w:id="9" w:name="heading_9"/>
      <w:r>
        <w:rPr>
          <w:rFonts w:ascii="Arial" w:hAnsi="Arial" w:eastAsia="等线" w:cs="Arial"/>
          <w:b/>
          <w:sz w:val="30"/>
        </w:rPr>
        <w:t>3.6 Misconduct in Research</w:t>
      </w:r>
      <w:bookmarkEnd w:id="9"/>
    </w:p>
    <w:p w14:paraId="6FBB4B90">
      <w:pPr>
        <w:spacing w:before="120" w:after="120" w:line="288" w:lineRule="auto"/>
        <w:ind w:left="0"/>
        <w:jc w:val="left"/>
      </w:pPr>
      <w:r>
        <w:rPr>
          <w:rFonts w:ascii="Arial" w:hAnsi="Arial" w:eastAsia="等线" w:cs="Arial"/>
          <w:sz w:val="22"/>
        </w:rPr>
        <w:t>For research students (MPhil, PhD, and research-based master's students), academic misconduct also includes violations related to research integrity, such as:</w:t>
      </w:r>
    </w:p>
    <w:p w14:paraId="7890C4C5">
      <w:pPr>
        <w:numPr>
          <w:ilvl w:val="0"/>
          <w:numId w:val="27"/>
        </w:numPr>
        <w:spacing w:before="120" w:after="120" w:line="288" w:lineRule="auto"/>
        <w:ind w:left="0"/>
        <w:jc w:val="left"/>
      </w:pPr>
      <w:r>
        <w:rPr>
          <w:rFonts w:ascii="Arial" w:hAnsi="Arial" w:eastAsia="等线" w:cs="Arial"/>
          <w:sz w:val="22"/>
        </w:rPr>
        <w:t>Misconduct in human or animal research (e.g., violating ethical approval conditions, failing to obtain informed consent).</w:t>
      </w:r>
    </w:p>
    <w:p w14:paraId="400298AF">
      <w:pPr>
        <w:numPr>
          <w:ilvl w:val="0"/>
          <w:numId w:val="28"/>
        </w:numPr>
        <w:spacing w:before="120" w:after="120" w:line="288" w:lineRule="auto"/>
        <w:ind w:left="0"/>
        <w:jc w:val="left"/>
      </w:pPr>
      <w:r>
        <w:rPr>
          <w:rFonts w:ascii="Arial" w:hAnsi="Arial" w:eastAsia="等线" w:cs="Arial"/>
          <w:sz w:val="22"/>
        </w:rPr>
        <w:t>Misappropriation of research funds or resources for unauthorized purposes.</w:t>
      </w:r>
    </w:p>
    <w:p w14:paraId="6AE92304">
      <w:pPr>
        <w:numPr>
          <w:ilvl w:val="0"/>
          <w:numId w:val="29"/>
        </w:numPr>
        <w:spacing w:before="120" w:after="120" w:line="288" w:lineRule="auto"/>
        <w:ind w:left="0"/>
        <w:jc w:val="left"/>
      </w:pPr>
      <w:r>
        <w:rPr>
          <w:rFonts w:ascii="Arial" w:hAnsi="Arial" w:eastAsia="等线" w:cs="Arial"/>
          <w:sz w:val="22"/>
        </w:rPr>
        <w:t>Sabotaging the research of others (e.g., tampering with experiments, destroying data).</w:t>
      </w:r>
    </w:p>
    <w:p w14:paraId="6782F6F7">
      <w:pPr>
        <w:numPr>
          <w:ilvl w:val="0"/>
          <w:numId w:val="30"/>
        </w:numPr>
        <w:spacing w:before="120" w:after="120" w:line="288" w:lineRule="auto"/>
        <w:ind w:left="0"/>
        <w:jc w:val="left"/>
      </w:pPr>
      <w:r>
        <w:rPr>
          <w:rFonts w:ascii="Arial" w:hAnsi="Arial" w:eastAsia="等线" w:cs="Arial"/>
          <w:sz w:val="22"/>
        </w:rPr>
        <w:t>Failure to disclose conflicts of interest in research publications or presentations.</w:t>
      </w:r>
    </w:p>
    <w:p w14:paraId="70FE9080">
      <w:pPr>
        <w:numPr>
          <w:ilvl w:val="0"/>
          <w:numId w:val="31"/>
        </w:numPr>
        <w:spacing w:before="120" w:after="120" w:line="288" w:lineRule="auto"/>
        <w:ind w:left="0"/>
        <w:jc w:val="left"/>
      </w:pPr>
      <w:r>
        <w:rPr>
          <w:rFonts w:ascii="Arial" w:hAnsi="Arial" w:eastAsia="等线" w:cs="Arial"/>
          <w:sz w:val="22"/>
        </w:rPr>
        <w:t>Authorship misconduct (e.g., including unqualified individuals as authors, excluding key contributors, or selling authorship).</w:t>
      </w:r>
    </w:p>
    <w:p w14:paraId="590657E4">
      <w:pPr>
        <w:spacing w:before="320" w:after="120" w:line="288" w:lineRule="auto"/>
        <w:ind w:left="0"/>
        <w:jc w:val="left"/>
        <w:outlineLvl w:val="1"/>
      </w:pPr>
      <w:bookmarkStart w:id="10" w:name="heading_10"/>
      <w:r>
        <w:rPr>
          <w:rFonts w:ascii="Arial" w:hAnsi="Arial" w:eastAsia="等线" w:cs="Arial"/>
          <w:b/>
          <w:sz w:val="32"/>
        </w:rPr>
        <w:t>4. Procedures for Addressing Academic Misconduct</w:t>
      </w:r>
      <w:bookmarkEnd w:id="10"/>
    </w:p>
    <w:p w14:paraId="0106303C">
      <w:pPr>
        <w:spacing w:before="300" w:after="120" w:line="288" w:lineRule="auto"/>
        <w:ind w:left="0"/>
        <w:jc w:val="left"/>
        <w:outlineLvl w:val="2"/>
      </w:pPr>
      <w:bookmarkStart w:id="11" w:name="heading_11"/>
      <w:r>
        <w:rPr>
          <w:rFonts w:ascii="Arial" w:hAnsi="Arial" w:eastAsia="等线" w:cs="Arial"/>
          <w:b/>
          <w:sz w:val="30"/>
        </w:rPr>
        <w:t>4.1 Reporting and Initial Investigation</w:t>
      </w:r>
      <w:bookmarkEnd w:id="11"/>
    </w:p>
    <w:p w14:paraId="11B64BFF">
      <w:pPr>
        <w:numPr>
          <w:ilvl w:val="0"/>
          <w:numId w:val="32"/>
        </w:numPr>
        <w:spacing w:before="120" w:after="120" w:line="288" w:lineRule="auto"/>
        <w:ind w:left="0"/>
        <w:jc w:val="left"/>
      </w:pPr>
      <w:r>
        <w:rPr>
          <w:rFonts w:ascii="Arial" w:hAnsi="Arial" w:eastAsia="等线" w:cs="Arial"/>
          <w:b/>
          <w:sz w:val="22"/>
        </w:rPr>
        <w:t>Reporting</w:t>
      </w:r>
      <w:r>
        <w:rPr>
          <w:rFonts w:ascii="Arial" w:hAnsi="Arial" w:eastAsia="等线" w:cs="Arial"/>
          <w:sz w:val="22"/>
        </w:rPr>
        <w:t>: Instructors, teaching assistants, or other staff who suspect academic misconduct shall submit a written report to the Head of the relevant academic department within 5 working days of discovering the suspected violation. The report shall include evidence (e.g., copies of submitted work, source materials, witness statements).</w:t>
      </w:r>
    </w:p>
    <w:p w14:paraId="7EE8201F">
      <w:pPr>
        <w:numPr>
          <w:ilvl w:val="0"/>
          <w:numId w:val="33"/>
        </w:numPr>
        <w:spacing w:before="120" w:after="120" w:line="288" w:lineRule="auto"/>
        <w:ind w:left="0"/>
        <w:jc w:val="left"/>
      </w:pPr>
      <w:r>
        <w:rPr>
          <w:rFonts w:ascii="Arial" w:hAnsi="Arial" w:eastAsia="等线" w:cs="Arial"/>
          <w:b/>
          <w:sz w:val="22"/>
        </w:rPr>
        <w:t>Initial Review</w:t>
      </w:r>
      <w:r>
        <w:rPr>
          <w:rFonts w:ascii="Arial" w:hAnsi="Arial" w:eastAsia="等线" w:cs="Arial"/>
          <w:sz w:val="22"/>
        </w:rPr>
        <w:t>: The Head of Department shall review the report and evidence within 3 working days. If the allegation is deemed credible, the Head shall notify the student in writing, provide a copy of the report and evidence, and invite the student to respond in writing within 7 working days.</w:t>
      </w:r>
    </w:p>
    <w:p w14:paraId="2B906F54">
      <w:pPr>
        <w:numPr>
          <w:ilvl w:val="0"/>
          <w:numId w:val="34"/>
        </w:numPr>
        <w:spacing w:before="120" w:after="120" w:line="288" w:lineRule="auto"/>
        <w:ind w:left="0"/>
        <w:jc w:val="left"/>
      </w:pPr>
      <w:r>
        <w:rPr>
          <w:rFonts w:ascii="Arial" w:hAnsi="Arial" w:eastAsia="等线" w:cs="Arial"/>
          <w:b/>
          <w:sz w:val="22"/>
        </w:rPr>
        <w:t>Preliminary Decision</w:t>
      </w:r>
      <w:r>
        <w:rPr>
          <w:rFonts w:ascii="Arial" w:hAnsi="Arial" w:eastAsia="等线" w:cs="Arial"/>
          <w:sz w:val="22"/>
        </w:rPr>
        <w:t>: After reviewing the student's response, the Head of Department shall make a preliminary decision: (a) dismiss the allegation if no misconduct is found; (b) resolve the matter informally (for minor first offenses, see Section 5.1); or (c) refer the case to the Faculty Academic Integrity Committee for formal investigation.</w:t>
      </w:r>
    </w:p>
    <w:p w14:paraId="64E2C340">
      <w:pPr>
        <w:spacing w:before="300" w:after="120" w:line="288" w:lineRule="auto"/>
        <w:ind w:left="0"/>
        <w:jc w:val="left"/>
        <w:outlineLvl w:val="2"/>
      </w:pPr>
      <w:bookmarkStart w:id="12" w:name="heading_12"/>
      <w:r>
        <w:rPr>
          <w:rFonts w:ascii="Arial" w:hAnsi="Arial" w:eastAsia="等线" w:cs="Arial"/>
          <w:b/>
          <w:sz w:val="30"/>
        </w:rPr>
        <w:t>4.2 Formal Investigation</w:t>
      </w:r>
      <w:bookmarkEnd w:id="12"/>
    </w:p>
    <w:p w14:paraId="2DF323CC">
      <w:pPr>
        <w:numPr>
          <w:ilvl w:val="0"/>
          <w:numId w:val="35"/>
        </w:numPr>
        <w:spacing w:before="120" w:after="120" w:line="288" w:lineRule="auto"/>
        <w:ind w:left="0"/>
        <w:jc w:val="left"/>
      </w:pPr>
      <w:r>
        <w:rPr>
          <w:rFonts w:ascii="Arial" w:hAnsi="Arial" w:eastAsia="等线" w:cs="Arial"/>
          <w:b/>
          <w:sz w:val="22"/>
        </w:rPr>
        <w:t>Committee Formation</w:t>
      </w:r>
      <w:r>
        <w:rPr>
          <w:rFonts w:ascii="Arial" w:hAnsi="Arial" w:eastAsia="等线" w:cs="Arial"/>
          <w:sz w:val="22"/>
        </w:rPr>
        <w:t>: The Faculty Academic Integrity Committee shall consist of 3-5 faculty members (including at least one from outside the student's program) and one student representative. The Committee shall elect a chairperson to oversee the process.</w:t>
      </w:r>
    </w:p>
    <w:p w14:paraId="086C85F9">
      <w:pPr>
        <w:numPr>
          <w:ilvl w:val="0"/>
          <w:numId w:val="36"/>
        </w:numPr>
        <w:spacing w:before="120" w:after="120" w:line="288" w:lineRule="auto"/>
        <w:ind w:left="0"/>
        <w:jc w:val="left"/>
      </w:pPr>
      <w:r>
        <w:rPr>
          <w:rFonts w:ascii="Arial" w:hAnsi="Arial" w:eastAsia="等线" w:cs="Arial"/>
          <w:b/>
          <w:sz w:val="22"/>
        </w:rPr>
        <w:t>Investigation Process</w:t>
      </w:r>
      <w:r>
        <w:rPr>
          <w:rFonts w:ascii="Arial" w:hAnsi="Arial" w:eastAsia="等线" w:cs="Arial"/>
          <w:sz w:val="22"/>
        </w:rPr>
        <w:t>: The Committee shall conduct a fair and impartial investigation, which may include: (a) reviewing all evidence; (b) interviewing the student, instructor, and witnesses; (c) consulting with academic integrity experts (e.g., librarians, citation specialists).</w:t>
      </w:r>
    </w:p>
    <w:p w14:paraId="769DDC7A">
      <w:pPr>
        <w:numPr>
          <w:ilvl w:val="0"/>
          <w:numId w:val="37"/>
        </w:numPr>
        <w:spacing w:before="120" w:after="120" w:line="288" w:lineRule="auto"/>
        <w:ind w:left="0"/>
        <w:jc w:val="left"/>
      </w:pPr>
      <w:r>
        <w:rPr>
          <w:rFonts w:ascii="Arial" w:hAnsi="Arial" w:eastAsia="等线" w:cs="Arial"/>
          <w:b/>
          <w:sz w:val="22"/>
        </w:rPr>
        <w:t>Hearing</w:t>
      </w:r>
      <w:r>
        <w:rPr>
          <w:rFonts w:ascii="Arial" w:hAnsi="Arial" w:eastAsia="等线" w:cs="Arial"/>
          <w:sz w:val="22"/>
        </w:rPr>
        <w:t>: The student shall have the right to attend a hearing, present evidence, call witnesses, and be accompanied by a support person (e.g., a faculty member or student representative) who does not participate in the proceedings.</w:t>
      </w:r>
    </w:p>
    <w:p w14:paraId="02B794DB">
      <w:pPr>
        <w:numPr>
          <w:ilvl w:val="0"/>
          <w:numId w:val="38"/>
        </w:numPr>
        <w:spacing w:before="120" w:after="120" w:line="288" w:lineRule="auto"/>
        <w:ind w:left="0"/>
        <w:jc w:val="left"/>
      </w:pPr>
      <w:r>
        <w:rPr>
          <w:rFonts w:ascii="Arial" w:hAnsi="Arial" w:eastAsia="等线" w:cs="Arial"/>
          <w:b/>
          <w:sz w:val="22"/>
        </w:rPr>
        <w:t>Decision</w:t>
      </w:r>
      <w:r>
        <w:rPr>
          <w:rFonts w:ascii="Arial" w:hAnsi="Arial" w:eastAsia="等线" w:cs="Arial"/>
          <w:sz w:val="22"/>
        </w:rPr>
        <w:t>: The Committee shall make a majority decision (guilty or not guilty) within 15 working days of the hearing. The decision shall be based on the balance of probabilities and include a written explanation of the findings and evidence.</w:t>
      </w:r>
    </w:p>
    <w:p w14:paraId="2483B30F">
      <w:pPr>
        <w:spacing w:before="300" w:after="120" w:line="288" w:lineRule="auto"/>
        <w:ind w:left="0"/>
        <w:jc w:val="left"/>
        <w:outlineLvl w:val="2"/>
      </w:pPr>
      <w:bookmarkStart w:id="13" w:name="heading_13"/>
      <w:r>
        <w:rPr>
          <w:rFonts w:ascii="Arial" w:hAnsi="Arial" w:eastAsia="等线" w:cs="Arial"/>
          <w:b/>
          <w:sz w:val="30"/>
        </w:rPr>
        <w:t>4.3 Notification of Outcome</w:t>
      </w:r>
      <w:bookmarkEnd w:id="13"/>
    </w:p>
    <w:p w14:paraId="495DAA45">
      <w:pPr>
        <w:spacing w:before="120" w:after="120" w:line="288" w:lineRule="auto"/>
        <w:ind w:left="0"/>
        <w:jc w:val="left"/>
      </w:pPr>
      <w:r>
        <w:rPr>
          <w:rFonts w:ascii="Arial" w:hAnsi="Arial" w:eastAsia="等线" w:cs="Arial"/>
          <w:sz w:val="22"/>
        </w:rPr>
        <w:t>The student and instructor shall be notified in writing of the Committee's decision within 3 working days. The notification shall include: (1) the finding (guilty or not guilty); (2) the sanction (if guilty); (3) the rationale for the decision; and (4) information about the appeal process.</w:t>
      </w:r>
    </w:p>
    <w:p w14:paraId="4DE9F85D">
      <w:pPr>
        <w:spacing w:before="320" w:after="120" w:line="288" w:lineRule="auto"/>
        <w:ind w:left="0"/>
        <w:jc w:val="left"/>
        <w:outlineLvl w:val="1"/>
      </w:pPr>
      <w:bookmarkStart w:id="14" w:name="heading_14"/>
      <w:r>
        <w:rPr>
          <w:rFonts w:ascii="Arial" w:hAnsi="Arial" w:eastAsia="等线" w:cs="Arial"/>
          <w:b/>
          <w:sz w:val="32"/>
        </w:rPr>
        <w:t>5. Sanctions for Academic Misconduct</w:t>
      </w:r>
      <w:bookmarkEnd w:id="14"/>
    </w:p>
    <w:p w14:paraId="4EA77B88">
      <w:pPr>
        <w:spacing w:before="120" w:after="120" w:line="288" w:lineRule="auto"/>
        <w:ind w:left="0"/>
        <w:jc w:val="left"/>
      </w:pPr>
      <w:r>
        <w:rPr>
          <w:rFonts w:ascii="Arial" w:hAnsi="Arial" w:eastAsia="等线" w:cs="Arial"/>
          <w:sz w:val="22"/>
        </w:rPr>
        <w:t>Sanctions shall be proportionate to the severity of the misconduct, the student's academic record, and whether the violation was intentional or unintentional. Sanctions are cumulative, meaning prior violations will result in more severe penalties. The following sanctions are listed in ascending order of severity:</w:t>
      </w:r>
    </w:p>
    <w:p w14:paraId="323F48A1">
      <w:pPr>
        <w:spacing w:before="300" w:after="120" w:line="288" w:lineRule="auto"/>
        <w:ind w:left="0"/>
        <w:jc w:val="left"/>
        <w:outlineLvl w:val="2"/>
      </w:pPr>
      <w:bookmarkStart w:id="15" w:name="heading_15"/>
      <w:r>
        <w:rPr>
          <w:rFonts w:ascii="Arial" w:hAnsi="Arial" w:eastAsia="等线" w:cs="Arial"/>
          <w:b/>
          <w:sz w:val="30"/>
        </w:rPr>
        <w:t>5.1 Minor Misconduct (First Offense)</w:t>
      </w:r>
      <w:bookmarkEnd w:id="15"/>
    </w:p>
    <w:p w14:paraId="3ED53CA7">
      <w:pPr>
        <w:spacing w:before="120" w:after="120" w:line="288" w:lineRule="auto"/>
        <w:ind w:left="0"/>
        <w:jc w:val="left"/>
      </w:pPr>
      <w:r>
        <w:rPr>
          <w:rFonts w:ascii="Arial" w:hAnsi="Arial" w:eastAsia="等线" w:cs="Arial"/>
          <w:sz w:val="22"/>
        </w:rPr>
        <w:t>For unintentional or minor violations (e.g., improper citation due to ignorance of standards, accidental reuse of a small portion of previous work), the Head of Department may resolve the matter informally with:</w:t>
      </w:r>
    </w:p>
    <w:p w14:paraId="1137B539">
      <w:pPr>
        <w:numPr>
          <w:ilvl w:val="0"/>
          <w:numId w:val="39"/>
        </w:numPr>
        <w:spacing w:before="120" w:after="120" w:line="288" w:lineRule="auto"/>
        <w:ind w:left="0"/>
        <w:jc w:val="left"/>
      </w:pPr>
      <w:r>
        <w:rPr>
          <w:rFonts w:ascii="Arial" w:hAnsi="Arial" w:eastAsia="等线" w:cs="Arial"/>
          <w:sz w:val="22"/>
        </w:rPr>
        <w:t>A verbal or written warning.</w:t>
      </w:r>
    </w:p>
    <w:p w14:paraId="5F6D3346">
      <w:pPr>
        <w:numPr>
          <w:ilvl w:val="0"/>
          <w:numId w:val="40"/>
        </w:numPr>
        <w:spacing w:before="120" w:after="120" w:line="288" w:lineRule="auto"/>
        <w:ind w:left="0"/>
        <w:jc w:val="left"/>
      </w:pPr>
      <w:r>
        <w:rPr>
          <w:rFonts w:ascii="Arial" w:hAnsi="Arial" w:eastAsia="等线" w:cs="Arial"/>
          <w:sz w:val="22"/>
        </w:rPr>
        <w:t>Required participation in an academic integrity workshop or tutorial.</w:t>
      </w:r>
    </w:p>
    <w:p w14:paraId="344CA04F">
      <w:pPr>
        <w:numPr>
          <w:ilvl w:val="0"/>
          <w:numId w:val="41"/>
        </w:numPr>
        <w:spacing w:before="120" w:after="120" w:line="288" w:lineRule="auto"/>
        <w:ind w:left="0"/>
        <w:jc w:val="left"/>
      </w:pPr>
      <w:r>
        <w:rPr>
          <w:rFonts w:ascii="Arial" w:hAnsi="Arial" w:eastAsia="等线" w:cs="Arial"/>
          <w:sz w:val="22"/>
        </w:rPr>
        <w:t>A requirement to revise and resubmit the work with a grade penalty (e.g., a 10-20% deduction).</w:t>
      </w:r>
    </w:p>
    <w:p w14:paraId="28F2364C">
      <w:pPr>
        <w:spacing w:before="300" w:after="120" w:line="288" w:lineRule="auto"/>
        <w:ind w:left="0"/>
        <w:jc w:val="left"/>
        <w:outlineLvl w:val="2"/>
      </w:pPr>
      <w:bookmarkStart w:id="16" w:name="heading_16"/>
      <w:r>
        <w:rPr>
          <w:rFonts w:ascii="Arial" w:hAnsi="Arial" w:eastAsia="等线" w:cs="Arial"/>
          <w:b/>
          <w:sz w:val="30"/>
        </w:rPr>
        <w:t>5.2 Moderate Misconduct</w:t>
      </w:r>
      <w:bookmarkEnd w:id="16"/>
    </w:p>
    <w:p w14:paraId="62023235">
      <w:pPr>
        <w:spacing w:before="120" w:after="120" w:line="288" w:lineRule="auto"/>
        <w:ind w:left="0"/>
        <w:jc w:val="left"/>
      </w:pPr>
      <w:r>
        <w:rPr>
          <w:rFonts w:ascii="Arial" w:hAnsi="Arial" w:eastAsia="等线" w:cs="Arial"/>
          <w:sz w:val="22"/>
        </w:rPr>
        <w:t>For intentional but limited violations (e.g., partial plagiarism, unauthorized collaboration on a minor assignment, possession of unauthorized materials during a quiz), the Faculty Committee may impose:</w:t>
      </w:r>
    </w:p>
    <w:p w14:paraId="6608D236">
      <w:pPr>
        <w:numPr>
          <w:ilvl w:val="0"/>
          <w:numId w:val="42"/>
        </w:numPr>
        <w:spacing w:before="120" w:after="120" w:line="288" w:lineRule="auto"/>
        <w:ind w:left="0"/>
        <w:jc w:val="left"/>
      </w:pPr>
      <w:r>
        <w:rPr>
          <w:rFonts w:ascii="Arial" w:hAnsi="Arial" w:eastAsia="等线" w:cs="Arial"/>
          <w:sz w:val="22"/>
        </w:rPr>
        <w:t>A failing grade (F) for the assignment or course.</w:t>
      </w:r>
    </w:p>
    <w:p w14:paraId="54BAE481">
      <w:pPr>
        <w:numPr>
          <w:ilvl w:val="0"/>
          <w:numId w:val="43"/>
        </w:numPr>
        <w:spacing w:before="120" w:after="120" w:line="288" w:lineRule="auto"/>
        <w:ind w:left="0"/>
        <w:jc w:val="left"/>
      </w:pPr>
      <w:r>
        <w:rPr>
          <w:rFonts w:ascii="Arial" w:hAnsi="Arial" w:eastAsia="等线" w:cs="Arial"/>
          <w:sz w:val="22"/>
        </w:rPr>
        <w:t>A written warning placed in the student's academic file for 2 academic years.</w:t>
      </w:r>
    </w:p>
    <w:p w14:paraId="1F40674A">
      <w:pPr>
        <w:numPr>
          <w:ilvl w:val="0"/>
          <w:numId w:val="44"/>
        </w:numPr>
        <w:spacing w:before="120" w:after="120" w:line="288" w:lineRule="auto"/>
        <w:ind w:left="0"/>
        <w:jc w:val="left"/>
      </w:pPr>
      <w:r>
        <w:rPr>
          <w:rFonts w:ascii="Arial" w:hAnsi="Arial" w:eastAsia="等线" w:cs="Arial"/>
          <w:sz w:val="22"/>
        </w:rPr>
        <w:t>Prohibition from participating in academic honors, scholarships, or student leadership positions for 1 academic year.</w:t>
      </w:r>
    </w:p>
    <w:p w14:paraId="12624802">
      <w:pPr>
        <w:spacing w:before="300" w:after="120" w:line="288" w:lineRule="auto"/>
        <w:ind w:left="0"/>
        <w:jc w:val="left"/>
        <w:outlineLvl w:val="2"/>
      </w:pPr>
      <w:bookmarkStart w:id="17" w:name="heading_17"/>
      <w:r>
        <w:rPr>
          <w:rFonts w:ascii="Arial" w:hAnsi="Arial" w:eastAsia="等线" w:cs="Arial"/>
          <w:b/>
          <w:sz w:val="30"/>
        </w:rPr>
        <w:t>5.3 Severe Misconduct</w:t>
      </w:r>
      <w:bookmarkEnd w:id="17"/>
    </w:p>
    <w:p w14:paraId="3CE00C63">
      <w:pPr>
        <w:spacing w:before="120" w:after="120" w:line="288" w:lineRule="auto"/>
        <w:ind w:left="0"/>
        <w:jc w:val="left"/>
      </w:pPr>
      <w:r>
        <w:rPr>
          <w:rFonts w:ascii="Arial" w:hAnsi="Arial" w:eastAsia="等线" w:cs="Arial"/>
          <w:sz w:val="22"/>
        </w:rPr>
        <w:t>For serious or repeated violations (e.g., extensive plagiarism, cheating in a final exam, fabrication of research data, second offense), the Faculty Committee or Senate may impose:</w:t>
      </w:r>
    </w:p>
    <w:p w14:paraId="20BB41D0">
      <w:pPr>
        <w:numPr>
          <w:ilvl w:val="0"/>
          <w:numId w:val="45"/>
        </w:numPr>
        <w:spacing w:before="120" w:after="120" w:line="288" w:lineRule="auto"/>
        <w:ind w:left="0"/>
        <w:jc w:val="left"/>
      </w:pPr>
      <w:r>
        <w:rPr>
          <w:rFonts w:ascii="Arial" w:hAnsi="Arial" w:eastAsia="等线" w:cs="Arial"/>
          <w:sz w:val="22"/>
        </w:rPr>
        <w:t>A failing grade for the course with no opportunity to retake.</w:t>
      </w:r>
    </w:p>
    <w:p w14:paraId="27C296C6">
      <w:pPr>
        <w:numPr>
          <w:ilvl w:val="0"/>
          <w:numId w:val="46"/>
        </w:numPr>
        <w:spacing w:before="120" w:after="120" w:line="288" w:lineRule="auto"/>
        <w:ind w:left="0"/>
        <w:jc w:val="left"/>
      </w:pPr>
      <w:r>
        <w:rPr>
          <w:rFonts w:ascii="Arial" w:hAnsi="Arial" w:eastAsia="等线" w:cs="Arial"/>
          <w:sz w:val="22"/>
        </w:rPr>
        <w:t>Probation for 1-2 academic years (during which any further misconduct will result in dismissal).</w:t>
      </w:r>
    </w:p>
    <w:p w14:paraId="57DA2CBF">
      <w:pPr>
        <w:numPr>
          <w:ilvl w:val="0"/>
          <w:numId w:val="47"/>
        </w:numPr>
        <w:spacing w:before="120" w:after="120" w:line="288" w:lineRule="auto"/>
        <w:ind w:left="0"/>
        <w:jc w:val="left"/>
      </w:pPr>
      <w:r>
        <w:rPr>
          <w:rFonts w:ascii="Arial" w:hAnsi="Arial" w:eastAsia="等线" w:cs="Arial"/>
          <w:sz w:val="22"/>
        </w:rPr>
        <w:t>Suspension from the University for 1-2 semesters.</w:t>
      </w:r>
    </w:p>
    <w:p w14:paraId="5927FD1B">
      <w:pPr>
        <w:numPr>
          <w:ilvl w:val="0"/>
          <w:numId w:val="48"/>
        </w:numPr>
        <w:spacing w:before="120" w:after="120" w:line="288" w:lineRule="auto"/>
        <w:ind w:left="0"/>
        <w:jc w:val="left"/>
      </w:pPr>
      <w:r>
        <w:rPr>
          <w:rFonts w:ascii="Arial" w:hAnsi="Arial" w:eastAsia="等线" w:cs="Arial"/>
          <w:sz w:val="22"/>
        </w:rPr>
        <w:t>Dismissal from the program or University.</w:t>
      </w:r>
    </w:p>
    <w:p w14:paraId="4444697A">
      <w:pPr>
        <w:numPr>
          <w:ilvl w:val="0"/>
          <w:numId w:val="49"/>
        </w:numPr>
        <w:spacing w:before="120" w:after="120" w:line="288" w:lineRule="auto"/>
        <w:ind w:left="0"/>
        <w:jc w:val="left"/>
      </w:pPr>
      <w:r>
        <w:rPr>
          <w:rFonts w:ascii="Arial" w:hAnsi="Arial" w:eastAsia="等线" w:cs="Arial"/>
          <w:sz w:val="22"/>
        </w:rPr>
        <w:t>Revocation of a degree (for graduates found to have committed misconduct during their studies).</w:t>
      </w:r>
    </w:p>
    <w:p w14:paraId="05825510">
      <w:pPr>
        <w:spacing w:before="300" w:after="120" w:line="288" w:lineRule="auto"/>
        <w:ind w:left="0"/>
        <w:jc w:val="left"/>
        <w:outlineLvl w:val="2"/>
      </w:pPr>
      <w:bookmarkStart w:id="18" w:name="heading_18"/>
      <w:r>
        <w:rPr>
          <w:rFonts w:ascii="Arial" w:hAnsi="Arial" w:eastAsia="等线" w:cs="Arial"/>
          <w:b/>
          <w:sz w:val="30"/>
        </w:rPr>
        <w:t>5.4 Aggravating and Mitigating Factors</w:t>
      </w:r>
      <w:bookmarkEnd w:id="18"/>
    </w:p>
    <w:p w14:paraId="49301429">
      <w:pPr>
        <w:spacing w:before="120" w:after="120" w:line="288" w:lineRule="auto"/>
        <w:ind w:left="0"/>
        <w:jc w:val="left"/>
      </w:pPr>
      <w:r>
        <w:rPr>
          <w:rFonts w:ascii="Arial" w:hAnsi="Arial" w:eastAsia="等线" w:cs="Arial"/>
          <w:sz w:val="22"/>
        </w:rPr>
        <w:t>The Committee shall consider the following factors when determining sanctions:</w:t>
      </w:r>
    </w:p>
    <w:p w14:paraId="57EAC719">
      <w:pPr>
        <w:numPr>
          <w:ilvl w:val="0"/>
          <w:numId w:val="50"/>
        </w:numPr>
        <w:spacing w:before="120" w:after="120" w:line="288" w:lineRule="auto"/>
        <w:ind w:left="0"/>
        <w:jc w:val="left"/>
      </w:pPr>
      <w:r>
        <w:rPr>
          <w:rFonts w:ascii="Arial" w:hAnsi="Arial" w:eastAsia="等线" w:cs="Arial"/>
          <w:b/>
          <w:sz w:val="22"/>
        </w:rPr>
        <w:t>Aggravating Factors</w:t>
      </w:r>
      <w:r>
        <w:rPr>
          <w:rFonts w:ascii="Arial" w:hAnsi="Arial" w:eastAsia="等线" w:cs="Arial"/>
          <w:sz w:val="22"/>
        </w:rPr>
        <w:t>: Intentional misconduct, concealment of evidence, influence on others to commit misconduct, or misconduct that harms the University's reputation.</w:t>
      </w:r>
    </w:p>
    <w:p w14:paraId="28693A68">
      <w:pPr>
        <w:numPr>
          <w:ilvl w:val="0"/>
          <w:numId w:val="51"/>
        </w:numPr>
        <w:spacing w:before="120" w:after="120" w:line="288" w:lineRule="auto"/>
        <w:ind w:left="0"/>
        <w:jc w:val="left"/>
      </w:pPr>
      <w:r>
        <w:rPr>
          <w:rFonts w:ascii="Arial" w:hAnsi="Arial" w:eastAsia="等线" w:cs="Arial"/>
          <w:b/>
          <w:sz w:val="22"/>
        </w:rPr>
        <w:t>Mitigating Factors</w:t>
      </w:r>
      <w:r>
        <w:rPr>
          <w:rFonts w:ascii="Arial" w:hAnsi="Arial" w:eastAsia="等线" w:cs="Arial"/>
          <w:sz w:val="22"/>
        </w:rPr>
        <w:t>: Unintentional misconduct due to lack of knowledge, prompt admission of guilt, cooperation with the investigation, or extenuating personal circumstances (supported by evidence).</w:t>
      </w:r>
    </w:p>
    <w:p w14:paraId="6111CC3E">
      <w:pPr>
        <w:spacing w:before="320" w:after="120" w:line="288" w:lineRule="auto"/>
        <w:ind w:left="0"/>
        <w:jc w:val="left"/>
        <w:outlineLvl w:val="1"/>
      </w:pPr>
      <w:bookmarkStart w:id="19" w:name="heading_19"/>
      <w:r>
        <w:rPr>
          <w:rFonts w:ascii="Arial" w:hAnsi="Arial" w:eastAsia="等线" w:cs="Arial"/>
          <w:b/>
          <w:sz w:val="32"/>
        </w:rPr>
        <w:t>6. Appeal Process</w:t>
      </w:r>
      <w:bookmarkEnd w:id="19"/>
    </w:p>
    <w:p w14:paraId="2F666BD6">
      <w:pPr>
        <w:spacing w:before="120" w:after="120" w:line="288" w:lineRule="auto"/>
        <w:ind w:left="0"/>
        <w:jc w:val="left"/>
      </w:pPr>
      <w:r>
        <w:rPr>
          <w:rFonts w:ascii="Arial" w:hAnsi="Arial" w:eastAsia="等线" w:cs="Arial"/>
          <w:sz w:val="22"/>
        </w:rPr>
        <w:t>Students who disagree with the decision of the Faculty Academic Integrity Committee may file an appeal to the University Academic Integrity Appeal Committee within 10 working days of receiving the decision. The appeal must be in writing and include:</w:t>
      </w:r>
    </w:p>
    <w:p w14:paraId="16A6330C">
      <w:pPr>
        <w:numPr>
          <w:ilvl w:val="0"/>
          <w:numId w:val="52"/>
        </w:numPr>
        <w:spacing w:before="120" w:after="120" w:line="288" w:lineRule="auto"/>
        <w:ind w:left="0"/>
        <w:jc w:val="left"/>
      </w:pPr>
      <w:r>
        <w:rPr>
          <w:rFonts w:ascii="Arial" w:hAnsi="Arial" w:eastAsia="等线" w:cs="Arial"/>
          <w:sz w:val="22"/>
        </w:rPr>
        <w:t>A clear statement of the grounds for appeal (limited to: (a) procedural irregularities that affected the outcome; (b) new evidence not previously available that could change the decision; or (c) the sanction is disproportionate to the misconduct).</w:t>
      </w:r>
    </w:p>
    <w:p w14:paraId="582C80C2">
      <w:pPr>
        <w:numPr>
          <w:ilvl w:val="0"/>
          <w:numId w:val="53"/>
        </w:numPr>
        <w:spacing w:before="120" w:after="120" w:line="288" w:lineRule="auto"/>
        <w:ind w:left="0"/>
        <w:jc w:val="left"/>
      </w:pPr>
      <w:r>
        <w:rPr>
          <w:rFonts w:ascii="Arial" w:hAnsi="Arial" w:eastAsia="等线" w:cs="Arial"/>
          <w:sz w:val="22"/>
        </w:rPr>
        <w:t>Supporting evidence (e.g., documents, witness statements).</w:t>
      </w:r>
    </w:p>
    <w:p w14:paraId="0225AC6E">
      <w:pPr>
        <w:spacing w:before="120" w:after="120" w:line="288" w:lineRule="auto"/>
        <w:ind w:left="0"/>
        <w:jc w:val="left"/>
      </w:pPr>
      <w:r>
        <w:rPr>
          <w:rFonts w:ascii="Arial" w:hAnsi="Arial" w:eastAsia="等线" w:cs="Arial"/>
          <w:sz w:val="22"/>
        </w:rPr>
        <w:t>The University Appeal Committee shall review the appeal and make a final decision within 20 working days. The Committee may uphold the original decision, modify the sanction, or remand the case to the Faculty Committee for further investigation. The University's decision is final and binding, with no further appeal rights within the institution.</w:t>
      </w:r>
    </w:p>
    <w:p w14:paraId="2315F9E2">
      <w:pPr>
        <w:spacing w:before="320" w:after="120" w:line="288" w:lineRule="auto"/>
        <w:ind w:left="0"/>
        <w:jc w:val="left"/>
        <w:outlineLvl w:val="1"/>
      </w:pPr>
      <w:bookmarkStart w:id="20" w:name="heading_20"/>
      <w:r>
        <w:rPr>
          <w:rFonts w:ascii="Arial" w:hAnsi="Arial" w:eastAsia="等线" w:cs="Arial"/>
          <w:b/>
          <w:sz w:val="32"/>
        </w:rPr>
        <w:t>7. Academic Integrity Education and Support</w:t>
      </w:r>
      <w:bookmarkEnd w:id="20"/>
    </w:p>
    <w:p w14:paraId="54FD5C7D">
      <w:pPr>
        <w:spacing w:before="120" w:after="120" w:line="288" w:lineRule="auto"/>
        <w:ind w:left="0"/>
        <w:jc w:val="left"/>
      </w:pPr>
      <w:r>
        <w:rPr>
          <w:rFonts w:ascii="Arial" w:hAnsi="Arial" w:eastAsia="等线" w:cs="Arial"/>
          <w:sz w:val="22"/>
        </w:rPr>
        <w:t>HKU is committed to supporting students in upholding academic integrity through education and resources. The following services are available to all students:</w:t>
      </w:r>
    </w:p>
    <w:p w14:paraId="533F56A8">
      <w:pPr>
        <w:numPr>
          <w:ilvl w:val="0"/>
          <w:numId w:val="54"/>
        </w:numPr>
        <w:spacing w:before="120" w:after="120" w:line="288" w:lineRule="auto"/>
        <w:ind w:left="0"/>
        <w:jc w:val="left"/>
      </w:pPr>
      <w:r>
        <w:rPr>
          <w:rFonts w:ascii="Arial" w:hAnsi="Arial" w:eastAsia="等线" w:cs="Arial"/>
          <w:b/>
          <w:sz w:val="22"/>
        </w:rPr>
        <w:t>Academic Integrity Workshops</w:t>
      </w:r>
      <w:r>
        <w:rPr>
          <w:rFonts w:ascii="Arial" w:hAnsi="Arial" w:eastAsia="等线" w:cs="Arial"/>
          <w:sz w:val="22"/>
        </w:rPr>
        <w:t>: Organized by the Academic Support Centre and Faculty Libraries, these workshops cover citation standards, paraphrasing, avoiding plagiarism, and research ethics.</w:t>
      </w:r>
    </w:p>
    <w:p w14:paraId="3341394D">
      <w:pPr>
        <w:numPr>
          <w:ilvl w:val="0"/>
          <w:numId w:val="55"/>
        </w:numPr>
        <w:spacing w:before="120" w:after="120" w:line="288" w:lineRule="auto"/>
        <w:ind w:left="0"/>
        <w:jc w:val="left"/>
      </w:pPr>
      <w:r>
        <w:rPr>
          <w:rFonts w:ascii="Arial" w:hAnsi="Arial" w:eastAsia="等线" w:cs="Arial"/>
          <w:b/>
          <w:sz w:val="22"/>
        </w:rPr>
        <w:t>One-on-One Consultations</w:t>
      </w:r>
      <w:r>
        <w:rPr>
          <w:rFonts w:ascii="Arial" w:hAnsi="Arial" w:eastAsia="等线" w:cs="Arial"/>
          <w:sz w:val="22"/>
        </w:rPr>
        <w:t>: Students may book individual sessions with academic skills advisors to review their work and receive feedback on citation and academic writing.</w:t>
      </w:r>
    </w:p>
    <w:p w14:paraId="230C304F">
      <w:pPr>
        <w:numPr>
          <w:ilvl w:val="0"/>
          <w:numId w:val="56"/>
        </w:numPr>
        <w:spacing w:before="120" w:after="120" w:line="288" w:lineRule="auto"/>
        <w:ind w:left="0"/>
        <w:jc w:val="left"/>
      </w:pPr>
      <w:r>
        <w:rPr>
          <w:rFonts w:ascii="Arial" w:hAnsi="Arial" w:eastAsia="等线" w:cs="Arial"/>
          <w:b/>
          <w:sz w:val="22"/>
        </w:rPr>
        <w:t>Online Resources</w:t>
      </w:r>
      <w:r>
        <w:rPr>
          <w:rFonts w:ascii="Arial" w:hAnsi="Arial" w:eastAsia="等线" w:cs="Arial"/>
          <w:sz w:val="22"/>
        </w:rPr>
        <w:t>: The University website provides guides on citation styles (APA, MLA, IEEE, etc.), a plagiarism detection tool (Turnitin) for students to self-check their work, and frequently asked questions about academic integrity.</w:t>
      </w:r>
    </w:p>
    <w:p w14:paraId="27DA5368">
      <w:pPr>
        <w:numPr>
          <w:ilvl w:val="0"/>
          <w:numId w:val="57"/>
        </w:numPr>
        <w:spacing w:before="120" w:after="120" w:line="288" w:lineRule="auto"/>
        <w:ind w:left="0"/>
        <w:jc w:val="left"/>
      </w:pPr>
      <w:r>
        <w:rPr>
          <w:rFonts w:ascii="Arial" w:hAnsi="Arial" w:eastAsia="等线" w:cs="Arial"/>
          <w:b/>
          <w:sz w:val="22"/>
        </w:rPr>
        <w:t>Faculty Guidance</w:t>
      </w:r>
      <w:r>
        <w:rPr>
          <w:rFonts w:ascii="Arial" w:hAnsi="Arial" w:eastAsia="等线" w:cs="Arial"/>
          <w:sz w:val="22"/>
        </w:rPr>
        <w:t>: Instructors shall provide clear guidelines on collaboration, citation, and assessment requirements in their course syllabi and clarify any questions during lectures or office hours.</w:t>
      </w:r>
    </w:p>
    <w:p w14:paraId="3ECE0955">
      <w:pPr>
        <w:spacing w:before="320" w:after="120" w:line="288" w:lineRule="auto"/>
        <w:ind w:left="0"/>
        <w:jc w:val="left"/>
        <w:outlineLvl w:val="1"/>
      </w:pPr>
      <w:bookmarkStart w:id="21" w:name="heading_21"/>
      <w:r>
        <w:rPr>
          <w:rFonts w:ascii="Arial" w:hAnsi="Arial" w:eastAsia="等线" w:cs="Arial"/>
          <w:b/>
          <w:sz w:val="32"/>
        </w:rPr>
        <w:t>8. Supplementary Provisions</w:t>
      </w:r>
      <w:bookmarkEnd w:id="21"/>
    </w:p>
    <w:p w14:paraId="25D4F4C0">
      <w:pPr>
        <w:numPr>
          <w:ilvl w:val="0"/>
          <w:numId w:val="58"/>
        </w:numPr>
        <w:spacing w:before="120" w:after="120" w:line="288" w:lineRule="auto"/>
        <w:ind w:left="0"/>
        <w:jc w:val="left"/>
      </w:pPr>
      <w:r>
        <w:rPr>
          <w:rFonts w:ascii="Arial" w:hAnsi="Arial" w:eastAsia="等线" w:cs="Arial"/>
          <w:sz w:val="22"/>
        </w:rPr>
        <w:t>This Code shall take effect on September 1, 2025, and apply to all academic work submitted on or after that date. For work submitted before this date, the 2024-2025 Academic Integrity Code shall apply.</w:t>
      </w:r>
    </w:p>
    <w:p w14:paraId="5159D800">
      <w:pPr>
        <w:numPr>
          <w:ilvl w:val="0"/>
          <w:numId w:val="59"/>
        </w:numPr>
        <w:spacing w:before="120" w:after="120" w:line="288" w:lineRule="auto"/>
        <w:ind w:left="0"/>
        <w:jc w:val="left"/>
      </w:pPr>
      <w:r>
        <w:rPr>
          <w:rFonts w:ascii="Arial" w:hAnsi="Arial" w:eastAsia="等线" w:cs="Arial"/>
          <w:sz w:val="22"/>
        </w:rPr>
        <w:t>The University reserves the right to revise this Code in response to changes in academic practice, legal requirements, or institutional policy. Revisions shall be published on the University website and communicated to all students at least 30 days before taking effect.</w:t>
      </w:r>
    </w:p>
    <w:p w14:paraId="066B1A85">
      <w:pPr>
        <w:numPr>
          <w:ilvl w:val="0"/>
          <w:numId w:val="60"/>
        </w:numPr>
        <w:spacing w:before="120" w:after="120" w:line="288" w:lineRule="auto"/>
        <w:ind w:left="0"/>
        <w:jc w:val="left"/>
      </w:pPr>
      <w:r>
        <w:rPr>
          <w:rFonts w:ascii="Arial" w:hAnsi="Arial" w:eastAsia="等线" w:cs="Arial"/>
          <w:sz w:val="22"/>
        </w:rPr>
        <w:t>This Code shall be interpreted by the Senate Academic Standards Committee. Any questions about the application of this Code shall be referred to the relevant Faculty Academic Integrity Committee or the Office of the Registrar.</w:t>
      </w:r>
    </w:p>
    <w:p w14:paraId="7CB6910D">
      <w:pPr>
        <w:spacing w:before="120" w:after="120" w:line="288" w:lineRule="auto"/>
        <w:ind w:left="0"/>
        <w:jc w:val="left"/>
      </w:pPr>
      <w:bookmarkStart w:id="22" w:name="_GoBack"/>
      <w:bookmarkEnd w:id="22"/>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46EF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CC4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3"/>
      <w:numFmt w:val="decimal"/>
      <w:lvlText w:val="%1."/>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3F3350"/>
    <w:multiLevelType w:val="singleLevel"/>
    <w:tmpl w:val="B53F3350"/>
    <w:lvl w:ilvl="0" w:tentative="0">
      <w:start w:val="0"/>
      <w:numFmt w:val="bullet"/>
      <w:lvlText w:val="•"/>
      <w:lvlJc w:val="left"/>
      <w:rPr>
        <w:color w:val="3370FF"/>
      </w:rPr>
    </w:lvl>
  </w:abstractNum>
  <w:abstractNum w:abstractNumId="10">
    <w:nsid w:val="B5E306ED"/>
    <w:multiLevelType w:val="singleLevel"/>
    <w:tmpl w:val="B5E306ED"/>
    <w:lvl w:ilvl="0" w:tentative="0">
      <w:start w:val="0"/>
      <w:numFmt w:val="bullet"/>
      <w:lvlText w:val="•"/>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BF205925"/>
    <w:multiLevelType w:val="singleLevel"/>
    <w:tmpl w:val="BF205925"/>
    <w:lvl w:ilvl="0" w:tentative="0">
      <w:start w:val="0"/>
      <w:numFmt w:val="bullet"/>
      <w:lvlText w:val="•"/>
      <w:lvlJc w:val="left"/>
      <w:rPr>
        <w:color w:val="3370FF"/>
      </w:rPr>
    </w:lvl>
  </w:abstractNum>
  <w:abstractNum w:abstractNumId="15">
    <w:nsid w:val="C8879AEF"/>
    <w:multiLevelType w:val="singleLevel"/>
    <w:tmpl w:val="C8879AEF"/>
    <w:lvl w:ilvl="0" w:tentative="0">
      <w:start w:val="0"/>
      <w:numFmt w:val="bullet"/>
      <w:lvlText w:val="•"/>
      <w:lvlJc w:val="left"/>
      <w:rPr>
        <w:color w:val="3370FF"/>
      </w:rPr>
    </w:lvl>
  </w:abstractNum>
  <w:abstractNum w:abstractNumId="16">
    <w:nsid w:val="CF092B84"/>
    <w:multiLevelType w:val="singleLevel"/>
    <w:tmpl w:val="CF092B84"/>
    <w:lvl w:ilvl="0" w:tentative="0">
      <w:start w:val="0"/>
      <w:numFmt w:val="bullet"/>
      <w:lvlText w:val="•"/>
      <w:lvlJc w:val="left"/>
      <w:rPr>
        <w:color w:val="3370FF"/>
      </w:rPr>
    </w:lvl>
  </w:abstractNum>
  <w:abstractNum w:abstractNumId="17">
    <w:nsid w:val="D7D140E4"/>
    <w:multiLevelType w:val="singleLevel"/>
    <w:tmpl w:val="D7D140E4"/>
    <w:lvl w:ilvl="0" w:tentative="0">
      <w:start w:val="0"/>
      <w:numFmt w:val="bullet"/>
      <w:lvlText w:val="•"/>
      <w:lvlJc w:val="left"/>
      <w:rPr>
        <w:color w:val="3370FF"/>
      </w:rPr>
    </w:lvl>
  </w:abstractNum>
  <w:abstractNum w:abstractNumId="18">
    <w:nsid w:val="D7F9FE59"/>
    <w:multiLevelType w:val="singleLevel"/>
    <w:tmpl w:val="D7F9FE59"/>
    <w:lvl w:ilvl="0" w:tentative="0">
      <w:start w:val="0"/>
      <w:numFmt w:val="bullet"/>
      <w:lvlText w:val="•"/>
      <w:lvlJc w:val="left"/>
      <w:rPr>
        <w:color w:val="3370FF"/>
      </w:rPr>
    </w:lvl>
  </w:abstractNum>
  <w:abstractNum w:abstractNumId="19">
    <w:nsid w:val="DCBA6B53"/>
    <w:multiLevelType w:val="singleLevel"/>
    <w:tmpl w:val="DCBA6B53"/>
    <w:lvl w:ilvl="0" w:tentative="0">
      <w:start w:val="0"/>
      <w:numFmt w:val="bullet"/>
      <w:lvlText w:val="•"/>
      <w:lvlJc w:val="left"/>
      <w:rPr>
        <w:color w:val="3370FF"/>
      </w:rPr>
    </w:lvl>
  </w:abstractNum>
  <w:abstractNum w:abstractNumId="20">
    <w:nsid w:val="E093A4B0"/>
    <w:multiLevelType w:val="singleLevel"/>
    <w:tmpl w:val="E093A4B0"/>
    <w:lvl w:ilvl="0" w:tentative="0">
      <w:start w:val="4"/>
      <w:numFmt w:val="decimal"/>
      <w:lvlText w:val="%1."/>
      <w:lvlJc w:val="left"/>
      <w:rPr>
        <w:color w:val="3370FF"/>
      </w:rPr>
    </w:lvl>
  </w:abstractNum>
  <w:abstractNum w:abstractNumId="21">
    <w:nsid w:val="F0E89278"/>
    <w:multiLevelType w:val="singleLevel"/>
    <w:tmpl w:val="F0E89278"/>
    <w:lvl w:ilvl="0" w:tentative="0">
      <w:start w:val="0"/>
      <w:numFmt w:val="bullet"/>
      <w:lvlText w:val="•"/>
      <w:lvlJc w:val="left"/>
      <w:rPr>
        <w:color w:val="3370FF"/>
      </w:rPr>
    </w:lvl>
  </w:abstractNum>
  <w:abstractNum w:abstractNumId="22">
    <w:nsid w:val="F4B5D9F5"/>
    <w:multiLevelType w:val="singleLevel"/>
    <w:tmpl w:val="F4B5D9F5"/>
    <w:lvl w:ilvl="0" w:tentative="0">
      <w:start w:val="0"/>
      <w:numFmt w:val="bullet"/>
      <w:lvlText w:val="•"/>
      <w:lvlJc w:val="left"/>
      <w:rPr>
        <w:color w:val="3370FF"/>
      </w:rPr>
    </w:lvl>
  </w:abstractNum>
  <w:abstractNum w:abstractNumId="23">
    <w:nsid w:val="F7735DC9"/>
    <w:multiLevelType w:val="singleLevel"/>
    <w:tmpl w:val="F7735DC9"/>
    <w:lvl w:ilvl="0" w:tentative="0">
      <w:start w:val="3"/>
      <w:numFmt w:val="decimal"/>
      <w:lvlText w:val="%1."/>
      <w:lvlJc w:val="left"/>
      <w:rPr>
        <w:color w:val="3370FF"/>
      </w:rPr>
    </w:lvl>
  </w:abstractNum>
  <w:abstractNum w:abstractNumId="24">
    <w:nsid w:val="0053208E"/>
    <w:multiLevelType w:val="singleLevel"/>
    <w:tmpl w:val="0053208E"/>
    <w:lvl w:ilvl="0" w:tentative="0">
      <w:start w:val="0"/>
      <w:numFmt w:val="bullet"/>
      <w:lvlText w:val="•"/>
      <w:lvlJc w:val="left"/>
      <w:rPr>
        <w:color w:val="3370FF"/>
      </w:rPr>
    </w:lvl>
  </w:abstractNum>
  <w:abstractNum w:abstractNumId="25">
    <w:nsid w:val="0248C179"/>
    <w:multiLevelType w:val="singleLevel"/>
    <w:tmpl w:val="0248C179"/>
    <w:lvl w:ilvl="0" w:tentative="0">
      <w:start w:val="0"/>
      <w:numFmt w:val="bullet"/>
      <w:lvlText w:val="•"/>
      <w:lvlJc w:val="left"/>
      <w:rPr>
        <w:color w:val="3370FF"/>
      </w:rPr>
    </w:lvl>
  </w:abstractNum>
  <w:abstractNum w:abstractNumId="26">
    <w:nsid w:val="03D62ECE"/>
    <w:multiLevelType w:val="singleLevel"/>
    <w:tmpl w:val="03D62ECE"/>
    <w:lvl w:ilvl="0" w:tentative="0">
      <w:start w:val="0"/>
      <w:numFmt w:val="bullet"/>
      <w:lvlText w:val="•"/>
      <w:lvlJc w:val="left"/>
      <w:rPr>
        <w:color w:val="3370FF"/>
      </w:rPr>
    </w:lvl>
  </w:abstractNum>
  <w:abstractNum w:abstractNumId="27">
    <w:nsid w:val="0709FD3E"/>
    <w:multiLevelType w:val="singleLevel"/>
    <w:tmpl w:val="0709FD3E"/>
    <w:lvl w:ilvl="0" w:tentative="0">
      <w:start w:val="0"/>
      <w:numFmt w:val="bullet"/>
      <w:lvlText w:val="•"/>
      <w:lvlJc w:val="left"/>
      <w:rPr>
        <w:color w:val="3370FF"/>
      </w:rPr>
    </w:lvl>
  </w:abstractNum>
  <w:abstractNum w:abstractNumId="28">
    <w:nsid w:val="0CEF100B"/>
    <w:multiLevelType w:val="singleLevel"/>
    <w:tmpl w:val="0CEF100B"/>
    <w:lvl w:ilvl="0" w:tentative="0">
      <w:start w:val="0"/>
      <w:numFmt w:val="bullet"/>
      <w:lvlText w:val="•"/>
      <w:lvlJc w:val="left"/>
      <w:rPr>
        <w:color w:val="3370FF"/>
      </w:rPr>
    </w:lvl>
  </w:abstractNum>
  <w:abstractNum w:abstractNumId="29">
    <w:nsid w:val="0E640482"/>
    <w:multiLevelType w:val="singleLevel"/>
    <w:tmpl w:val="0E640482"/>
    <w:lvl w:ilvl="0" w:tentative="0">
      <w:start w:val="0"/>
      <w:numFmt w:val="bullet"/>
      <w:lvlText w:val="•"/>
      <w:lvlJc w:val="left"/>
      <w:rPr>
        <w:color w:val="3370FF"/>
      </w:rPr>
    </w:lvl>
  </w:abstractNum>
  <w:abstractNum w:abstractNumId="30">
    <w:nsid w:val="1ACDE60F"/>
    <w:multiLevelType w:val="singleLevel"/>
    <w:tmpl w:val="1ACDE60F"/>
    <w:lvl w:ilvl="0" w:tentative="0">
      <w:start w:val="0"/>
      <w:numFmt w:val="bullet"/>
      <w:lvlText w:val="•"/>
      <w:lvlJc w:val="left"/>
      <w:rPr>
        <w:color w:val="3370FF"/>
      </w:rPr>
    </w:lvl>
  </w:abstractNum>
  <w:abstractNum w:abstractNumId="31">
    <w:nsid w:val="1C257C7B"/>
    <w:multiLevelType w:val="singleLevel"/>
    <w:tmpl w:val="1C257C7B"/>
    <w:lvl w:ilvl="0" w:tentative="0">
      <w:start w:val="0"/>
      <w:numFmt w:val="bullet"/>
      <w:lvlText w:val="•"/>
      <w:lvlJc w:val="left"/>
      <w:rPr>
        <w:color w:val="3370FF"/>
      </w:rPr>
    </w:lvl>
  </w:abstractNum>
  <w:abstractNum w:abstractNumId="32">
    <w:nsid w:val="23E97754"/>
    <w:multiLevelType w:val="singleLevel"/>
    <w:tmpl w:val="23E97754"/>
    <w:lvl w:ilvl="0" w:tentative="0">
      <w:start w:val="0"/>
      <w:numFmt w:val="bullet"/>
      <w:lvlText w:val="•"/>
      <w:lvlJc w:val="left"/>
      <w:rPr>
        <w:color w:val="3370FF"/>
      </w:rPr>
    </w:lvl>
  </w:abstractNum>
  <w:abstractNum w:abstractNumId="33">
    <w:nsid w:val="243FCF68"/>
    <w:multiLevelType w:val="singleLevel"/>
    <w:tmpl w:val="243FCF68"/>
    <w:lvl w:ilvl="0" w:tentative="0">
      <w:start w:val="1"/>
      <w:numFmt w:val="decimal"/>
      <w:lvlText w:val="%1."/>
      <w:lvlJc w:val="left"/>
      <w:rPr>
        <w:color w:val="3370FF"/>
      </w:rPr>
    </w:lvl>
  </w:abstractNum>
  <w:abstractNum w:abstractNumId="34">
    <w:nsid w:val="2470EC97"/>
    <w:multiLevelType w:val="singleLevel"/>
    <w:tmpl w:val="2470EC97"/>
    <w:lvl w:ilvl="0" w:tentative="0">
      <w:start w:val="0"/>
      <w:numFmt w:val="bullet"/>
      <w:lvlText w:val="•"/>
      <w:lvlJc w:val="left"/>
      <w:rPr>
        <w:color w:val="3370FF"/>
      </w:rPr>
    </w:lvl>
  </w:abstractNum>
  <w:abstractNum w:abstractNumId="35">
    <w:nsid w:val="25B654F3"/>
    <w:multiLevelType w:val="singleLevel"/>
    <w:tmpl w:val="25B654F3"/>
    <w:lvl w:ilvl="0" w:tentative="0">
      <w:start w:val="0"/>
      <w:numFmt w:val="bullet"/>
      <w:lvlText w:val="•"/>
      <w:lvlJc w:val="left"/>
      <w:rPr>
        <w:color w:val="3370FF"/>
      </w:rPr>
    </w:lvl>
  </w:abstractNum>
  <w:abstractNum w:abstractNumId="36">
    <w:nsid w:val="2A8F537B"/>
    <w:multiLevelType w:val="singleLevel"/>
    <w:tmpl w:val="2A8F537B"/>
    <w:lvl w:ilvl="0" w:tentative="0">
      <w:start w:val="0"/>
      <w:numFmt w:val="bullet"/>
      <w:lvlText w:val="•"/>
      <w:lvlJc w:val="left"/>
      <w:rPr>
        <w:color w:val="3370FF"/>
      </w:rPr>
    </w:lvl>
  </w:abstractNum>
  <w:abstractNum w:abstractNumId="37">
    <w:nsid w:val="30FC5B15"/>
    <w:multiLevelType w:val="singleLevel"/>
    <w:tmpl w:val="30FC5B15"/>
    <w:lvl w:ilvl="0" w:tentative="0">
      <w:start w:val="0"/>
      <w:numFmt w:val="bullet"/>
      <w:lvlText w:val="•"/>
      <w:lvlJc w:val="left"/>
      <w:rPr>
        <w:color w:val="3370FF"/>
      </w:rPr>
    </w:lvl>
  </w:abstractNum>
  <w:abstractNum w:abstractNumId="38">
    <w:nsid w:val="322D85CA"/>
    <w:multiLevelType w:val="singleLevel"/>
    <w:tmpl w:val="322D85CA"/>
    <w:lvl w:ilvl="0" w:tentative="0">
      <w:start w:val="0"/>
      <w:numFmt w:val="bullet"/>
      <w:lvlText w:val="•"/>
      <w:lvlJc w:val="left"/>
      <w:rPr>
        <w:color w:val="3370FF"/>
      </w:rPr>
    </w:lvl>
  </w:abstractNum>
  <w:abstractNum w:abstractNumId="39">
    <w:nsid w:val="32A7AF2D"/>
    <w:multiLevelType w:val="singleLevel"/>
    <w:tmpl w:val="32A7AF2D"/>
    <w:lvl w:ilvl="0" w:tentative="0">
      <w:start w:val="0"/>
      <w:numFmt w:val="bullet"/>
      <w:lvlText w:val="•"/>
      <w:lvlJc w:val="left"/>
      <w:rPr>
        <w:color w:val="3370FF"/>
      </w:rPr>
    </w:lvl>
  </w:abstractNum>
  <w:abstractNum w:abstractNumId="40">
    <w:nsid w:val="39A0D9AC"/>
    <w:multiLevelType w:val="singleLevel"/>
    <w:tmpl w:val="39A0D9AC"/>
    <w:lvl w:ilvl="0" w:tentative="0">
      <w:start w:val="0"/>
      <w:numFmt w:val="bullet"/>
      <w:lvlText w:val="•"/>
      <w:lvlJc w:val="left"/>
      <w:rPr>
        <w:color w:val="3370FF"/>
      </w:rPr>
    </w:lvl>
  </w:abstractNum>
  <w:abstractNum w:abstractNumId="41">
    <w:nsid w:val="46A08BB8"/>
    <w:multiLevelType w:val="singleLevel"/>
    <w:tmpl w:val="46A08BB8"/>
    <w:lvl w:ilvl="0" w:tentative="0">
      <w:start w:val="0"/>
      <w:numFmt w:val="bullet"/>
      <w:lvlText w:val="•"/>
      <w:lvlJc w:val="left"/>
      <w:rPr>
        <w:color w:val="3370FF"/>
      </w:rPr>
    </w:lvl>
  </w:abstractNum>
  <w:abstractNum w:abstractNumId="42">
    <w:nsid w:val="4C1BAE26"/>
    <w:multiLevelType w:val="singleLevel"/>
    <w:tmpl w:val="4C1BAE26"/>
    <w:lvl w:ilvl="0" w:tentative="0">
      <w:start w:val="0"/>
      <w:numFmt w:val="bullet"/>
      <w:lvlText w:val="•"/>
      <w:lvlJc w:val="left"/>
      <w:rPr>
        <w:color w:val="3370FF"/>
      </w:rPr>
    </w:lvl>
  </w:abstractNum>
  <w:abstractNum w:abstractNumId="43">
    <w:nsid w:val="4C3D7A74"/>
    <w:multiLevelType w:val="singleLevel"/>
    <w:tmpl w:val="4C3D7A74"/>
    <w:lvl w:ilvl="0" w:tentative="0">
      <w:start w:val="0"/>
      <w:numFmt w:val="bullet"/>
      <w:lvlText w:val="•"/>
      <w:lvlJc w:val="left"/>
      <w:rPr>
        <w:color w:val="3370FF"/>
      </w:rPr>
    </w:lvl>
  </w:abstractNum>
  <w:abstractNum w:abstractNumId="44">
    <w:nsid w:val="4D4DC07F"/>
    <w:multiLevelType w:val="singleLevel"/>
    <w:tmpl w:val="4D4DC07F"/>
    <w:lvl w:ilvl="0" w:tentative="0">
      <w:start w:val="0"/>
      <w:numFmt w:val="bullet"/>
      <w:lvlText w:val="•"/>
      <w:lvlJc w:val="left"/>
      <w:rPr>
        <w:color w:val="3370FF"/>
      </w:rPr>
    </w:lvl>
  </w:abstractNum>
  <w:abstractNum w:abstractNumId="45">
    <w:nsid w:val="4D94DA66"/>
    <w:multiLevelType w:val="singleLevel"/>
    <w:tmpl w:val="4D94DA66"/>
    <w:lvl w:ilvl="0" w:tentative="0">
      <w:start w:val="2"/>
      <w:numFmt w:val="decimal"/>
      <w:lvlText w:val="%1."/>
      <w:lvlJc w:val="left"/>
      <w:rPr>
        <w:color w:val="3370FF"/>
      </w:rPr>
    </w:lvl>
  </w:abstractNum>
  <w:abstractNum w:abstractNumId="46">
    <w:nsid w:val="58765686"/>
    <w:multiLevelType w:val="singleLevel"/>
    <w:tmpl w:val="58765686"/>
    <w:lvl w:ilvl="0" w:tentative="0">
      <w:start w:val="1"/>
      <w:numFmt w:val="decimal"/>
      <w:lvlText w:val="%1."/>
      <w:lvlJc w:val="left"/>
      <w:rPr>
        <w:color w:val="3370FF"/>
      </w:rPr>
    </w:lvl>
  </w:abstractNum>
  <w:abstractNum w:abstractNumId="47">
    <w:nsid w:val="59ADCABA"/>
    <w:multiLevelType w:val="singleLevel"/>
    <w:tmpl w:val="59ADCABA"/>
    <w:lvl w:ilvl="0" w:tentative="0">
      <w:start w:val="0"/>
      <w:numFmt w:val="bullet"/>
      <w:lvlText w:val="•"/>
      <w:lvlJc w:val="left"/>
      <w:rPr>
        <w:color w:val="3370FF"/>
      </w:rPr>
    </w:lvl>
  </w:abstractNum>
  <w:abstractNum w:abstractNumId="48">
    <w:nsid w:val="5A241D34"/>
    <w:multiLevelType w:val="singleLevel"/>
    <w:tmpl w:val="5A241D34"/>
    <w:lvl w:ilvl="0" w:tentative="0">
      <w:start w:val="0"/>
      <w:numFmt w:val="bullet"/>
      <w:lvlText w:val="•"/>
      <w:lvlJc w:val="left"/>
      <w:rPr>
        <w:color w:val="3370FF"/>
      </w:rPr>
    </w:lvl>
  </w:abstractNum>
  <w:abstractNum w:abstractNumId="49">
    <w:nsid w:val="5E29AB5A"/>
    <w:multiLevelType w:val="singleLevel"/>
    <w:tmpl w:val="5E29AB5A"/>
    <w:lvl w:ilvl="0" w:tentative="0">
      <w:start w:val="0"/>
      <w:numFmt w:val="bullet"/>
      <w:lvlText w:val="•"/>
      <w:lvlJc w:val="left"/>
      <w:rPr>
        <w:color w:val="3370FF"/>
      </w:rPr>
    </w:lvl>
  </w:abstractNum>
  <w:abstractNum w:abstractNumId="50">
    <w:nsid w:val="5FFFB1A7"/>
    <w:multiLevelType w:val="singleLevel"/>
    <w:tmpl w:val="5FFFB1A7"/>
    <w:lvl w:ilvl="0" w:tentative="0">
      <w:start w:val="0"/>
      <w:numFmt w:val="bullet"/>
      <w:lvlText w:val="•"/>
      <w:lvlJc w:val="left"/>
      <w:rPr>
        <w:color w:val="3370FF"/>
      </w:rPr>
    </w:lvl>
  </w:abstractNum>
  <w:abstractNum w:abstractNumId="51">
    <w:nsid w:val="60382F6E"/>
    <w:multiLevelType w:val="singleLevel"/>
    <w:tmpl w:val="60382F6E"/>
    <w:lvl w:ilvl="0" w:tentative="0">
      <w:start w:val="0"/>
      <w:numFmt w:val="bullet"/>
      <w:lvlText w:val="•"/>
      <w:lvlJc w:val="left"/>
      <w:rPr>
        <w:color w:val="3370FF"/>
      </w:rPr>
    </w:lvl>
  </w:abstractNum>
  <w:abstractNum w:abstractNumId="52">
    <w:nsid w:val="629F7852"/>
    <w:multiLevelType w:val="singleLevel"/>
    <w:tmpl w:val="629F7852"/>
    <w:lvl w:ilvl="0" w:tentative="0">
      <w:start w:val="0"/>
      <w:numFmt w:val="bullet"/>
      <w:lvlText w:val="•"/>
      <w:lvlJc w:val="left"/>
      <w:rPr>
        <w:color w:val="3370FF"/>
      </w:rPr>
    </w:lvl>
  </w:abstractNum>
  <w:abstractNum w:abstractNumId="53">
    <w:nsid w:val="65CD0074"/>
    <w:multiLevelType w:val="singleLevel"/>
    <w:tmpl w:val="65CD0074"/>
    <w:lvl w:ilvl="0" w:tentative="0">
      <w:start w:val="0"/>
      <w:numFmt w:val="bullet"/>
      <w:lvlText w:val="•"/>
      <w:lvlJc w:val="left"/>
      <w:rPr>
        <w:color w:val="3370FF"/>
      </w:rPr>
    </w:lvl>
  </w:abstractNum>
  <w:abstractNum w:abstractNumId="54">
    <w:nsid w:val="72183CF9"/>
    <w:multiLevelType w:val="singleLevel"/>
    <w:tmpl w:val="72183CF9"/>
    <w:lvl w:ilvl="0" w:tentative="0">
      <w:start w:val="0"/>
      <w:numFmt w:val="bullet"/>
      <w:lvlText w:val="•"/>
      <w:lvlJc w:val="left"/>
      <w:rPr>
        <w:color w:val="3370FF"/>
      </w:rPr>
    </w:lvl>
  </w:abstractNum>
  <w:abstractNum w:abstractNumId="55">
    <w:nsid w:val="74C28B35"/>
    <w:multiLevelType w:val="singleLevel"/>
    <w:tmpl w:val="74C28B35"/>
    <w:lvl w:ilvl="0" w:tentative="0">
      <w:start w:val="0"/>
      <w:numFmt w:val="bullet"/>
      <w:lvlText w:val="•"/>
      <w:lvlJc w:val="left"/>
      <w:rPr>
        <w:color w:val="3370FF"/>
      </w:rPr>
    </w:lvl>
  </w:abstractNum>
  <w:abstractNum w:abstractNumId="56">
    <w:nsid w:val="77ECEA79"/>
    <w:multiLevelType w:val="singleLevel"/>
    <w:tmpl w:val="77ECEA79"/>
    <w:lvl w:ilvl="0" w:tentative="0">
      <w:start w:val="0"/>
      <w:numFmt w:val="bullet"/>
      <w:lvlText w:val="•"/>
      <w:lvlJc w:val="left"/>
      <w:rPr>
        <w:color w:val="3370FF"/>
      </w:rPr>
    </w:lvl>
  </w:abstractNum>
  <w:abstractNum w:abstractNumId="57">
    <w:nsid w:val="79AA4FA4"/>
    <w:multiLevelType w:val="singleLevel"/>
    <w:tmpl w:val="79AA4FA4"/>
    <w:lvl w:ilvl="0" w:tentative="0">
      <w:start w:val="0"/>
      <w:numFmt w:val="bullet"/>
      <w:lvlText w:val="•"/>
      <w:lvlJc w:val="left"/>
      <w:rPr>
        <w:color w:val="3370FF"/>
      </w:rPr>
    </w:lvl>
  </w:abstractNum>
  <w:abstractNum w:abstractNumId="58">
    <w:nsid w:val="7C246926"/>
    <w:multiLevelType w:val="singleLevel"/>
    <w:tmpl w:val="7C246926"/>
    <w:lvl w:ilvl="0" w:tentative="0">
      <w:start w:val="0"/>
      <w:numFmt w:val="bullet"/>
      <w:lvlText w:val="•"/>
      <w:lvlJc w:val="left"/>
      <w:rPr>
        <w:color w:val="3370FF"/>
      </w:rPr>
    </w:lvl>
  </w:abstractNum>
  <w:abstractNum w:abstractNumId="59">
    <w:nsid w:val="7DEC2089"/>
    <w:multiLevelType w:val="singleLevel"/>
    <w:tmpl w:val="7DEC2089"/>
    <w:lvl w:ilvl="0" w:tentative="0">
      <w:start w:val="2"/>
      <w:numFmt w:val="decimal"/>
      <w:lvlText w:val="%1."/>
      <w:lvlJc w:val="left"/>
      <w:rPr>
        <w:color w:val="3370FF"/>
      </w:rPr>
    </w:lvl>
  </w:abstractNum>
  <w:num w:numId="1">
    <w:abstractNumId w:val="24"/>
  </w:num>
  <w:num w:numId="2">
    <w:abstractNumId w:val="16"/>
  </w:num>
  <w:num w:numId="3">
    <w:abstractNumId w:val="47"/>
  </w:num>
  <w:num w:numId="4">
    <w:abstractNumId w:val="14"/>
  </w:num>
  <w:num w:numId="5">
    <w:abstractNumId w:val="10"/>
  </w:num>
  <w:num w:numId="6">
    <w:abstractNumId w:val="26"/>
  </w:num>
  <w:num w:numId="7">
    <w:abstractNumId w:val="35"/>
  </w:num>
  <w:num w:numId="8">
    <w:abstractNumId w:val="54"/>
  </w:num>
  <w:num w:numId="9">
    <w:abstractNumId w:val="25"/>
  </w:num>
  <w:num w:numId="10">
    <w:abstractNumId w:val="5"/>
  </w:num>
  <w:num w:numId="11">
    <w:abstractNumId w:val="36"/>
  </w:num>
  <w:num w:numId="12">
    <w:abstractNumId w:val="48"/>
  </w:num>
  <w:num w:numId="13">
    <w:abstractNumId w:val="15"/>
  </w:num>
  <w:num w:numId="14">
    <w:abstractNumId w:val="44"/>
  </w:num>
  <w:num w:numId="15">
    <w:abstractNumId w:val="22"/>
  </w:num>
  <w:num w:numId="16">
    <w:abstractNumId w:val="34"/>
  </w:num>
  <w:num w:numId="17">
    <w:abstractNumId w:val="19"/>
  </w:num>
  <w:num w:numId="18">
    <w:abstractNumId w:val="18"/>
  </w:num>
  <w:num w:numId="19">
    <w:abstractNumId w:val="7"/>
  </w:num>
  <w:num w:numId="20">
    <w:abstractNumId w:val="42"/>
  </w:num>
  <w:num w:numId="21">
    <w:abstractNumId w:val="51"/>
  </w:num>
  <w:num w:numId="22">
    <w:abstractNumId w:val="29"/>
  </w:num>
  <w:num w:numId="23">
    <w:abstractNumId w:val="41"/>
  </w:num>
  <w:num w:numId="24">
    <w:abstractNumId w:val="8"/>
  </w:num>
  <w:num w:numId="25">
    <w:abstractNumId w:val="58"/>
  </w:num>
  <w:num w:numId="26">
    <w:abstractNumId w:val="56"/>
  </w:num>
  <w:num w:numId="27">
    <w:abstractNumId w:val="13"/>
  </w:num>
  <w:num w:numId="28">
    <w:abstractNumId w:val="52"/>
  </w:num>
  <w:num w:numId="29">
    <w:abstractNumId w:val="6"/>
  </w:num>
  <w:num w:numId="30">
    <w:abstractNumId w:val="40"/>
  </w:num>
  <w:num w:numId="31">
    <w:abstractNumId w:val="2"/>
  </w:num>
  <w:num w:numId="32">
    <w:abstractNumId w:val="46"/>
  </w:num>
  <w:num w:numId="33">
    <w:abstractNumId w:val="59"/>
  </w:num>
  <w:num w:numId="34">
    <w:abstractNumId w:val="0"/>
  </w:num>
  <w:num w:numId="35">
    <w:abstractNumId w:val="33"/>
  </w:num>
  <w:num w:numId="36">
    <w:abstractNumId w:val="45"/>
  </w:num>
  <w:num w:numId="37">
    <w:abstractNumId w:val="23"/>
  </w:num>
  <w:num w:numId="38">
    <w:abstractNumId w:val="20"/>
  </w:num>
  <w:num w:numId="39">
    <w:abstractNumId w:val="37"/>
  </w:num>
  <w:num w:numId="40">
    <w:abstractNumId w:val="57"/>
  </w:num>
  <w:num w:numId="41">
    <w:abstractNumId w:val="12"/>
  </w:num>
  <w:num w:numId="42">
    <w:abstractNumId w:val="4"/>
  </w:num>
  <w:num w:numId="43">
    <w:abstractNumId w:val="11"/>
  </w:num>
  <w:num w:numId="44">
    <w:abstractNumId w:val="49"/>
  </w:num>
  <w:num w:numId="45">
    <w:abstractNumId w:val="1"/>
  </w:num>
  <w:num w:numId="46">
    <w:abstractNumId w:val="30"/>
  </w:num>
  <w:num w:numId="47">
    <w:abstractNumId w:val="3"/>
  </w:num>
  <w:num w:numId="48">
    <w:abstractNumId w:val="50"/>
  </w:num>
  <w:num w:numId="49">
    <w:abstractNumId w:val="55"/>
  </w:num>
  <w:num w:numId="50">
    <w:abstractNumId w:val="43"/>
  </w:num>
  <w:num w:numId="51">
    <w:abstractNumId w:val="38"/>
  </w:num>
  <w:num w:numId="52">
    <w:abstractNumId w:val="53"/>
  </w:num>
  <w:num w:numId="53">
    <w:abstractNumId w:val="27"/>
  </w:num>
  <w:num w:numId="54">
    <w:abstractNumId w:val="28"/>
  </w:num>
  <w:num w:numId="55">
    <w:abstractNumId w:val="17"/>
  </w:num>
  <w:num w:numId="56">
    <w:abstractNumId w:val="39"/>
  </w:num>
  <w:num w:numId="57">
    <w:abstractNumId w:val="31"/>
  </w:num>
  <w:num w:numId="58">
    <w:abstractNumId w:val="21"/>
  </w:num>
  <w:num w:numId="59">
    <w:abstractNumId w:val="32"/>
  </w:num>
  <w:num w:numId="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796052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1979</Words>
  <Characters>11992</Characters>
  <TotalTime>0</TotalTime>
  <ScaleCrop>false</ScaleCrop>
  <LinksUpToDate>false</LinksUpToDate>
  <CharactersWithSpaces>13852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2025-11-20T16:01:00Z</dcterms:created>
  <dc:creator>Apache POI</dc:creator>
  <cp:lastModifiedBy>Timmy</cp:lastModifiedBy>
  <dcterms:modified xsi:type="dcterms:W3CDTF">2025-11-24T02:48:50Z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eyJoZGlkIjoiNWJiZDA5MWUzZmJjNzcxOWU2MDhjOGE4NjM2NmIxNTQiLCJ1c2VySWQiOiIxNDQ0NTM0OTA1In0=</vt:lpwstr>
  </property>
  <property fmtid="{D5CDD505-2E9C-101B-9397-08002B2CF9AE}" pid="3" name="KSOProductBuildVer">
    <vt:lpwstr>2052-12.1.0.23542</vt:lpwstr>
  </property>
  <property fmtid="{D5CDD505-2E9C-101B-9397-08002B2CF9AE}" pid="4" name="ICV">
    <vt:lpwstr>DD5669B84F0241A8A35B58110ED25E0D_12</vt:lpwstr>
  </property>
</Properties>
</file>