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A361C6">
      <w:pPr>
        <w:spacing w:before="480" w:after="480" w:line="288" w:lineRule="auto"/>
        <w:ind w:left="0"/>
      </w:pPr>
      <w:r>
        <w:rPr>
          <w:rFonts w:ascii="Arial" w:hAnsi="Arial" w:eastAsia="等线" w:cs="Arial"/>
          <w:b/>
          <w:sz w:val="52"/>
        </w:rPr>
        <w:t>HKU Course Selection Guide (2025-2026 Academic Year)</w:t>
      </w:r>
    </w:p>
    <w:p w14:paraId="60F7E61B">
      <w:pPr>
        <w:spacing w:before="380" w:after="140" w:line="288" w:lineRule="auto"/>
        <w:ind w:left="0"/>
        <w:jc w:val="left"/>
        <w:outlineLvl w:val="0"/>
      </w:pPr>
      <w:bookmarkStart w:id="0" w:name="heading_0"/>
      <w:r>
        <w:rPr>
          <w:rFonts w:ascii="Arial" w:hAnsi="Arial" w:eastAsia="等线" w:cs="Arial"/>
          <w:b/>
          <w:sz w:val="36"/>
        </w:rPr>
        <w:t>The University of Hong Kong Course Selection Guide</w:t>
      </w:r>
      <w:bookmarkEnd w:id="0"/>
    </w:p>
    <w:p w14:paraId="2E439A41">
      <w:pPr>
        <w:spacing w:before="320" w:after="120" w:line="288" w:lineRule="auto"/>
        <w:ind w:left="0"/>
        <w:jc w:val="left"/>
        <w:outlineLvl w:val="1"/>
      </w:pPr>
      <w:bookmarkStart w:id="1" w:name="heading_1"/>
      <w:r>
        <w:rPr>
          <w:rFonts w:ascii="Arial" w:hAnsi="Arial" w:eastAsia="等线" w:cs="Arial"/>
          <w:b/>
          <w:sz w:val="32"/>
        </w:rPr>
        <w:t>1. Preamble</w:t>
      </w:r>
      <w:bookmarkEnd w:id="1"/>
    </w:p>
    <w:p w14:paraId="7EC67AA8">
      <w:pPr>
        <w:spacing w:before="120" w:after="120" w:line="288" w:lineRule="auto"/>
        <w:ind w:left="0"/>
        <w:jc w:val="left"/>
      </w:pPr>
      <w:r>
        <w:rPr>
          <w:rFonts w:ascii="Arial" w:hAnsi="Arial" w:eastAsia="等线" w:cs="Arial"/>
          <w:sz w:val="22"/>
        </w:rPr>
        <w:t>This guide is designed to help undergraduate and postgraduate students of The University of Hong Kong (HKU) understand the course selection process, clarify key requirements, and make rational academic plans. Course selection is a core part of academic development, directly related to the completion of graduation requirements, academic performance, and career development. All students shall abide by the university's course selection regulations, combine their major requirements and personal interests, and complete the selection process in a timely and standardized manner.</w:t>
      </w:r>
    </w:p>
    <w:p w14:paraId="481BD4C9">
      <w:pPr>
        <w:spacing w:before="120" w:after="120" w:line="288" w:lineRule="auto"/>
        <w:ind w:left="0"/>
        <w:jc w:val="left"/>
      </w:pPr>
      <w:r>
        <w:rPr>
          <w:rFonts w:ascii="Arial" w:hAnsi="Arial" w:eastAsia="等线" w:cs="Arial"/>
          <w:sz w:val="22"/>
        </w:rPr>
        <w:t>The course selection process for the 2025-2026 academic year is mainly carried out through the HKU Portal. Specific schedules, course information updates, and system operation instructions will be announced through the Academic Registry and faculty notices in advance. Students are advised to check the official website and email regularly to avoid missing important information.</w:t>
      </w:r>
    </w:p>
    <w:p w14:paraId="4788C73D">
      <w:pPr>
        <w:spacing w:before="320" w:after="120" w:line="288" w:lineRule="auto"/>
        <w:ind w:left="0"/>
        <w:jc w:val="left"/>
        <w:outlineLvl w:val="1"/>
      </w:pPr>
      <w:bookmarkStart w:id="2" w:name="heading_2"/>
      <w:r>
        <w:rPr>
          <w:rFonts w:ascii="Arial" w:hAnsi="Arial" w:eastAsia="等线" w:cs="Arial"/>
          <w:b/>
          <w:sz w:val="32"/>
        </w:rPr>
        <w:t>2. Core Principles of Course Selection</w:t>
      </w:r>
      <w:bookmarkEnd w:id="2"/>
    </w:p>
    <w:p w14:paraId="28A2A13D">
      <w:pPr>
        <w:spacing w:before="120" w:after="120" w:line="288" w:lineRule="auto"/>
        <w:ind w:left="0"/>
        <w:jc w:val="left"/>
      </w:pPr>
      <w:r>
        <w:rPr>
          <w:rFonts w:ascii="Arial" w:hAnsi="Arial" w:eastAsia="等线" w:cs="Arial"/>
          <w:sz w:val="22"/>
        </w:rPr>
        <w:t>To ensure the scientificity and rationality of course selection, students shall follow the following four core principles:</w:t>
      </w:r>
    </w:p>
    <w:p w14:paraId="6172A7B9">
      <w:pPr>
        <w:numPr>
          <w:ilvl w:val="0"/>
          <w:numId w:val="1"/>
        </w:numPr>
        <w:spacing w:before="120" w:after="120" w:line="288" w:lineRule="auto"/>
        <w:ind w:left="0"/>
        <w:jc w:val="left"/>
      </w:pPr>
      <w:r>
        <w:rPr>
          <w:rFonts w:ascii="Arial" w:hAnsi="Arial" w:eastAsia="等线" w:cs="Arial"/>
          <w:b/>
          <w:sz w:val="22"/>
        </w:rPr>
        <w:t>Graduation Requirement-Oriented Principle</w:t>
      </w:r>
      <w:r>
        <w:rPr>
          <w:rFonts w:ascii="Arial" w:hAnsi="Arial" w:eastAsia="等线" w:cs="Arial"/>
          <w:sz w:val="22"/>
        </w:rPr>
        <w:t>: Prioritize core courses and required courses specified in the program handbook to ensure that the number of credits and course types meet the graduation and degree-awarding standards. Elective courses shall be selected on the basis of supplementing professional knowledge or expanding academic horizons.</w:t>
      </w:r>
    </w:p>
    <w:p w14:paraId="0C9F8DC4">
      <w:pPr>
        <w:numPr>
          <w:ilvl w:val="0"/>
          <w:numId w:val="2"/>
        </w:numPr>
        <w:spacing w:before="120" w:after="120" w:line="288" w:lineRule="auto"/>
        <w:ind w:left="0"/>
        <w:jc w:val="left"/>
      </w:pPr>
      <w:r>
        <w:rPr>
          <w:rFonts w:ascii="Arial" w:hAnsi="Arial" w:eastAsia="等线" w:cs="Arial"/>
          <w:b/>
          <w:sz w:val="22"/>
        </w:rPr>
        <w:t>Academic Progress Principle</w:t>
      </w:r>
      <w:r>
        <w:rPr>
          <w:rFonts w:ascii="Arial" w:hAnsi="Arial" w:eastAsia="等线" w:cs="Arial"/>
          <w:sz w:val="22"/>
        </w:rPr>
        <w:t>: Arrange courses in accordance with the "progressive difficulty" sequence. Complete prerequisite courses first (e.g., basic mathematics courses for engineering majors, introductory courses for liberal arts majors) to avoid learning difficulties caused by missing foundational knowledge.</w:t>
      </w:r>
    </w:p>
    <w:p w14:paraId="3F643565">
      <w:pPr>
        <w:numPr>
          <w:ilvl w:val="0"/>
          <w:numId w:val="3"/>
        </w:numPr>
        <w:spacing w:before="120" w:after="120" w:line="288" w:lineRule="auto"/>
        <w:ind w:left="0"/>
        <w:jc w:val="left"/>
      </w:pPr>
      <w:r>
        <w:rPr>
          <w:rFonts w:ascii="Arial" w:hAnsi="Arial" w:eastAsia="等线" w:cs="Arial"/>
          <w:b/>
          <w:sz w:val="22"/>
        </w:rPr>
        <w:t>Balance Principle</w:t>
      </w:r>
      <w:r>
        <w:rPr>
          <w:rFonts w:ascii="Arial" w:hAnsi="Arial" w:eastAsia="等线" w:cs="Arial"/>
          <w:sz w:val="22"/>
        </w:rPr>
        <w:t>: Reasonably allocate the number of courses and credit load per semester. Generally, undergraduate students are advised to take 15-18 credits per semester, and postgraduate students 9-12 credits (adjusted according to program requirements). Avoid overloading which may affect academic performance, and also avoid underloading which may delay graduation.</w:t>
      </w:r>
    </w:p>
    <w:p w14:paraId="07F84849">
      <w:pPr>
        <w:numPr>
          <w:ilvl w:val="0"/>
          <w:numId w:val="4"/>
        </w:numPr>
        <w:spacing w:before="120" w:after="120" w:line="288" w:lineRule="auto"/>
        <w:ind w:left="0"/>
        <w:jc w:val="left"/>
      </w:pPr>
      <w:r>
        <w:rPr>
          <w:rFonts w:ascii="Arial" w:hAnsi="Arial" w:eastAsia="等线" w:cs="Arial"/>
          <w:b/>
          <w:sz w:val="22"/>
        </w:rPr>
        <w:t>Interest and Development-Oriented Principle</w:t>
      </w:r>
      <w:r>
        <w:rPr>
          <w:rFonts w:ascii="Arial" w:hAnsi="Arial" w:eastAsia="等线" w:cs="Arial"/>
          <w:sz w:val="22"/>
        </w:rPr>
        <w:t>: Combine personal academic interests, career planning, and future development needs to select elective courses, minor programs, or cross-faculty courses. For example, students intending to study abroad may choose courses with international perspectives; those planning to enter the workplace may select practical or internship-linked courses.</w:t>
      </w:r>
    </w:p>
    <w:p w14:paraId="6808ADB4">
      <w:pPr>
        <w:spacing w:before="320" w:after="120" w:line="288" w:lineRule="auto"/>
        <w:ind w:left="0"/>
        <w:jc w:val="left"/>
        <w:outlineLvl w:val="1"/>
      </w:pPr>
      <w:bookmarkStart w:id="3" w:name="heading_3"/>
      <w:r>
        <w:rPr>
          <w:rFonts w:ascii="Arial" w:hAnsi="Arial" w:eastAsia="等线" w:cs="Arial"/>
          <w:b/>
          <w:sz w:val="32"/>
        </w:rPr>
        <w:t>3. Pre-Selection Preparation</w:t>
      </w:r>
      <w:bookmarkEnd w:id="3"/>
    </w:p>
    <w:p w14:paraId="615031D0">
      <w:pPr>
        <w:spacing w:before="120" w:after="120" w:line="288" w:lineRule="auto"/>
        <w:ind w:left="0"/>
        <w:jc w:val="left"/>
      </w:pPr>
      <w:r>
        <w:rPr>
          <w:rFonts w:ascii="Arial" w:hAnsi="Arial" w:eastAsia="等线" w:cs="Arial"/>
          <w:sz w:val="22"/>
        </w:rPr>
        <w:t>Adequate preparation before course selection is the key to smooth selection. Students shall complete the following tasks in advance:</w:t>
      </w:r>
    </w:p>
    <w:p w14:paraId="2C0F4EF2">
      <w:pPr>
        <w:spacing w:before="300" w:after="120" w:line="288" w:lineRule="auto"/>
        <w:ind w:left="0"/>
        <w:jc w:val="left"/>
        <w:outlineLvl w:val="2"/>
      </w:pPr>
      <w:bookmarkStart w:id="4" w:name="heading_4"/>
      <w:r>
        <w:rPr>
          <w:rFonts w:ascii="Arial" w:hAnsi="Arial" w:eastAsia="等线" w:cs="Arial"/>
          <w:b/>
          <w:sz w:val="30"/>
        </w:rPr>
        <w:t>3.1 Master Program Requirements</w:t>
      </w:r>
      <w:bookmarkEnd w:id="4"/>
    </w:p>
    <w:p w14:paraId="002DA676">
      <w:pPr>
        <w:numPr>
          <w:ilvl w:val="0"/>
          <w:numId w:val="5"/>
        </w:numPr>
        <w:spacing w:before="120" w:after="120" w:line="288" w:lineRule="auto"/>
        <w:ind w:left="0"/>
        <w:jc w:val="left"/>
      </w:pPr>
      <w:r>
        <w:rPr>
          <w:rFonts w:ascii="Arial" w:hAnsi="Arial" w:eastAsia="等线" w:cs="Arial"/>
          <w:sz w:val="22"/>
        </w:rPr>
        <w:t xml:space="preserve">Carefully read the </w:t>
      </w:r>
      <w:r>
        <w:rPr>
          <w:rFonts w:ascii="Arial" w:hAnsi="Arial" w:eastAsia="等线" w:cs="Arial"/>
          <w:i/>
          <w:sz w:val="22"/>
        </w:rPr>
        <w:t>Program Handbook</w:t>
      </w:r>
      <w:r>
        <w:rPr>
          <w:rFonts w:ascii="Arial" w:hAnsi="Arial" w:eastAsia="等线" w:cs="Arial"/>
          <w:sz w:val="22"/>
        </w:rPr>
        <w:t xml:space="preserve"> of your major (available on the faculty official website) to clarify the composition of graduation credits: core courses (compulsory), required elective courses, free elective courses, and general education (GE) courses. For example, undergraduate students generally need to complete 120 credits (varies by major), including 36 GE credits.</w:t>
      </w:r>
    </w:p>
    <w:p w14:paraId="2B7F60F0">
      <w:pPr>
        <w:numPr>
          <w:ilvl w:val="0"/>
          <w:numId w:val="6"/>
        </w:numPr>
        <w:spacing w:before="120" w:after="120" w:line="288" w:lineRule="auto"/>
        <w:ind w:left="0"/>
        <w:jc w:val="left"/>
      </w:pPr>
      <w:r>
        <w:rPr>
          <w:rFonts w:ascii="Arial" w:hAnsi="Arial" w:eastAsia="等线" w:cs="Arial"/>
          <w:sz w:val="22"/>
        </w:rPr>
        <w:t>Mark prerequisite and co-requisite courses for core courses. For example, "Financial Accounting II (ACCT2101)" requires passing "Financial Accounting I (ACCT1101)" first; some laboratory courses require simultaneous enrollment with corresponding theory courses.</w:t>
      </w:r>
    </w:p>
    <w:p w14:paraId="0DB756A1">
      <w:pPr>
        <w:numPr>
          <w:ilvl w:val="0"/>
          <w:numId w:val="7"/>
        </w:numPr>
        <w:spacing w:before="120" w:after="120" w:line="288" w:lineRule="auto"/>
        <w:ind w:left="0"/>
        <w:jc w:val="left"/>
      </w:pPr>
      <w:r>
        <w:rPr>
          <w:rFonts w:ascii="Arial" w:hAnsi="Arial" w:eastAsia="等线" w:cs="Arial"/>
          <w:sz w:val="22"/>
        </w:rPr>
        <w:t>Understand the requirements for minor programs or double degrees (if applicable). Students applying for minor programs shall confirm the required courses and credit requirements with the minor faculty in advance, and incorporate them into the semester course plan.</w:t>
      </w:r>
    </w:p>
    <w:p w14:paraId="232DA410">
      <w:pPr>
        <w:spacing w:before="300" w:after="120" w:line="288" w:lineRule="auto"/>
        <w:ind w:left="0"/>
        <w:jc w:val="left"/>
        <w:outlineLvl w:val="2"/>
      </w:pPr>
      <w:bookmarkStart w:id="5" w:name="heading_5"/>
      <w:r>
        <w:rPr>
          <w:rFonts w:ascii="Arial" w:hAnsi="Arial" w:eastAsia="等线" w:cs="Arial"/>
          <w:b/>
          <w:sz w:val="30"/>
        </w:rPr>
        <w:t>3.2 Collect Course Information</w:t>
      </w:r>
      <w:bookmarkEnd w:id="5"/>
    </w:p>
    <w:p w14:paraId="3F09C559">
      <w:pPr>
        <w:numPr>
          <w:ilvl w:val="0"/>
          <w:numId w:val="8"/>
        </w:numPr>
        <w:spacing w:before="120" w:after="120" w:line="288" w:lineRule="auto"/>
        <w:ind w:left="0"/>
        <w:jc w:val="left"/>
      </w:pPr>
      <w:r>
        <w:rPr>
          <w:rFonts w:ascii="Arial" w:hAnsi="Arial" w:eastAsia="等线" w:cs="Arial"/>
          <w:b/>
          <w:sz w:val="22"/>
        </w:rPr>
        <w:t>Course Catalog Query</w:t>
      </w:r>
      <w:r>
        <w:rPr>
          <w:rFonts w:ascii="Arial" w:hAnsi="Arial" w:eastAsia="等线" w:cs="Arial"/>
          <w:sz w:val="22"/>
        </w:rPr>
        <w:t>: Log in to the HKU Portal → "Academic Services" → "Course Catalog" to query detailed information of all courses offered in the current academic year, including course code, name, credits, instructor, schedule, assessment method, and course description.</w:t>
      </w:r>
    </w:p>
    <w:p w14:paraId="64571372">
      <w:pPr>
        <w:numPr>
          <w:ilvl w:val="0"/>
          <w:numId w:val="9"/>
        </w:numPr>
        <w:spacing w:before="120" w:after="120" w:line="288" w:lineRule="auto"/>
        <w:ind w:left="0"/>
        <w:jc w:val="left"/>
      </w:pPr>
      <w:r>
        <w:rPr>
          <w:rFonts w:ascii="Arial" w:hAnsi="Arial" w:eastAsia="等线" w:cs="Arial"/>
          <w:b/>
          <w:sz w:val="22"/>
        </w:rPr>
        <w:t>Instructor and Student Feedback</w:t>
      </w:r>
      <w:r>
        <w:rPr>
          <w:rFonts w:ascii="Arial" w:hAnsi="Arial" w:eastAsia="等线" w:cs="Arial"/>
          <w:sz w:val="22"/>
        </w:rPr>
        <w:t>: Obtain information about course difficulty, teaching style, and assessment focus through senior students, academic advisors, or the "Course Evaluation System" (results of previous students' evaluations of courses and instructors).</w:t>
      </w:r>
    </w:p>
    <w:p w14:paraId="0E98D707">
      <w:pPr>
        <w:numPr>
          <w:ilvl w:val="0"/>
          <w:numId w:val="10"/>
        </w:numPr>
        <w:spacing w:before="120" w:after="120" w:line="288" w:lineRule="auto"/>
        <w:ind w:left="0"/>
        <w:jc w:val="left"/>
      </w:pPr>
      <w:r>
        <w:rPr>
          <w:rFonts w:ascii="Arial" w:hAnsi="Arial" w:eastAsia="等线" w:cs="Arial"/>
          <w:b/>
          <w:sz w:val="22"/>
        </w:rPr>
        <w:t>Special Course Notices</w:t>
      </w:r>
      <w:r>
        <w:rPr>
          <w:rFonts w:ascii="Arial" w:hAnsi="Arial" w:eastAsia="等线" w:cs="Arial"/>
          <w:sz w:val="22"/>
        </w:rPr>
        <w:t>: Pay attention to special courses such as internships, fieldwork, and overseas exchange programs, which may have separate application deadlines or selection criteria (not just credit-based selection).</w:t>
      </w:r>
    </w:p>
    <w:p w14:paraId="45818112">
      <w:pPr>
        <w:spacing w:before="300" w:after="120" w:line="288" w:lineRule="auto"/>
        <w:ind w:left="0"/>
        <w:jc w:val="left"/>
        <w:outlineLvl w:val="2"/>
      </w:pPr>
      <w:bookmarkStart w:id="6" w:name="heading_6"/>
      <w:r>
        <w:rPr>
          <w:rFonts w:ascii="Arial" w:hAnsi="Arial" w:eastAsia="等线" w:cs="Arial"/>
          <w:b/>
          <w:sz w:val="30"/>
        </w:rPr>
        <w:t>3.3 Make a Preliminary Plan</w:t>
      </w:r>
      <w:bookmarkEnd w:id="6"/>
    </w:p>
    <w:p w14:paraId="2D006097">
      <w:pPr>
        <w:spacing w:before="120" w:after="120" w:line="288" w:lineRule="auto"/>
        <w:ind w:left="0"/>
        <w:jc w:val="left"/>
      </w:pPr>
      <w:r>
        <w:rPr>
          <w:rFonts w:ascii="Arial" w:hAnsi="Arial" w:eastAsia="等线" w:cs="Arial"/>
          <w:sz w:val="22"/>
        </w:rPr>
        <w:t>Create a "semester course plan form" to list the courses to be taken, including course code, name, credits, and prerequisites. Example for Year 2 undergraduate students of Electrical and Electronic Engineering:</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1D81EB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75FE1A4F">
            <w:pPr>
              <w:spacing w:before="120" w:after="120" w:line="288" w:lineRule="auto"/>
              <w:ind w:left="0"/>
              <w:jc w:val="left"/>
            </w:pPr>
            <w:r>
              <w:rPr>
                <w:rFonts w:ascii="Arial" w:hAnsi="Arial" w:eastAsia="等线" w:cs="Arial"/>
                <w:sz w:val="22"/>
              </w:rPr>
              <w:t>Semester</w:t>
            </w:r>
          </w:p>
        </w:tc>
        <w:tc>
          <w:tcPr>
            <w:tcW w:w="0" w:type="dxa"/>
            <w:tcMar>
              <w:top w:w="60" w:type="dxa"/>
              <w:left w:w="120" w:type="dxa"/>
              <w:bottom w:w="30" w:type="dxa"/>
              <w:right w:w="120" w:type="dxa"/>
            </w:tcMar>
          </w:tcPr>
          <w:p w14:paraId="74D18CAE">
            <w:pPr>
              <w:spacing w:before="120" w:after="120" w:line="288" w:lineRule="auto"/>
              <w:ind w:left="0"/>
              <w:jc w:val="left"/>
            </w:pPr>
            <w:r>
              <w:rPr>
                <w:rFonts w:ascii="Arial" w:hAnsi="Arial" w:eastAsia="等线" w:cs="Arial"/>
                <w:sz w:val="22"/>
              </w:rPr>
              <w:t>Course Type</w:t>
            </w:r>
          </w:p>
        </w:tc>
        <w:tc>
          <w:tcPr>
            <w:tcW w:w="0" w:type="dxa"/>
            <w:tcMar>
              <w:top w:w="60" w:type="dxa"/>
              <w:left w:w="120" w:type="dxa"/>
              <w:bottom w:w="30" w:type="dxa"/>
              <w:right w:w="120" w:type="dxa"/>
            </w:tcMar>
          </w:tcPr>
          <w:p w14:paraId="5C80D6CF">
            <w:pPr>
              <w:spacing w:before="120" w:after="120" w:line="288" w:lineRule="auto"/>
              <w:ind w:left="0"/>
              <w:jc w:val="left"/>
            </w:pPr>
            <w:r>
              <w:rPr>
                <w:rFonts w:ascii="Arial" w:hAnsi="Arial" w:eastAsia="等线" w:cs="Arial"/>
                <w:sz w:val="22"/>
              </w:rPr>
              <w:t>Course Code &amp; Name</w:t>
            </w:r>
          </w:p>
        </w:tc>
        <w:tc>
          <w:tcPr>
            <w:tcW w:w="0" w:type="dxa"/>
            <w:tcMar>
              <w:top w:w="60" w:type="dxa"/>
              <w:left w:w="120" w:type="dxa"/>
              <w:bottom w:w="30" w:type="dxa"/>
              <w:right w:w="120" w:type="dxa"/>
            </w:tcMar>
          </w:tcPr>
          <w:p w14:paraId="17BA0F9A">
            <w:pPr>
              <w:spacing w:before="120" w:after="120" w:line="288" w:lineRule="auto"/>
              <w:ind w:left="0"/>
              <w:jc w:val="left"/>
            </w:pPr>
            <w:r>
              <w:rPr>
                <w:rFonts w:ascii="Arial" w:hAnsi="Arial" w:eastAsia="等线" w:cs="Arial"/>
                <w:sz w:val="22"/>
              </w:rPr>
              <w:t>Credits</w:t>
            </w:r>
          </w:p>
        </w:tc>
        <w:tc>
          <w:tcPr>
            <w:tcW w:w="0" w:type="dxa"/>
            <w:tcMar>
              <w:top w:w="60" w:type="dxa"/>
              <w:left w:w="120" w:type="dxa"/>
              <w:bottom w:w="30" w:type="dxa"/>
              <w:right w:w="120" w:type="dxa"/>
            </w:tcMar>
          </w:tcPr>
          <w:p w14:paraId="6EF65AC6">
            <w:pPr>
              <w:spacing w:before="120" w:after="120" w:line="288" w:lineRule="auto"/>
              <w:ind w:left="0"/>
              <w:jc w:val="left"/>
            </w:pPr>
            <w:r>
              <w:rPr>
                <w:rFonts w:ascii="Arial" w:hAnsi="Arial" w:eastAsia="等线" w:cs="Arial"/>
                <w:sz w:val="22"/>
              </w:rPr>
              <w:t>Prerequisite</w:t>
            </w:r>
          </w:p>
        </w:tc>
      </w:tr>
      <w:tr w14:paraId="32FC915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5F886FFB">
            <w:pPr>
              <w:spacing w:before="120" w:after="120" w:line="288" w:lineRule="auto"/>
              <w:ind w:left="0"/>
              <w:jc w:val="left"/>
            </w:pPr>
            <w:r>
              <w:rPr>
                <w:rFonts w:ascii="Arial" w:hAnsi="Arial" w:eastAsia="等线" w:cs="Arial"/>
                <w:sz w:val="22"/>
              </w:rPr>
              <w:t>Semester 1 (Year 2)</w:t>
            </w:r>
          </w:p>
        </w:tc>
        <w:tc>
          <w:tcPr>
            <w:tcW w:w="0" w:type="dxa"/>
            <w:tcMar>
              <w:top w:w="60" w:type="dxa"/>
              <w:left w:w="120" w:type="dxa"/>
              <w:bottom w:w="30" w:type="dxa"/>
              <w:right w:w="120" w:type="dxa"/>
            </w:tcMar>
          </w:tcPr>
          <w:p w14:paraId="6A5033C0">
            <w:pPr>
              <w:spacing w:before="120" w:after="120" w:line="288" w:lineRule="auto"/>
              <w:ind w:left="0"/>
              <w:jc w:val="left"/>
            </w:pPr>
            <w:r>
              <w:rPr>
                <w:rFonts w:ascii="Arial" w:hAnsi="Arial" w:eastAsia="等线" w:cs="Arial"/>
                <w:sz w:val="22"/>
              </w:rPr>
              <w:t>Core</w:t>
            </w:r>
          </w:p>
        </w:tc>
        <w:tc>
          <w:tcPr>
            <w:tcW w:w="0" w:type="dxa"/>
            <w:tcMar>
              <w:top w:w="60" w:type="dxa"/>
              <w:left w:w="120" w:type="dxa"/>
              <w:bottom w:w="30" w:type="dxa"/>
              <w:right w:w="120" w:type="dxa"/>
            </w:tcMar>
          </w:tcPr>
          <w:p w14:paraId="7B57CF43">
            <w:pPr>
              <w:spacing w:before="120" w:after="120" w:line="288" w:lineRule="auto"/>
              <w:ind w:left="0"/>
              <w:jc w:val="left"/>
            </w:pPr>
            <w:r>
              <w:rPr>
                <w:rFonts w:ascii="Arial" w:hAnsi="Arial" w:eastAsia="等线" w:cs="Arial"/>
                <w:sz w:val="22"/>
              </w:rPr>
              <w:t>MATH1852 Engineering Mathematics II</w:t>
            </w:r>
          </w:p>
        </w:tc>
        <w:tc>
          <w:tcPr>
            <w:tcW w:w="0" w:type="dxa"/>
            <w:tcMar>
              <w:top w:w="60" w:type="dxa"/>
              <w:left w:w="120" w:type="dxa"/>
              <w:bottom w:w="30" w:type="dxa"/>
              <w:right w:w="120" w:type="dxa"/>
            </w:tcMar>
          </w:tcPr>
          <w:p w14:paraId="4C9565AA">
            <w:pPr>
              <w:spacing w:before="120" w:after="120" w:line="288" w:lineRule="auto"/>
              <w:ind w:left="0"/>
              <w:jc w:val="left"/>
            </w:pPr>
            <w:r>
              <w:rPr>
                <w:rFonts w:ascii="Arial" w:hAnsi="Arial" w:eastAsia="等线" w:cs="Arial"/>
                <w:sz w:val="22"/>
              </w:rPr>
              <w:t>3</w:t>
            </w:r>
          </w:p>
        </w:tc>
        <w:tc>
          <w:tcPr>
            <w:tcW w:w="0" w:type="dxa"/>
            <w:tcMar>
              <w:top w:w="60" w:type="dxa"/>
              <w:left w:w="120" w:type="dxa"/>
              <w:bottom w:w="30" w:type="dxa"/>
              <w:right w:w="120" w:type="dxa"/>
            </w:tcMar>
          </w:tcPr>
          <w:p w14:paraId="2C0FEDAB">
            <w:pPr>
              <w:spacing w:before="120" w:after="120" w:line="288" w:lineRule="auto"/>
              <w:ind w:left="0"/>
              <w:jc w:val="left"/>
            </w:pPr>
            <w:r>
              <w:rPr>
                <w:rFonts w:ascii="Arial" w:hAnsi="Arial" w:eastAsia="等线" w:cs="Arial"/>
                <w:sz w:val="22"/>
              </w:rPr>
              <w:t>MATH1851 passed</w:t>
            </w:r>
          </w:p>
        </w:tc>
      </w:tr>
      <w:tr w14:paraId="531798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6FB3E0E7">
            <w:pPr>
              <w:spacing w:before="120" w:after="120" w:line="288" w:lineRule="auto"/>
              <w:ind w:left="0"/>
              <w:jc w:val="left"/>
            </w:pPr>
            <w:r>
              <w:rPr>
                <w:rFonts w:ascii="Arial" w:hAnsi="Arial" w:eastAsia="等线" w:cs="Arial"/>
                <w:sz w:val="22"/>
              </w:rPr>
              <w:t>Semester 1 (Year 2)</w:t>
            </w:r>
          </w:p>
        </w:tc>
        <w:tc>
          <w:tcPr>
            <w:tcW w:w="0" w:type="dxa"/>
            <w:tcMar>
              <w:top w:w="60" w:type="dxa"/>
              <w:left w:w="120" w:type="dxa"/>
              <w:bottom w:w="30" w:type="dxa"/>
              <w:right w:w="120" w:type="dxa"/>
            </w:tcMar>
          </w:tcPr>
          <w:p w14:paraId="1C08D193">
            <w:pPr>
              <w:spacing w:before="120" w:after="120" w:line="288" w:lineRule="auto"/>
              <w:ind w:left="0"/>
              <w:jc w:val="left"/>
            </w:pPr>
            <w:r>
              <w:rPr>
                <w:rFonts w:ascii="Arial" w:hAnsi="Arial" w:eastAsia="等线" w:cs="Arial"/>
                <w:sz w:val="22"/>
              </w:rPr>
              <w:t>Core</w:t>
            </w:r>
          </w:p>
        </w:tc>
        <w:tc>
          <w:tcPr>
            <w:tcW w:w="0" w:type="dxa"/>
            <w:tcMar>
              <w:top w:w="60" w:type="dxa"/>
              <w:left w:w="120" w:type="dxa"/>
              <w:bottom w:w="30" w:type="dxa"/>
              <w:right w:w="120" w:type="dxa"/>
            </w:tcMar>
          </w:tcPr>
          <w:p w14:paraId="23F58B14">
            <w:pPr>
              <w:spacing w:before="120" w:after="120" w:line="288" w:lineRule="auto"/>
              <w:ind w:left="0"/>
              <w:jc w:val="left"/>
            </w:pPr>
            <w:r>
              <w:rPr>
                <w:rFonts w:ascii="Arial" w:hAnsi="Arial" w:eastAsia="等线" w:cs="Arial"/>
                <w:sz w:val="22"/>
              </w:rPr>
              <w:t>ELEC2101 Signals and Systems</w:t>
            </w:r>
          </w:p>
        </w:tc>
        <w:tc>
          <w:tcPr>
            <w:tcW w:w="0" w:type="dxa"/>
            <w:tcMar>
              <w:top w:w="60" w:type="dxa"/>
              <w:left w:w="120" w:type="dxa"/>
              <w:bottom w:w="30" w:type="dxa"/>
              <w:right w:w="120" w:type="dxa"/>
            </w:tcMar>
          </w:tcPr>
          <w:p w14:paraId="14D85929">
            <w:pPr>
              <w:spacing w:before="120" w:after="120" w:line="288" w:lineRule="auto"/>
              <w:ind w:left="0"/>
              <w:jc w:val="left"/>
            </w:pPr>
            <w:r>
              <w:rPr>
                <w:rFonts w:ascii="Arial" w:hAnsi="Arial" w:eastAsia="等线" w:cs="Arial"/>
                <w:sz w:val="22"/>
              </w:rPr>
              <w:t>3</w:t>
            </w:r>
          </w:p>
        </w:tc>
        <w:tc>
          <w:tcPr>
            <w:tcW w:w="0" w:type="dxa"/>
            <w:tcMar>
              <w:top w:w="60" w:type="dxa"/>
              <w:left w:w="120" w:type="dxa"/>
              <w:bottom w:w="30" w:type="dxa"/>
              <w:right w:w="120" w:type="dxa"/>
            </w:tcMar>
          </w:tcPr>
          <w:p w14:paraId="296F234B">
            <w:pPr>
              <w:spacing w:before="120" w:after="120" w:line="288" w:lineRule="auto"/>
              <w:ind w:left="0"/>
              <w:jc w:val="left"/>
            </w:pPr>
            <w:r>
              <w:rPr>
                <w:rFonts w:ascii="Arial" w:hAnsi="Arial" w:eastAsia="等线" w:cs="Arial"/>
                <w:sz w:val="22"/>
              </w:rPr>
              <w:t>ELEC1101, ELEC1102 passed</w:t>
            </w:r>
          </w:p>
        </w:tc>
      </w:tr>
      <w:tr w14:paraId="5F94C37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38835D86">
            <w:pPr>
              <w:spacing w:before="120" w:after="120" w:line="288" w:lineRule="auto"/>
              <w:ind w:left="0"/>
              <w:jc w:val="left"/>
            </w:pPr>
            <w:r>
              <w:rPr>
                <w:rFonts w:ascii="Arial" w:hAnsi="Arial" w:eastAsia="等线" w:cs="Arial"/>
                <w:sz w:val="22"/>
              </w:rPr>
              <w:t>Semester 1 (Year 2)</w:t>
            </w:r>
          </w:p>
        </w:tc>
        <w:tc>
          <w:tcPr>
            <w:tcW w:w="0" w:type="dxa"/>
            <w:tcMar>
              <w:top w:w="60" w:type="dxa"/>
              <w:left w:w="120" w:type="dxa"/>
              <w:bottom w:w="30" w:type="dxa"/>
              <w:right w:w="120" w:type="dxa"/>
            </w:tcMar>
          </w:tcPr>
          <w:p w14:paraId="312F90FD">
            <w:pPr>
              <w:spacing w:before="120" w:after="120" w:line="288" w:lineRule="auto"/>
              <w:ind w:left="0"/>
              <w:jc w:val="left"/>
            </w:pPr>
            <w:r>
              <w:rPr>
                <w:rFonts w:ascii="Arial" w:hAnsi="Arial" w:eastAsia="等线" w:cs="Arial"/>
                <w:sz w:val="22"/>
              </w:rPr>
              <w:t>GE Course</w:t>
            </w:r>
          </w:p>
        </w:tc>
        <w:tc>
          <w:tcPr>
            <w:tcW w:w="0" w:type="dxa"/>
            <w:tcMar>
              <w:top w:w="60" w:type="dxa"/>
              <w:left w:w="120" w:type="dxa"/>
              <w:bottom w:w="30" w:type="dxa"/>
              <w:right w:w="120" w:type="dxa"/>
            </w:tcMar>
          </w:tcPr>
          <w:p w14:paraId="1EF63676">
            <w:pPr>
              <w:spacing w:before="120" w:after="120" w:line="288" w:lineRule="auto"/>
              <w:ind w:left="0"/>
              <w:jc w:val="left"/>
            </w:pPr>
            <w:r>
              <w:rPr>
                <w:rFonts w:ascii="Arial" w:hAnsi="Arial" w:eastAsia="等线" w:cs="Arial"/>
                <w:sz w:val="22"/>
              </w:rPr>
              <w:t>GEK1001 Ethics and Society</w:t>
            </w:r>
          </w:p>
        </w:tc>
        <w:tc>
          <w:tcPr>
            <w:tcW w:w="0" w:type="dxa"/>
            <w:tcMar>
              <w:top w:w="60" w:type="dxa"/>
              <w:left w:w="120" w:type="dxa"/>
              <w:bottom w:w="30" w:type="dxa"/>
              <w:right w:w="120" w:type="dxa"/>
            </w:tcMar>
          </w:tcPr>
          <w:p w14:paraId="4B51EDA3">
            <w:pPr>
              <w:spacing w:before="120" w:after="120" w:line="288" w:lineRule="auto"/>
              <w:ind w:left="0"/>
              <w:jc w:val="left"/>
            </w:pPr>
            <w:r>
              <w:rPr>
                <w:rFonts w:ascii="Arial" w:hAnsi="Arial" w:eastAsia="等线" w:cs="Arial"/>
                <w:sz w:val="22"/>
              </w:rPr>
              <w:t>3</w:t>
            </w:r>
          </w:p>
        </w:tc>
        <w:tc>
          <w:tcPr>
            <w:tcW w:w="0" w:type="dxa"/>
            <w:tcMar>
              <w:top w:w="60" w:type="dxa"/>
              <w:left w:w="120" w:type="dxa"/>
              <w:bottom w:w="30" w:type="dxa"/>
              <w:right w:w="120" w:type="dxa"/>
            </w:tcMar>
          </w:tcPr>
          <w:p w14:paraId="1ADB9784">
            <w:pPr>
              <w:spacing w:before="120" w:after="120" w:line="288" w:lineRule="auto"/>
              <w:ind w:left="0"/>
              <w:jc w:val="left"/>
            </w:pPr>
            <w:r>
              <w:rPr>
                <w:rFonts w:ascii="Arial" w:hAnsi="Arial" w:eastAsia="等线" w:cs="Arial"/>
                <w:sz w:val="22"/>
              </w:rPr>
              <w:t>None</w:t>
            </w:r>
          </w:p>
        </w:tc>
      </w:tr>
    </w:tbl>
    <w:p w14:paraId="0D4DC1A6">
      <w:pPr>
        <w:spacing w:before="320" w:after="120" w:line="288" w:lineRule="auto"/>
        <w:ind w:left="0"/>
        <w:jc w:val="left"/>
        <w:outlineLvl w:val="1"/>
      </w:pPr>
      <w:bookmarkStart w:id="7" w:name="heading_7"/>
      <w:r>
        <w:rPr>
          <w:rFonts w:ascii="Arial" w:hAnsi="Arial" w:eastAsia="等线" w:cs="Arial"/>
          <w:b/>
          <w:sz w:val="32"/>
        </w:rPr>
        <w:t>4. Course Selection Process and Key Time Nodes</w:t>
      </w:r>
      <w:bookmarkEnd w:id="7"/>
    </w:p>
    <w:p w14:paraId="60F8090E">
      <w:pPr>
        <w:spacing w:before="120" w:after="120" w:line="288" w:lineRule="auto"/>
        <w:ind w:left="0"/>
        <w:jc w:val="left"/>
      </w:pPr>
      <w:r>
        <w:rPr>
          <w:rFonts w:ascii="Arial" w:hAnsi="Arial" w:eastAsia="等线" w:cs="Arial"/>
          <w:sz w:val="22"/>
        </w:rPr>
        <w:t>The 2025-2026 academic year course selection is divided into three phases: Pre-Selection Phase, Adjustment Phase, and Add/Drop Phase. The specific time nodes are subject to the official notice of the Academic Registry, and the general process is as follows:</w:t>
      </w:r>
    </w:p>
    <w:p w14:paraId="4AD57375">
      <w:pPr>
        <w:spacing w:before="300" w:after="120" w:line="288" w:lineRule="auto"/>
        <w:ind w:left="0"/>
        <w:jc w:val="left"/>
        <w:outlineLvl w:val="2"/>
      </w:pPr>
      <w:bookmarkStart w:id="8" w:name="heading_8"/>
      <w:r>
        <w:rPr>
          <w:rFonts w:ascii="Arial" w:hAnsi="Arial" w:eastAsia="等线" w:cs="Arial"/>
          <w:b/>
          <w:sz w:val="30"/>
        </w:rPr>
        <w:t>4.1 Pre-Selection Phase (2 weeks before the start of the semester)</w:t>
      </w:r>
      <w:bookmarkEnd w:id="8"/>
    </w:p>
    <w:p w14:paraId="5967D175">
      <w:pPr>
        <w:spacing w:before="120" w:after="120" w:line="288" w:lineRule="auto"/>
        <w:ind w:left="0"/>
        <w:jc w:val="left"/>
      </w:pPr>
      <w:r>
        <w:rPr>
          <w:rFonts w:ascii="Arial" w:hAnsi="Arial" w:eastAsia="等线" w:cs="Arial"/>
          <w:sz w:val="22"/>
        </w:rPr>
        <w:t>This phase is for students to select courses on a "credit application" basis, mainly for core courses and popular elective courses with limited capacity. The system will randomly allocate seats if the number of applicants exceeds the course capacity.</w:t>
      </w:r>
    </w:p>
    <w:p w14:paraId="6EFFF6A0">
      <w:pPr>
        <w:numPr>
          <w:ilvl w:val="0"/>
          <w:numId w:val="11"/>
        </w:numPr>
        <w:spacing w:before="120" w:after="120" w:line="288" w:lineRule="auto"/>
        <w:ind w:left="0"/>
        <w:jc w:val="left"/>
      </w:pPr>
      <w:r>
        <w:rPr>
          <w:rFonts w:ascii="Arial" w:hAnsi="Arial" w:eastAsia="等线" w:cs="Arial"/>
          <w:sz w:val="22"/>
        </w:rPr>
        <w:t>Log in to HKU Portal → Enter "Course Selection System" → Select "Pre-Selection".</w:t>
      </w:r>
    </w:p>
    <w:p w14:paraId="7CEFEDE0">
      <w:pPr>
        <w:numPr>
          <w:ilvl w:val="0"/>
          <w:numId w:val="12"/>
        </w:numPr>
        <w:spacing w:before="120" w:after="120" w:line="288" w:lineRule="auto"/>
        <w:ind w:left="0"/>
        <w:jc w:val="left"/>
      </w:pPr>
      <w:r>
        <w:rPr>
          <w:rFonts w:ascii="Arial" w:hAnsi="Arial" w:eastAsia="等线" w:cs="Arial"/>
          <w:sz w:val="22"/>
        </w:rPr>
        <w:t>Enter the course code or name to search for the target course, check the schedule and instructor information, and confirm no time conflict with other courses.</w:t>
      </w:r>
    </w:p>
    <w:p w14:paraId="3BD28B42">
      <w:pPr>
        <w:numPr>
          <w:ilvl w:val="0"/>
          <w:numId w:val="13"/>
        </w:numPr>
        <w:spacing w:before="120" w:after="120" w:line="288" w:lineRule="auto"/>
        <w:ind w:left="0"/>
        <w:jc w:val="left"/>
      </w:pPr>
      <w:r>
        <w:rPr>
          <w:rFonts w:ascii="Arial" w:hAnsi="Arial" w:eastAsia="等线" w:cs="Arial"/>
          <w:sz w:val="22"/>
        </w:rPr>
        <w:t>Add the course to the "Application List" and submit. Each student can apply for a maximum of 21 credits in the pre-selection phase (undergraduate) and 15 credits (postgraduate).</w:t>
      </w:r>
    </w:p>
    <w:p w14:paraId="7E1A2D03">
      <w:pPr>
        <w:numPr>
          <w:ilvl w:val="0"/>
          <w:numId w:val="14"/>
        </w:numPr>
        <w:spacing w:before="120" w:after="120" w:line="288" w:lineRule="auto"/>
        <w:ind w:left="0"/>
        <w:jc w:val="left"/>
      </w:pPr>
      <w:r>
        <w:rPr>
          <w:rFonts w:ascii="Arial" w:hAnsi="Arial" w:eastAsia="等线" w:cs="Arial"/>
          <w:sz w:val="22"/>
        </w:rPr>
        <w:t>After the pre-selection ends, the system will release the allocation results within 3 working days. Students can check the results in the "My Courses" section. Unsuccessful applications will be marked as "Pending" or "Rejected".</w:t>
      </w:r>
    </w:p>
    <w:p w14:paraId="2121A5DC">
      <w:pPr>
        <w:spacing w:before="300" w:after="120" w:line="288" w:lineRule="auto"/>
        <w:ind w:left="0"/>
        <w:jc w:val="left"/>
        <w:outlineLvl w:val="2"/>
      </w:pPr>
      <w:bookmarkStart w:id="9" w:name="heading_9"/>
      <w:r>
        <w:rPr>
          <w:rFonts w:ascii="Arial" w:hAnsi="Arial" w:eastAsia="等线" w:cs="Arial"/>
          <w:b/>
          <w:sz w:val="30"/>
        </w:rPr>
        <w:t>4.2 Adjustment Phase (1 week before the start of the semester)</w:t>
      </w:r>
      <w:bookmarkEnd w:id="9"/>
    </w:p>
    <w:p w14:paraId="0BF16AD5">
      <w:pPr>
        <w:spacing w:before="120" w:after="120" w:line="288" w:lineRule="auto"/>
        <w:ind w:left="0"/>
        <w:jc w:val="left"/>
      </w:pPr>
      <w:r>
        <w:rPr>
          <w:rFonts w:ascii="Arial" w:hAnsi="Arial" w:eastAsia="等线" w:cs="Arial"/>
          <w:sz w:val="22"/>
        </w:rPr>
        <w:t>This phase is for adjusting courses based on pre-selection results. Students can apply for courses with remaining seats or cancel courses they do not intend to take.</w:t>
      </w:r>
    </w:p>
    <w:p w14:paraId="3EE32615">
      <w:pPr>
        <w:numPr>
          <w:ilvl w:val="0"/>
          <w:numId w:val="15"/>
        </w:numPr>
        <w:spacing w:before="120" w:after="120" w:line="288" w:lineRule="auto"/>
        <w:ind w:left="0"/>
        <w:jc w:val="left"/>
      </w:pPr>
      <w:r>
        <w:rPr>
          <w:rFonts w:ascii="Arial" w:hAnsi="Arial" w:eastAsia="等线" w:cs="Arial"/>
          <w:sz w:val="22"/>
        </w:rPr>
        <w:t>For courses that were not successfully allocated in the pre-selection phase: Search for courses with remaining seats in the system and apply directly (first-come, first-served).</w:t>
      </w:r>
    </w:p>
    <w:p w14:paraId="741EFAC7">
      <w:pPr>
        <w:numPr>
          <w:ilvl w:val="0"/>
          <w:numId w:val="16"/>
        </w:numPr>
        <w:spacing w:before="120" w:after="120" w:line="288" w:lineRule="auto"/>
        <w:ind w:left="0"/>
        <w:jc w:val="left"/>
      </w:pPr>
      <w:r>
        <w:rPr>
          <w:rFonts w:ascii="Arial" w:hAnsi="Arial" w:eastAsia="等线" w:cs="Arial"/>
          <w:sz w:val="22"/>
        </w:rPr>
        <w:t>For courses that are no longer needed: Enter "My Courses" and click "Cancel Application" to release the seat for other students.</w:t>
      </w:r>
    </w:p>
    <w:p w14:paraId="3A60570E">
      <w:pPr>
        <w:numPr>
          <w:ilvl w:val="0"/>
          <w:numId w:val="17"/>
        </w:numPr>
        <w:spacing w:before="120" w:after="120" w:line="288" w:lineRule="auto"/>
        <w:ind w:left="0"/>
        <w:jc w:val="left"/>
      </w:pPr>
      <w:r>
        <w:rPr>
          <w:rFonts w:ascii="Arial" w:hAnsi="Arial" w:eastAsia="等线" w:cs="Arial"/>
          <w:sz w:val="22"/>
        </w:rPr>
        <w:t>Note: Do not cancel core courses casually. If cancellation leads to failure to meet the credit requirement, it is necessary to reapply for other alternative courses in time.</w:t>
      </w:r>
    </w:p>
    <w:p w14:paraId="5CC23EC2">
      <w:pPr>
        <w:spacing w:before="300" w:after="120" w:line="288" w:lineRule="auto"/>
        <w:ind w:left="0"/>
        <w:jc w:val="left"/>
        <w:outlineLvl w:val="2"/>
      </w:pPr>
      <w:bookmarkStart w:id="10" w:name="heading_10"/>
      <w:r>
        <w:rPr>
          <w:rFonts w:ascii="Arial" w:hAnsi="Arial" w:eastAsia="等线" w:cs="Arial"/>
          <w:b/>
          <w:sz w:val="30"/>
        </w:rPr>
        <w:t>4.3 Add/Drop Phase (first 2 weeks of the semester)</w:t>
      </w:r>
      <w:bookmarkEnd w:id="10"/>
    </w:p>
    <w:p w14:paraId="1E71EDB1">
      <w:pPr>
        <w:spacing w:before="120" w:after="120" w:line="288" w:lineRule="auto"/>
        <w:ind w:left="0"/>
        <w:jc w:val="left"/>
      </w:pPr>
      <w:r>
        <w:rPr>
          <w:rFonts w:ascii="Arial" w:hAnsi="Arial" w:eastAsia="等线" w:cs="Arial"/>
          <w:sz w:val="22"/>
        </w:rPr>
        <w:t>This is the final phase of course selection, allowing students to adjust courses based on the first week of lectures. No additional application is required for courses with remaining seats, and the system will confirm the selection immediately.</w:t>
      </w:r>
    </w:p>
    <w:p w14:paraId="533EAEB5">
      <w:pPr>
        <w:numPr>
          <w:ilvl w:val="0"/>
          <w:numId w:val="18"/>
        </w:numPr>
        <w:spacing w:before="120" w:after="120" w:line="288" w:lineRule="auto"/>
        <w:ind w:left="0"/>
        <w:jc w:val="left"/>
      </w:pPr>
      <w:r>
        <w:rPr>
          <w:rFonts w:ascii="Arial" w:hAnsi="Arial" w:eastAsia="等线" w:cs="Arial"/>
          <w:b/>
          <w:sz w:val="22"/>
        </w:rPr>
        <w:t>Add Courses</w:t>
      </w:r>
      <w:r>
        <w:rPr>
          <w:rFonts w:ascii="Arial" w:hAnsi="Arial" w:eastAsia="等线" w:cs="Arial"/>
          <w:sz w:val="22"/>
        </w:rPr>
        <w:t>: After attending the first lecture, if you decide to take the course, add it to "My Courses" in the system before the deadline. For courses with full capacity, you can join the "Waiting List" and wait for seats released by other students.</w:t>
      </w:r>
    </w:p>
    <w:p w14:paraId="68CB9FD9">
      <w:pPr>
        <w:numPr>
          <w:ilvl w:val="0"/>
          <w:numId w:val="19"/>
        </w:numPr>
        <w:spacing w:before="120" w:after="120" w:line="288" w:lineRule="auto"/>
        <w:ind w:left="0"/>
        <w:jc w:val="left"/>
      </w:pPr>
      <w:r>
        <w:rPr>
          <w:rFonts w:ascii="Arial" w:hAnsi="Arial" w:eastAsia="等线" w:cs="Arial"/>
          <w:b/>
          <w:sz w:val="22"/>
        </w:rPr>
        <w:t>Drop Courses</w:t>
      </w:r>
      <w:r>
        <w:rPr>
          <w:rFonts w:ascii="Arial" w:hAnsi="Arial" w:eastAsia="等线" w:cs="Arial"/>
          <w:sz w:val="22"/>
        </w:rPr>
        <w:t>: If you find the course content or difficulty not suitable after attending the lecture, drop it in the system before the deadline. Courses dropped during this phase will not be recorded in the academic transcript, and no academic penalty will be imposed.</w:t>
      </w:r>
    </w:p>
    <w:p w14:paraId="022BA8E0">
      <w:pPr>
        <w:numPr>
          <w:ilvl w:val="0"/>
          <w:numId w:val="20"/>
        </w:numPr>
        <w:spacing w:before="120" w:after="120" w:line="288" w:lineRule="auto"/>
        <w:ind w:left="0"/>
        <w:jc w:val="left"/>
      </w:pPr>
      <w:r>
        <w:rPr>
          <w:rFonts w:ascii="Arial" w:hAnsi="Arial" w:eastAsia="等线" w:cs="Arial"/>
          <w:sz w:val="22"/>
        </w:rPr>
        <w:t>Deadline reminder: The Add/Drop Phase ends at 5:00 PM on the 14th teaching day of the semester. No adjustments will be accepted after the deadline.</w:t>
      </w:r>
    </w:p>
    <w:p w14:paraId="2396D279">
      <w:pPr>
        <w:spacing w:before="320" w:after="120" w:line="288" w:lineRule="auto"/>
        <w:ind w:left="0"/>
        <w:jc w:val="left"/>
        <w:outlineLvl w:val="1"/>
      </w:pPr>
      <w:bookmarkStart w:id="11" w:name="heading_11"/>
      <w:r>
        <w:rPr>
          <w:rFonts w:ascii="Arial" w:hAnsi="Arial" w:eastAsia="等线" w:cs="Arial"/>
          <w:b/>
          <w:sz w:val="32"/>
        </w:rPr>
        <w:t>5. Course Drop Procedures</w:t>
      </w:r>
      <w:bookmarkEnd w:id="11"/>
    </w:p>
    <w:p w14:paraId="28913B35">
      <w:pPr>
        <w:spacing w:before="120" w:after="120" w:line="288" w:lineRule="auto"/>
        <w:ind w:left="0"/>
        <w:jc w:val="left"/>
      </w:pPr>
      <w:r>
        <w:rPr>
          <w:rFonts w:ascii="Arial" w:hAnsi="Arial" w:eastAsia="等线" w:cs="Arial"/>
          <w:sz w:val="22"/>
        </w:rPr>
        <w:t>Dropping a course refers to the process of canceling the registration of a selected course after the course selection is confirmed. HKU classifies course drop into different phases with distinct requirements and impacts. Students must follow the prescribed procedures to complete the drop process to avoid academic or financial risks.</w:t>
      </w:r>
    </w:p>
    <w:p w14:paraId="22DCCA69">
      <w:pPr>
        <w:spacing w:before="300" w:after="120" w:line="288" w:lineRule="auto"/>
        <w:ind w:left="0"/>
        <w:jc w:val="left"/>
        <w:outlineLvl w:val="2"/>
      </w:pPr>
      <w:bookmarkStart w:id="12" w:name="heading_12"/>
      <w:r>
        <w:rPr>
          <w:rFonts w:ascii="Arial" w:hAnsi="Arial" w:eastAsia="等线" w:cs="Arial"/>
          <w:b/>
          <w:sz w:val="30"/>
        </w:rPr>
        <w:t>5.1 Phase Division of Course Drop</w:t>
      </w:r>
      <w:bookmarkEnd w:id="12"/>
    </w:p>
    <w:p w14:paraId="5DEF2E72">
      <w:pPr>
        <w:spacing w:before="120" w:after="120" w:line="288" w:lineRule="auto"/>
        <w:ind w:left="0"/>
        <w:jc w:val="left"/>
      </w:pPr>
      <w:r>
        <w:rPr>
          <w:rFonts w:ascii="Arial" w:hAnsi="Arial" w:eastAsia="等线" w:cs="Arial"/>
          <w:sz w:val="22"/>
        </w:rPr>
        <w:t>Course drop is divided into two key phases, and the handling methods and consequences vary significantly between phases:</w:t>
      </w:r>
    </w:p>
    <w:p w14:paraId="7D502CA3">
      <w:pPr>
        <w:numPr>
          <w:ilvl w:val="0"/>
          <w:numId w:val="21"/>
        </w:numPr>
        <w:spacing w:before="120" w:after="120" w:line="288" w:lineRule="auto"/>
        <w:ind w:left="0"/>
        <w:jc w:val="left"/>
      </w:pPr>
      <w:r>
        <w:rPr>
          <w:rFonts w:ascii="Arial" w:hAnsi="Arial" w:eastAsia="等线" w:cs="Arial"/>
          <w:b/>
          <w:sz w:val="22"/>
        </w:rPr>
        <w:t>Add/Drop Phase (First 2 Weeks of the Semester)</w:t>
      </w:r>
      <w:r>
        <w:rPr>
          <w:rFonts w:ascii="Arial" w:hAnsi="Arial" w:eastAsia="等线" w:cs="Arial"/>
          <w:sz w:val="22"/>
        </w:rPr>
        <w:t>: This is the "free drop" phase. Courses dropped during this period will not be recorded in the academic transcript, and no academic penalty will be imposed. It is the primary phase for students to adjust their course load based on lecture experience.</w:t>
      </w:r>
    </w:p>
    <w:p w14:paraId="7D2FEFEE">
      <w:pPr>
        <w:numPr>
          <w:ilvl w:val="0"/>
          <w:numId w:val="22"/>
        </w:numPr>
        <w:spacing w:before="120" w:after="120" w:line="288" w:lineRule="auto"/>
        <w:ind w:left="0"/>
        <w:jc w:val="left"/>
      </w:pPr>
      <w:r>
        <w:rPr>
          <w:rFonts w:ascii="Arial" w:hAnsi="Arial" w:eastAsia="等线" w:cs="Arial"/>
          <w:b/>
          <w:sz w:val="22"/>
        </w:rPr>
        <w:t>Post Add/Drop Phase (After the 2nd Week of the Semester to the 10th Teaching Week)</w:t>
      </w:r>
      <w:r>
        <w:rPr>
          <w:rFonts w:ascii="Arial" w:hAnsi="Arial" w:eastAsia="等线" w:cs="Arial"/>
          <w:sz w:val="22"/>
        </w:rPr>
        <w:t>: This is the "restricted drop" phase. Students can only drop courses under special circumstances (e.g., serious illness, family emergency, or unexpected academic difficulties). Courses dropped during this period will be recorded as "W" (Withdrawn) on the transcript, which does not affect the GPA but will be displayed in the academic record.</w:t>
      </w:r>
    </w:p>
    <w:p w14:paraId="4D8C62D9">
      <w:pPr>
        <w:spacing w:before="300" w:after="120" w:line="288" w:lineRule="auto"/>
        <w:ind w:left="0"/>
        <w:jc w:val="left"/>
        <w:outlineLvl w:val="2"/>
      </w:pPr>
      <w:bookmarkStart w:id="13" w:name="heading_13"/>
      <w:r>
        <w:rPr>
          <w:rFonts w:ascii="Arial" w:hAnsi="Arial" w:eastAsia="等线" w:cs="Arial"/>
          <w:b/>
          <w:sz w:val="30"/>
        </w:rPr>
        <w:t>5.2 Prerequisites for Course Drop</w:t>
      </w:r>
      <w:bookmarkEnd w:id="13"/>
    </w:p>
    <w:p w14:paraId="013F8BD6">
      <w:pPr>
        <w:spacing w:before="120" w:after="120" w:line="288" w:lineRule="auto"/>
        <w:ind w:left="0"/>
        <w:jc w:val="left"/>
      </w:pPr>
      <w:r>
        <w:rPr>
          <w:rFonts w:ascii="Arial" w:hAnsi="Arial" w:eastAsia="等线" w:cs="Arial"/>
          <w:sz w:val="22"/>
        </w:rPr>
        <w:t>Before applying to drop a course, students must meet the following prerequisites to ensure the validity of the application:</w:t>
      </w:r>
    </w:p>
    <w:p w14:paraId="38F549B6">
      <w:pPr>
        <w:numPr>
          <w:ilvl w:val="0"/>
          <w:numId w:val="23"/>
        </w:numPr>
        <w:spacing w:before="120" w:after="120" w:line="288" w:lineRule="auto"/>
        <w:ind w:left="0"/>
        <w:jc w:val="left"/>
      </w:pPr>
      <w:r>
        <w:rPr>
          <w:rFonts w:ascii="Arial" w:hAnsi="Arial" w:eastAsia="等线" w:cs="Arial"/>
          <w:sz w:val="22"/>
        </w:rPr>
        <w:t>The drop application is submitted within the specified phase deadline (subject to the official academic calendar of the Academic Registry).</w:t>
      </w:r>
    </w:p>
    <w:p w14:paraId="48F4E14B">
      <w:pPr>
        <w:numPr>
          <w:ilvl w:val="0"/>
          <w:numId w:val="24"/>
        </w:numPr>
        <w:spacing w:before="120" w:after="120" w:line="288" w:lineRule="auto"/>
        <w:ind w:left="0"/>
        <w:jc w:val="left"/>
      </w:pPr>
      <w:r>
        <w:rPr>
          <w:rFonts w:ascii="Arial" w:hAnsi="Arial" w:eastAsia="等线" w:cs="Arial"/>
          <w:sz w:val="22"/>
        </w:rPr>
        <w:t>After dropping the course, the remaining number of credits meets the minimum credit requirement for the semester (undergraduate students: no less than 12 credits; postgraduate students: no less than 6 credits, except for the final semester of graduation).</w:t>
      </w:r>
    </w:p>
    <w:p w14:paraId="6ADB30A3">
      <w:pPr>
        <w:numPr>
          <w:ilvl w:val="0"/>
          <w:numId w:val="25"/>
        </w:numPr>
        <w:spacing w:before="120" w:after="120" w:line="288" w:lineRule="auto"/>
        <w:ind w:left="0"/>
        <w:jc w:val="left"/>
      </w:pPr>
      <w:r>
        <w:rPr>
          <w:rFonts w:ascii="Arial" w:hAnsi="Arial" w:eastAsia="等线" w:cs="Arial"/>
          <w:sz w:val="22"/>
        </w:rPr>
        <w:t>The course to be dropped is not a mandatory core course for the program. If a core course must be dropped due to special reasons, it is necessary to obtain prior approval from the faculty academic advisor and confirm the make-up plan.</w:t>
      </w:r>
    </w:p>
    <w:p w14:paraId="7F594022">
      <w:pPr>
        <w:numPr>
          <w:ilvl w:val="0"/>
          <w:numId w:val="26"/>
        </w:numPr>
        <w:spacing w:before="120" w:after="120" w:line="288" w:lineRule="auto"/>
        <w:ind w:left="0"/>
        <w:jc w:val="left"/>
      </w:pPr>
      <w:r>
        <w:rPr>
          <w:rFonts w:ascii="Arial" w:hAnsi="Arial" w:eastAsia="等线" w:cs="Arial"/>
          <w:sz w:val="22"/>
        </w:rPr>
        <w:t>For special courses (e.g., internships, fieldwork, thesis, or joint courses with other institutions), additional approval from the course instructor or department is required.</w:t>
      </w:r>
    </w:p>
    <w:p w14:paraId="439EC261">
      <w:pPr>
        <w:spacing w:before="300" w:after="120" w:line="288" w:lineRule="auto"/>
        <w:ind w:left="0"/>
        <w:jc w:val="left"/>
        <w:outlineLvl w:val="2"/>
      </w:pPr>
      <w:bookmarkStart w:id="14" w:name="heading_14"/>
      <w:r>
        <w:rPr>
          <w:rFonts w:ascii="Arial" w:hAnsi="Arial" w:eastAsia="等线" w:cs="Arial"/>
          <w:b/>
          <w:sz w:val="30"/>
        </w:rPr>
        <w:t>5.3 Detailed Operation Procedures</w:t>
      </w:r>
      <w:bookmarkEnd w:id="14"/>
    </w:p>
    <w:p w14:paraId="415FE97B">
      <w:pPr>
        <w:spacing w:before="260" w:after="120" w:line="288" w:lineRule="auto"/>
        <w:ind w:left="0"/>
        <w:jc w:val="left"/>
        <w:outlineLvl w:val="3"/>
      </w:pPr>
      <w:bookmarkStart w:id="15" w:name="heading_15"/>
      <w:r>
        <w:rPr>
          <w:rFonts w:ascii="Arial" w:hAnsi="Arial" w:eastAsia="等线" w:cs="Arial"/>
          <w:b/>
          <w:sz w:val="28"/>
        </w:rPr>
        <w:t>5.3.1 Course Drop During Add/Drop Phase</w:t>
      </w:r>
      <w:bookmarkEnd w:id="15"/>
    </w:p>
    <w:p w14:paraId="2EEF9E79">
      <w:pPr>
        <w:numPr>
          <w:ilvl w:val="0"/>
          <w:numId w:val="27"/>
        </w:numPr>
        <w:spacing w:before="120" w:after="120" w:line="288" w:lineRule="auto"/>
        <w:ind w:left="0"/>
        <w:jc w:val="left"/>
      </w:pPr>
      <w:r>
        <w:rPr>
          <w:rFonts w:ascii="Arial" w:hAnsi="Arial" w:eastAsia="等线" w:cs="Arial"/>
          <w:b/>
          <w:sz w:val="22"/>
        </w:rPr>
        <w:t>Login to the System</w:t>
      </w:r>
      <w:r>
        <w:rPr>
          <w:rFonts w:ascii="Arial" w:hAnsi="Arial" w:eastAsia="等线" w:cs="Arial"/>
          <w:sz w:val="22"/>
        </w:rPr>
        <w:t>: Log in to HKU Portal → Enter "Academic Services" → Click "Course Selection System" → Select "My Current Courses" to view the list of registered courses.</w:t>
      </w:r>
    </w:p>
    <w:p w14:paraId="571DED03">
      <w:pPr>
        <w:numPr>
          <w:ilvl w:val="0"/>
          <w:numId w:val="28"/>
        </w:numPr>
        <w:spacing w:before="120" w:after="120" w:line="288" w:lineRule="auto"/>
        <w:ind w:left="0"/>
        <w:jc w:val="left"/>
      </w:pPr>
      <w:r>
        <w:rPr>
          <w:rFonts w:ascii="Arial" w:hAnsi="Arial" w:eastAsia="等线" w:cs="Arial"/>
          <w:b/>
          <w:sz w:val="22"/>
        </w:rPr>
        <w:t>Select the Course to Drop</w:t>
      </w:r>
      <w:r>
        <w:rPr>
          <w:rFonts w:ascii="Arial" w:hAnsi="Arial" w:eastAsia="等线" w:cs="Arial"/>
          <w:sz w:val="22"/>
        </w:rPr>
        <w:t>: Find the target course in the course list, click the "Drop" button on the right side of the course information, and a confirmation window will pop up.</w:t>
      </w:r>
    </w:p>
    <w:p w14:paraId="31F5347A">
      <w:pPr>
        <w:numPr>
          <w:ilvl w:val="0"/>
          <w:numId w:val="29"/>
        </w:numPr>
        <w:spacing w:before="120" w:after="120" w:line="288" w:lineRule="auto"/>
        <w:ind w:left="0"/>
        <w:jc w:val="left"/>
      </w:pPr>
      <w:r>
        <w:rPr>
          <w:rFonts w:ascii="Arial" w:hAnsi="Arial" w:eastAsia="等线" w:cs="Arial"/>
          <w:b/>
          <w:sz w:val="22"/>
        </w:rPr>
        <w:t>Confirm Drop Information</w:t>
      </w:r>
      <w:r>
        <w:rPr>
          <w:rFonts w:ascii="Arial" w:hAnsi="Arial" w:eastAsia="等线" w:cs="Arial"/>
          <w:sz w:val="22"/>
        </w:rPr>
        <w:t>: In the confirmation window, carefully check the course code, name, and drop deadline to ensure no wrong operation. If there is a time conflict with other courses to be retained, the system will prompt a reminder.</w:t>
      </w:r>
    </w:p>
    <w:p w14:paraId="6CD710E9">
      <w:pPr>
        <w:numPr>
          <w:ilvl w:val="0"/>
          <w:numId w:val="30"/>
        </w:numPr>
        <w:spacing w:before="120" w:after="120" w:line="288" w:lineRule="auto"/>
        <w:ind w:left="0"/>
        <w:jc w:val="left"/>
      </w:pPr>
      <w:r>
        <w:rPr>
          <w:rFonts w:ascii="Arial" w:hAnsi="Arial" w:eastAsia="等线" w:cs="Arial"/>
          <w:b/>
          <w:sz w:val="22"/>
        </w:rPr>
        <w:t>Submit the Application</w:t>
      </w:r>
      <w:r>
        <w:rPr>
          <w:rFonts w:ascii="Arial" w:hAnsi="Arial" w:eastAsia="等线" w:cs="Arial"/>
          <w:sz w:val="22"/>
        </w:rPr>
        <w:t>: Click "Confirm Drop" to complete the operation. The system will immediately update the course list, and the dropped course will no longer be displayed in "My Current Courses."</w:t>
      </w:r>
    </w:p>
    <w:p w14:paraId="35D114BD">
      <w:pPr>
        <w:numPr>
          <w:ilvl w:val="0"/>
          <w:numId w:val="31"/>
        </w:numPr>
        <w:spacing w:before="120" w:after="120" w:line="288" w:lineRule="auto"/>
        <w:ind w:left="0"/>
        <w:jc w:val="left"/>
      </w:pPr>
      <w:r>
        <w:rPr>
          <w:rFonts w:ascii="Arial" w:hAnsi="Arial" w:eastAsia="等线" w:cs="Arial"/>
          <w:b/>
          <w:sz w:val="22"/>
        </w:rPr>
        <w:t>Verify the Result</w:t>
      </w:r>
      <w:r>
        <w:rPr>
          <w:rFonts w:ascii="Arial" w:hAnsi="Arial" w:eastAsia="等线" w:cs="Arial"/>
          <w:sz w:val="22"/>
        </w:rPr>
        <w:t>: Export the "Current Course Registration Confirmation" from the system and check whether the course has been successfully dropped to avoid system operation errors.</w:t>
      </w:r>
    </w:p>
    <w:p w14:paraId="7BC70494">
      <w:pPr>
        <w:spacing w:before="260" w:after="120" w:line="288" w:lineRule="auto"/>
        <w:ind w:left="0"/>
        <w:jc w:val="left"/>
        <w:outlineLvl w:val="3"/>
      </w:pPr>
      <w:bookmarkStart w:id="16" w:name="heading_16"/>
      <w:r>
        <w:rPr>
          <w:rFonts w:ascii="Arial" w:hAnsi="Arial" w:eastAsia="等线" w:cs="Arial"/>
          <w:b/>
          <w:sz w:val="28"/>
        </w:rPr>
        <w:t>5.3.2 Course Drop After Add/Drop Phase</w:t>
      </w:r>
      <w:bookmarkEnd w:id="16"/>
    </w:p>
    <w:p w14:paraId="05255B1A">
      <w:pPr>
        <w:numPr>
          <w:ilvl w:val="0"/>
          <w:numId w:val="32"/>
        </w:numPr>
        <w:spacing w:before="120" w:after="120" w:line="288" w:lineRule="auto"/>
        <w:ind w:left="0"/>
        <w:jc w:val="left"/>
      </w:pPr>
      <w:r>
        <w:rPr>
          <w:rFonts w:ascii="Arial" w:hAnsi="Arial" w:eastAsia="等线" w:cs="Arial"/>
          <w:b/>
          <w:sz w:val="22"/>
        </w:rPr>
        <w:t>Submit a Written Application</w:t>
      </w:r>
      <w:r>
        <w:rPr>
          <w:rFonts w:ascii="Arial" w:hAnsi="Arial" w:eastAsia="等线" w:cs="Arial"/>
          <w:sz w:val="22"/>
        </w:rPr>
        <w:t>: Download the "Course Drop Application Form" from the faculty official website, fill in personal information, course details, and the specific reason for dropping the course, and attach supporting materials (e.g., medical certificate issued by a public hospital, family emergency certificate).</w:t>
      </w:r>
    </w:p>
    <w:p w14:paraId="1D4703D8">
      <w:pPr>
        <w:numPr>
          <w:ilvl w:val="0"/>
          <w:numId w:val="33"/>
        </w:numPr>
        <w:spacing w:before="120" w:after="120" w:line="288" w:lineRule="auto"/>
        <w:ind w:left="0"/>
        <w:jc w:val="left"/>
      </w:pPr>
      <w:r>
        <w:rPr>
          <w:rFonts w:ascii="Arial" w:hAnsi="Arial" w:eastAsia="等线" w:cs="Arial"/>
          <w:b/>
          <w:sz w:val="22"/>
        </w:rPr>
        <w:t>Obtain Advisor Approval</w:t>
      </w:r>
      <w:r>
        <w:rPr>
          <w:rFonts w:ascii="Arial" w:hAnsi="Arial" w:eastAsia="等线" w:cs="Arial"/>
          <w:sz w:val="22"/>
        </w:rPr>
        <w:t>: Submit the application form to the academic advisor for review. The advisor will evaluate the impact of dropping the course on academic progress and sign for approval if agreed.</w:t>
      </w:r>
    </w:p>
    <w:p w14:paraId="3022B607">
      <w:pPr>
        <w:numPr>
          <w:ilvl w:val="0"/>
          <w:numId w:val="34"/>
        </w:numPr>
        <w:spacing w:before="120" w:after="120" w:line="288" w:lineRule="auto"/>
        <w:ind w:left="0"/>
        <w:jc w:val="left"/>
      </w:pPr>
      <w:r>
        <w:rPr>
          <w:rFonts w:ascii="Arial" w:hAnsi="Arial" w:eastAsia="等线" w:cs="Arial"/>
          <w:b/>
          <w:sz w:val="22"/>
        </w:rPr>
        <w:t>Departmental Review</w:t>
      </w:r>
      <w:r>
        <w:rPr>
          <w:rFonts w:ascii="Arial" w:hAnsi="Arial" w:eastAsia="等线" w:cs="Arial"/>
          <w:sz w:val="22"/>
        </w:rPr>
        <w:t>: Submit the approved application form and supporting materials to the faculty academic office. The department will review the application within 3 working days and notify the student of the review result via email.</w:t>
      </w:r>
    </w:p>
    <w:p w14:paraId="54776348">
      <w:pPr>
        <w:numPr>
          <w:ilvl w:val="0"/>
          <w:numId w:val="35"/>
        </w:numPr>
        <w:spacing w:before="120" w:after="120" w:line="288" w:lineRule="auto"/>
        <w:ind w:left="0"/>
        <w:jc w:val="left"/>
      </w:pPr>
      <w:r>
        <w:rPr>
          <w:rFonts w:ascii="Arial" w:hAnsi="Arial" w:eastAsia="等线" w:cs="Arial"/>
          <w:b/>
          <w:sz w:val="22"/>
        </w:rPr>
        <w:t>System Operation (if approved)</w:t>
      </w:r>
      <w:r>
        <w:rPr>
          <w:rFonts w:ascii="Arial" w:hAnsi="Arial" w:eastAsia="等线" w:cs="Arial"/>
          <w:sz w:val="22"/>
        </w:rPr>
        <w:t>: After receiving the approval notice, log in to the Course Selection System within 2 working days to complete the drop operation (the operation path is the same as the Add/Drop Phase). If the system cannot be operated, contact the faculty academic office for assistance.</w:t>
      </w:r>
    </w:p>
    <w:p w14:paraId="02BDF56E">
      <w:pPr>
        <w:numPr>
          <w:ilvl w:val="0"/>
          <w:numId w:val="36"/>
        </w:numPr>
        <w:spacing w:before="120" w:after="120" w:line="288" w:lineRule="auto"/>
        <w:ind w:left="0"/>
        <w:jc w:val="left"/>
      </w:pPr>
      <w:r>
        <w:rPr>
          <w:rFonts w:ascii="Arial" w:hAnsi="Arial" w:eastAsia="等线" w:cs="Arial"/>
          <w:b/>
          <w:sz w:val="22"/>
        </w:rPr>
        <w:t>Result Confirmation</w:t>
      </w:r>
      <w:r>
        <w:rPr>
          <w:rFonts w:ascii="Arial" w:hAnsi="Arial" w:eastAsia="等线" w:cs="Arial"/>
          <w:sz w:val="22"/>
        </w:rPr>
        <w:t>: Check the transcript in the system 1 week after the operation to confirm that the course is marked as "W" (Withdrawn).</w:t>
      </w:r>
    </w:p>
    <w:p w14:paraId="7234CD52">
      <w:pPr>
        <w:spacing w:before="300" w:after="120" w:line="288" w:lineRule="auto"/>
        <w:ind w:left="0"/>
        <w:jc w:val="left"/>
        <w:outlineLvl w:val="2"/>
      </w:pPr>
      <w:bookmarkStart w:id="17" w:name="heading_17"/>
      <w:r>
        <w:rPr>
          <w:rFonts w:ascii="Arial" w:hAnsi="Arial" w:eastAsia="等线" w:cs="Arial"/>
          <w:b/>
          <w:sz w:val="30"/>
        </w:rPr>
        <w:t>5.4 Notes for Different Student Groups</w:t>
      </w:r>
      <w:bookmarkEnd w:id="17"/>
    </w:p>
    <w:p w14:paraId="3A156E39">
      <w:pPr>
        <w:numPr>
          <w:ilvl w:val="0"/>
          <w:numId w:val="37"/>
        </w:numPr>
        <w:spacing w:before="120" w:after="120" w:line="288" w:lineRule="auto"/>
        <w:ind w:left="0"/>
        <w:jc w:val="left"/>
      </w:pPr>
      <w:r>
        <w:rPr>
          <w:rFonts w:ascii="Arial" w:hAnsi="Arial" w:eastAsia="等线" w:cs="Arial"/>
          <w:b/>
          <w:sz w:val="22"/>
        </w:rPr>
        <w:t>Undergraduate Students</w:t>
      </w:r>
      <w:r>
        <w:rPr>
          <w:rFonts w:ascii="Arial" w:hAnsi="Arial" w:eastAsia="等线" w:cs="Arial"/>
          <w:sz w:val="22"/>
        </w:rPr>
        <w:t>: Do not drop courses at will in the final year to avoid insufficient credits affecting graduation. If dropping a core course, confirm the next offering time with the department in advance to make up for credits.</w:t>
      </w:r>
    </w:p>
    <w:p w14:paraId="6943F5F1">
      <w:pPr>
        <w:numPr>
          <w:ilvl w:val="0"/>
          <w:numId w:val="38"/>
        </w:numPr>
        <w:spacing w:before="120" w:after="120" w:line="288" w:lineRule="auto"/>
        <w:ind w:left="0"/>
        <w:jc w:val="left"/>
      </w:pPr>
      <w:r>
        <w:rPr>
          <w:rFonts w:ascii="Arial" w:hAnsi="Arial" w:eastAsia="等线" w:cs="Arial"/>
          <w:b/>
          <w:sz w:val="22"/>
        </w:rPr>
        <w:t>Postgraduate Students (Taught)</w:t>
      </w:r>
      <w:r>
        <w:rPr>
          <w:rFonts w:ascii="Arial" w:hAnsi="Arial" w:eastAsia="等线" w:cs="Arial"/>
          <w:sz w:val="22"/>
        </w:rPr>
        <w:t>: Ensure that the number of remaining courses meets the program's credit requirements after dropping. For courses related to the thesis direction, obtain the supervisor's approval before applying.</w:t>
      </w:r>
    </w:p>
    <w:p w14:paraId="5E186FE4">
      <w:pPr>
        <w:numPr>
          <w:ilvl w:val="0"/>
          <w:numId w:val="39"/>
        </w:numPr>
        <w:spacing w:before="120" w:after="120" w:line="288" w:lineRule="auto"/>
        <w:ind w:left="0"/>
        <w:jc w:val="left"/>
      </w:pPr>
      <w:r>
        <w:rPr>
          <w:rFonts w:ascii="Arial" w:hAnsi="Arial" w:eastAsia="等线" w:cs="Arial"/>
          <w:b/>
          <w:sz w:val="22"/>
        </w:rPr>
        <w:t>Postgraduate Students (Research)</w:t>
      </w:r>
      <w:r>
        <w:rPr>
          <w:rFonts w:ascii="Arial" w:hAnsi="Arial" w:eastAsia="等线" w:cs="Arial"/>
          <w:sz w:val="22"/>
        </w:rPr>
        <w:t>: Research-related seminars or thesis courses are generally not allowed to be dropped. If special circumstances occur, a joint approval from the supervisor and the department head is required.</w:t>
      </w:r>
    </w:p>
    <w:p w14:paraId="16112426">
      <w:pPr>
        <w:numPr>
          <w:ilvl w:val="0"/>
          <w:numId w:val="40"/>
        </w:numPr>
        <w:spacing w:before="120" w:after="120" w:line="288" w:lineRule="auto"/>
        <w:ind w:left="0"/>
        <w:jc w:val="left"/>
      </w:pPr>
      <w:r>
        <w:rPr>
          <w:rFonts w:ascii="Arial" w:hAnsi="Arial" w:eastAsia="等线" w:cs="Arial"/>
          <w:b/>
          <w:sz w:val="22"/>
        </w:rPr>
        <w:t>International Students</w:t>
      </w:r>
      <w:r>
        <w:rPr>
          <w:rFonts w:ascii="Arial" w:hAnsi="Arial" w:eastAsia="等线" w:cs="Arial"/>
          <w:sz w:val="22"/>
        </w:rPr>
        <w:t>: Pay attention to the credit requirement of the visa. Dropping courses may lead to insufficient credits, which violates the visa regulations. It is necessary to consult the International Student Office before dropping courses.</w:t>
      </w:r>
    </w:p>
    <w:p w14:paraId="129B41DC">
      <w:pPr>
        <w:spacing w:before="300" w:after="120" w:line="288" w:lineRule="auto"/>
        <w:ind w:left="0"/>
        <w:jc w:val="left"/>
        <w:outlineLvl w:val="2"/>
      </w:pPr>
      <w:bookmarkStart w:id="18" w:name="heading_18"/>
      <w:r>
        <w:rPr>
          <w:rFonts w:ascii="Arial" w:hAnsi="Arial" w:eastAsia="等线" w:cs="Arial"/>
          <w:b/>
          <w:sz w:val="30"/>
        </w:rPr>
        <w:t>5.5 Impacts of Course Drop</w:t>
      </w:r>
      <w:bookmarkEnd w:id="18"/>
    </w:p>
    <w:p w14:paraId="6AA04D45">
      <w:pPr>
        <w:numPr>
          <w:ilvl w:val="0"/>
          <w:numId w:val="41"/>
        </w:numPr>
        <w:spacing w:before="120" w:after="120" w:line="288" w:lineRule="auto"/>
        <w:ind w:left="0"/>
        <w:jc w:val="left"/>
      </w:pPr>
      <w:r>
        <w:rPr>
          <w:rFonts w:ascii="Arial" w:hAnsi="Arial" w:eastAsia="等线" w:cs="Arial"/>
          <w:b/>
          <w:sz w:val="22"/>
        </w:rPr>
        <w:t>Academic Impact</w:t>
      </w:r>
      <w:r>
        <w:rPr>
          <w:rFonts w:ascii="Arial" w:hAnsi="Arial" w:eastAsia="等线" w:cs="Arial"/>
          <w:sz w:val="22"/>
        </w:rPr>
        <w:t>: Courses dropped during the Add/Drop Phase will not be recorded in the transcript; courses dropped after the phase will be marked as "W" (no GPA impact but visible in the academic record).</w:t>
      </w:r>
    </w:p>
    <w:p w14:paraId="041CC806">
      <w:pPr>
        <w:numPr>
          <w:ilvl w:val="0"/>
          <w:numId w:val="42"/>
        </w:numPr>
        <w:spacing w:before="120" w:after="120" w:line="288" w:lineRule="auto"/>
        <w:ind w:left="0"/>
        <w:jc w:val="left"/>
      </w:pPr>
      <w:r>
        <w:rPr>
          <w:rFonts w:ascii="Arial" w:hAnsi="Arial" w:eastAsia="等线" w:cs="Arial"/>
          <w:b/>
          <w:sz w:val="22"/>
        </w:rPr>
        <w:t>Credit Impact</w:t>
      </w:r>
      <w:r>
        <w:rPr>
          <w:rFonts w:ascii="Arial" w:hAnsi="Arial" w:eastAsia="等线" w:cs="Arial"/>
          <w:sz w:val="22"/>
        </w:rPr>
        <w:t>: Dropped courses will not count towards the completed credits. Students must ensure that the cumulative credits meet the graduation requirements before graduation.</w:t>
      </w:r>
    </w:p>
    <w:p w14:paraId="34E5D15C">
      <w:pPr>
        <w:numPr>
          <w:ilvl w:val="0"/>
          <w:numId w:val="43"/>
        </w:numPr>
        <w:spacing w:before="120" w:after="120" w:line="288" w:lineRule="auto"/>
        <w:ind w:left="0"/>
        <w:jc w:val="left"/>
      </w:pPr>
      <w:r>
        <w:rPr>
          <w:rFonts w:ascii="Arial" w:hAnsi="Arial" w:eastAsia="等线" w:cs="Arial"/>
          <w:b/>
          <w:sz w:val="22"/>
        </w:rPr>
        <w:t>Financial Impact</w:t>
      </w:r>
      <w:r>
        <w:rPr>
          <w:rFonts w:ascii="Arial" w:hAnsi="Arial" w:eastAsia="等线" w:cs="Arial"/>
          <w:sz w:val="22"/>
        </w:rPr>
        <w:t>: For courses dropped during the Add/Drop Phase, the tuition fee corresponding to the course will be fully refunded; for courses dropped after the phase, no tuition fee will be refunded. The refund will be credited to the student's registered bank account within 4 weeks.</w:t>
      </w:r>
    </w:p>
    <w:p w14:paraId="6086F8FD">
      <w:pPr>
        <w:numPr>
          <w:ilvl w:val="0"/>
          <w:numId w:val="44"/>
        </w:numPr>
        <w:spacing w:before="120" w:after="120" w:line="288" w:lineRule="auto"/>
        <w:ind w:left="0"/>
        <w:jc w:val="left"/>
      </w:pPr>
      <w:r>
        <w:rPr>
          <w:rFonts w:ascii="Arial" w:hAnsi="Arial" w:eastAsia="等线" w:cs="Arial"/>
          <w:b/>
          <w:sz w:val="22"/>
        </w:rPr>
        <w:t>Scholarship Impact</w:t>
      </w:r>
      <w:r>
        <w:rPr>
          <w:rFonts w:ascii="Arial" w:hAnsi="Arial" w:eastAsia="等线" w:cs="Arial"/>
          <w:sz w:val="22"/>
        </w:rPr>
        <w:t>: Students receiving scholarships shall ensure that the number of credits after dropping meets the scholarship's credit requirement. Otherwise, the scholarship may be suspended or revoked.</w:t>
      </w:r>
    </w:p>
    <w:p w14:paraId="7210271A">
      <w:pPr>
        <w:spacing w:before="320" w:after="120" w:line="288" w:lineRule="auto"/>
        <w:ind w:left="0"/>
        <w:jc w:val="left"/>
        <w:outlineLvl w:val="1"/>
      </w:pPr>
      <w:bookmarkStart w:id="19" w:name="heading_19"/>
      <w:r>
        <w:rPr>
          <w:rFonts w:ascii="Arial" w:hAnsi="Arial" w:eastAsia="等线" w:cs="Arial"/>
          <w:b/>
          <w:sz w:val="32"/>
        </w:rPr>
        <w:t>6. Course Selection Focus for Different Student Groups</w:t>
      </w:r>
      <w:bookmarkEnd w:id="19"/>
    </w:p>
    <w:p w14:paraId="039FB781">
      <w:pPr>
        <w:spacing w:before="300" w:after="120" w:line="288" w:lineRule="auto"/>
        <w:ind w:left="0"/>
        <w:jc w:val="left"/>
        <w:outlineLvl w:val="2"/>
      </w:pPr>
      <w:bookmarkStart w:id="20" w:name="heading_20"/>
      <w:r>
        <w:rPr>
          <w:rFonts w:ascii="Arial" w:hAnsi="Arial" w:eastAsia="等线" w:cs="Arial"/>
          <w:b/>
          <w:sz w:val="30"/>
        </w:rPr>
        <w:t>5.1 Freshmen (Year 1 Undergraduate Students)</w:t>
      </w:r>
      <w:bookmarkEnd w:id="20"/>
    </w:p>
    <w:p w14:paraId="6526458C">
      <w:pPr>
        <w:numPr>
          <w:ilvl w:val="0"/>
          <w:numId w:val="45"/>
        </w:numPr>
        <w:spacing w:before="120" w:after="120" w:line="288" w:lineRule="auto"/>
        <w:ind w:left="0"/>
        <w:jc w:val="left"/>
      </w:pPr>
      <w:r>
        <w:rPr>
          <w:rFonts w:ascii="Arial" w:hAnsi="Arial" w:eastAsia="等线" w:cs="Arial"/>
          <w:sz w:val="22"/>
        </w:rPr>
        <w:t>Prioritize compulsory foundational courses (e.g., "Introduction to Academic Writing", basic mathematics, and major introductory courses) to lay a solid academic foundation.</w:t>
      </w:r>
    </w:p>
    <w:p w14:paraId="2B1698A7">
      <w:pPr>
        <w:numPr>
          <w:ilvl w:val="0"/>
          <w:numId w:val="46"/>
        </w:numPr>
        <w:spacing w:before="120" w:after="120" w:line="288" w:lineRule="auto"/>
        <w:ind w:left="0"/>
        <w:jc w:val="left"/>
      </w:pPr>
      <w:r>
        <w:rPr>
          <w:rFonts w:ascii="Arial" w:hAnsi="Arial" w:eastAsia="等线" w:cs="Arial"/>
          <w:sz w:val="22"/>
        </w:rPr>
        <w:t>Select 1-2 general education (GE) courses in the first semester to complete the GE credit requirement step by step. It is recommended to choose GE courses with lower difficulty to adapt to university learning rhythm.</w:t>
      </w:r>
    </w:p>
    <w:p w14:paraId="12E62063">
      <w:pPr>
        <w:numPr>
          <w:ilvl w:val="0"/>
          <w:numId w:val="47"/>
        </w:numPr>
        <w:spacing w:before="120" w:after="120" w:line="288" w:lineRule="auto"/>
        <w:ind w:left="0"/>
        <w:jc w:val="left"/>
      </w:pPr>
      <w:r>
        <w:rPr>
          <w:rFonts w:ascii="Arial" w:hAnsi="Arial" w:eastAsia="等线" w:cs="Arial"/>
          <w:sz w:val="22"/>
        </w:rPr>
        <w:t>Participate in the "Freshman Course Selection Guidance Session" organized by the faculty, and consult academic advisors for course selection plans tailored to individual majors.</w:t>
      </w:r>
    </w:p>
    <w:p w14:paraId="3ACE5C93">
      <w:pPr>
        <w:spacing w:before="300" w:after="120" w:line="288" w:lineRule="auto"/>
        <w:ind w:left="0"/>
        <w:jc w:val="left"/>
        <w:outlineLvl w:val="2"/>
      </w:pPr>
      <w:bookmarkStart w:id="21" w:name="heading_21"/>
      <w:r>
        <w:rPr>
          <w:rFonts w:ascii="Arial" w:hAnsi="Arial" w:eastAsia="等线" w:cs="Arial"/>
          <w:b/>
          <w:sz w:val="30"/>
        </w:rPr>
        <w:t>5.2 Senior Undergraduate Students (Year 3-4)</w:t>
      </w:r>
      <w:bookmarkEnd w:id="21"/>
    </w:p>
    <w:p w14:paraId="3736B5A3">
      <w:pPr>
        <w:numPr>
          <w:ilvl w:val="0"/>
          <w:numId w:val="48"/>
        </w:numPr>
        <w:spacing w:before="120" w:after="120" w:line="288" w:lineRule="auto"/>
        <w:ind w:left="0"/>
        <w:jc w:val="left"/>
      </w:pPr>
      <w:r>
        <w:rPr>
          <w:rFonts w:ascii="Arial" w:hAnsi="Arial" w:eastAsia="等线" w:cs="Arial"/>
          <w:sz w:val="22"/>
        </w:rPr>
        <w:t>Focus on professional elective courses and practical courses (e.g., internships, capstone projects) related to career planning. For example, students intending to enter the accounting industry can select "Forensic Accounting (ACCT4301)".</w:t>
      </w:r>
    </w:p>
    <w:p w14:paraId="73C7EEFD">
      <w:pPr>
        <w:numPr>
          <w:ilvl w:val="0"/>
          <w:numId w:val="49"/>
        </w:numPr>
        <w:spacing w:before="120" w:after="120" w:line="288" w:lineRule="auto"/>
        <w:ind w:left="0"/>
        <w:jc w:val="left"/>
      </w:pPr>
      <w:r>
        <w:rPr>
          <w:rFonts w:ascii="Arial" w:hAnsi="Arial" w:eastAsia="等线" w:cs="Arial"/>
          <w:sz w:val="22"/>
        </w:rPr>
        <w:t>Check the remaining credits and course types in time. If there is a shortage of GE credits or elective credits, make up for them in the early semesters to avoid affecting graduation.</w:t>
      </w:r>
    </w:p>
    <w:p w14:paraId="703DCEE8">
      <w:pPr>
        <w:numPr>
          <w:ilvl w:val="0"/>
          <w:numId w:val="50"/>
        </w:numPr>
        <w:spacing w:before="120" w:after="120" w:line="288" w:lineRule="auto"/>
        <w:ind w:left="0"/>
        <w:jc w:val="left"/>
      </w:pPr>
      <w:r>
        <w:rPr>
          <w:rFonts w:ascii="Arial" w:hAnsi="Arial" w:eastAsia="等线" w:cs="Arial"/>
          <w:sz w:val="22"/>
        </w:rPr>
        <w:t>For students preparing for postgraduate studies or studying abroad: Select courses with high academic difficulty or research-oriented courses (e.g., "Research Methods in XXX") to enhance academic competitiveness.</w:t>
      </w:r>
    </w:p>
    <w:p w14:paraId="1265E3E1">
      <w:pPr>
        <w:spacing w:before="300" w:after="120" w:line="288" w:lineRule="auto"/>
        <w:ind w:left="0"/>
        <w:jc w:val="left"/>
        <w:outlineLvl w:val="2"/>
      </w:pPr>
      <w:bookmarkStart w:id="22" w:name="heading_22"/>
      <w:r>
        <w:rPr>
          <w:rFonts w:ascii="Arial" w:hAnsi="Arial" w:eastAsia="等线" w:cs="Arial"/>
          <w:b/>
          <w:sz w:val="30"/>
        </w:rPr>
        <w:t>5.3 Postgraduate Students (Taught and Research)</w:t>
      </w:r>
      <w:bookmarkEnd w:id="22"/>
    </w:p>
    <w:p w14:paraId="63DCBEBC">
      <w:pPr>
        <w:numPr>
          <w:ilvl w:val="0"/>
          <w:numId w:val="51"/>
        </w:numPr>
        <w:spacing w:before="120" w:after="120" w:line="288" w:lineRule="auto"/>
        <w:ind w:left="0"/>
        <w:jc w:val="left"/>
      </w:pPr>
      <w:r>
        <w:rPr>
          <w:rFonts w:ascii="Arial" w:hAnsi="Arial" w:eastAsia="等线" w:cs="Arial"/>
          <w:b/>
          <w:sz w:val="22"/>
        </w:rPr>
        <w:t>Taught Postgraduates</w:t>
      </w:r>
      <w:r>
        <w:rPr>
          <w:rFonts w:ascii="Arial" w:hAnsi="Arial" w:eastAsia="等线" w:cs="Arial"/>
          <w:sz w:val="22"/>
        </w:rPr>
        <w:t>: Prioritize core courses of the program to ensure completing required credits within the prescribed study period (generally 1-2 years). Elective courses shall be closely related to the research direction or career goals.</w:t>
      </w:r>
    </w:p>
    <w:p w14:paraId="749243FF">
      <w:pPr>
        <w:numPr>
          <w:ilvl w:val="0"/>
          <w:numId w:val="52"/>
        </w:numPr>
        <w:spacing w:before="120" w:after="120" w:line="288" w:lineRule="auto"/>
        <w:ind w:left="0"/>
        <w:jc w:val="left"/>
      </w:pPr>
      <w:r>
        <w:rPr>
          <w:rFonts w:ascii="Arial" w:hAnsi="Arial" w:eastAsia="等线" w:cs="Arial"/>
          <w:b/>
          <w:sz w:val="22"/>
        </w:rPr>
        <w:t>Research Postgraduates</w:t>
      </w:r>
      <w:r>
        <w:rPr>
          <w:rFonts w:ascii="Arial" w:hAnsi="Arial" w:eastAsia="等线" w:cs="Arial"/>
          <w:sz w:val="22"/>
        </w:rPr>
        <w:t>: Coordinate with supervisors to select research-oriented courses (e.g., "Advanced Research Methods") and participate in seminars (e.g., "Departmental Seminar Series") to accumulate research experience. The number of courses shall be balanced with the thesis research progress.</w:t>
      </w:r>
    </w:p>
    <w:p w14:paraId="3A8F0C53">
      <w:pPr>
        <w:numPr>
          <w:ilvl w:val="0"/>
          <w:numId w:val="53"/>
        </w:numPr>
        <w:spacing w:before="120" w:after="120" w:line="288" w:lineRule="auto"/>
        <w:ind w:left="0"/>
        <w:jc w:val="left"/>
      </w:pPr>
      <w:r>
        <w:rPr>
          <w:rFonts w:ascii="Arial" w:hAnsi="Arial" w:eastAsia="等线" w:cs="Arial"/>
          <w:sz w:val="22"/>
        </w:rPr>
        <w:t>Pay attention to the "Thesis Proposal Defense" and "Thesis Submission" time nodes, and avoid overloading courses in the semester of thesis writing.</w:t>
      </w:r>
    </w:p>
    <w:p w14:paraId="55F552A6">
      <w:pPr>
        <w:spacing w:before="320" w:after="120" w:line="288" w:lineRule="auto"/>
        <w:ind w:left="0"/>
        <w:jc w:val="left"/>
        <w:outlineLvl w:val="1"/>
      </w:pPr>
      <w:bookmarkStart w:id="23" w:name="heading_23"/>
      <w:r>
        <w:rPr>
          <w:rFonts w:ascii="Arial" w:hAnsi="Arial" w:eastAsia="等线" w:cs="Arial"/>
          <w:b/>
          <w:sz w:val="32"/>
        </w:rPr>
        <w:t>7. Common Problems and Solutions</w:t>
      </w:r>
      <w:bookmarkEnd w:id="23"/>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624006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1DDCD65B">
            <w:pPr>
              <w:spacing w:before="120" w:after="120" w:line="288" w:lineRule="auto"/>
              <w:ind w:left="0"/>
              <w:jc w:val="left"/>
            </w:pPr>
            <w:r>
              <w:rPr>
                <w:rFonts w:ascii="Arial" w:hAnsi="Arial" w:eastAsia="等线" w:cs="Arial"/>
                <w:sz w:val="22"/>
              </w:rPr>
              <w:t>Common Problems</w:t>
            </w:r>
          </w:p>
        </w:tc>
        <w:tc>
          <w:tcPr>
            <w:tcW w:w="0" w:type="dxa"/>
            <w:tcMar>
              <w:top w:w="60" w:type="dxa"/>
              <w:left w:w="120" w:type="dxa"/>
              <w:bottom w:w="30" w:type="dxa"/>
              <w:right w:w="120" w:type="dxa"/>
            </w:tcMar>
          </w:tcPr>
          <w:p w14:paraId="7E421E84">
            <w:pPr>
              <w:spacing w:before="120" w:after="120" w:line="288" w:lineRule="auto"/>
              <w:ind w:left="0"/>
              <w:jc w:val="left"/>
            </w:pPr>
            <w:r>
              <w:rPr>
                <w:rFonts w:ascii="Arial" w:hAnsi="Arial" w:eastAsia="等线" w:cs="Arial"/>
                <w:sz w:val="22"/>
              </w:rPr>
              <w:t>Solutions</w:t>
            </w:r>
          </w:p>
        </w:tc>
      </w:tr>
      <w:tr w14:paraId="4C8F01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1454309E">
            <w:pPr>
              <w:spacing w:before="120" w:after="120" w:line="288" w:lineRule="auto"/>
              <w:ind w:left="0"/>
              <w:jc w:val="left"/>
            </w:pPr>
            <w:r>
              <w:rPr>
                <w:rFonts w:ascii="Arial" w:hAnsi="Arial" w:eastAsia="等线" w:cs="Arial"/>
                <w:sz w:val="22"/>
              </w:rPr>
              <w:t>Failed to apply for a core course due to limited capacity</w:t>
            </w:r>
          </w:p>
        </w:tc>
        <w:tc>
          <w:tcPr>
            <w:tcW w:w="0" w:type="dxa"/>
            <w:tcMar>
              <w:top w:w="60" w:type="dxa"/>
              <w:left w:w="120" w:type="dxa"/>
              <w:bottom w:w="30" w:type="dxa"/>
              <w:right w:w="120" w:type="dxa"/>
            </w:tcMar>
          </w:tcPr>
          <w:p w14:paraId="203D86F2">
            <w:pPr>
              <w:spacing w:before="120" w:after="120" w:line="288" w:lineRule="auto"/>
              <w:ind w:left="0"/>
              <w:jc w:val="left"/>
            </w:pPr>
            <w:r>
              <w:rPr>
                <w:rFonts w:ascii="Arial" w:hAnsi="Arial" w:eastAsia="等线" w:cs="Arial"/>
                <w:sz w:val="22"/>
              </w:rPr>
              <w:t>1. Join the course's "Waiting List" and check seat updates regularly; 2. Contact the course instructor or faculty academic office to explain the situation and apply for additional seats; 3. Confirm whether the course is offered in the next semester to adjust the academic plan.</w:t>
            </w:r>
          </w:p>
        </w:tc>
      </w:tr>
      <w:tr w14:paraId="41FF73A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57ED9CB4">
            <w:pPr>
              <w:spacing w:before="120" w:after="120" w:line="288" w:lineRule="auto"/>
              <w:ind w:left="0"/>
              <w:jc w:val="left"/>
            </w:pPr>
            <w:r>
              <w:rPr>
                <w:rFonts w:ascii="Arial" w:hAnsi="Arial" w:eastAsia="等线" w:cs="Arial"/>
                <w:sz w:val="22"/>
              </w:rPr>
              <w:t>Time conflict between two required courses</w:t>
            </w:r>
          </w:p>
        </w:tc>
        <w:tc>
          <w:tcPr>
            <w:tcW w:w="0" w:type="dxa"/>
            <w:tcMar>
              <w:top w:w="60" w:type="dxa"/>
              <w:left w:w="120" w:type="dxa"/>
              <w:bottom w:w="30" w:type="dxa"/>
              <w:right w:w="120" w:type="dxa"/>
            </w:tcMar>
          </w:tcPr>
          <w:p w14:paraId="76BB198B">
            <w:pPr>
              <w:spacing w:before="120" w:after="120" w:line="288" w:lineRule="auto"/>
              <w:ind w:left="0"/>
              <w:jc w:val="left"/>
            </w:pPr>
            <w:r>
              <w:rPr>
                <w:rFonts w:ascii="Arial" w:hAnsi="Arial" w:eastAsia="等线" w:cs="Arial"/>
                <w:sz w:val="22"/>
              </w:rPr>
              <w:t>1. Check if the course has another teaching session (e.g., morning and afternoon sessions); 2. Consult the academic advisor to confirm whether one of the courses can be taken in the next semester; 3. Apply for "Alternative Course" approval from the faculty if necessary.</w:t>
            </w:r>
          </w:p>
        </w:tc>
      </w:tr>
      <w:tr w14:paraId="0D9C6BB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44A3AA25">
            <w:pPr>
              <w:spacing w:before="120" w:after="120" w:line="288" w:lineRule="auto"/>
              <w:ind w:left="0"/>
              <w:jc w:val="left"/>
            </w:pPr>
            <w:r>
              <w:rPr>
                <w:rFonts w:ascii="Arial" w:hAnsi="Arial" w:eastAsia="等线" w:cs="Arial"/>
                <w:sz w:val="22"/>
              </w:rPr>
              <w:t>Found the course difficulty too high after adding it</w:t>
            </w:r>
          </w:p>
        </w:tc>
        <w:tc>
          <w:tcPr>
            <w:tcW w:w="0" w:type="dxa"/>
            <w:tcMar>
              <w:top w:w="60" w:type="dxa"/>
              <w:left w:w="120" w:type="dxa"/>
              <w:bottom w:w="30" w:type="dxa"/>
              <w:right w:w="120" w:type="dxa"/>
            </w:tcMar>
          </w:tcPr>
          <w:p w14:paraId="4ACB2EA5">
            <w:pPr>
              <w:spacing w:before="120" w:after="120" w:line="288" w:lineRule="auto"/>
              <w:ind w:left="0"/>
              <w:jc w:val="left"/>
            </w:pPr>
            <w:r>
              <w:rPr>
                <w:rFonts w:ascii="Arial" w:hAnsi="Arial" w:eastAsia="等线" w:cs="Arial"/>
                <w:sz w:val="22"/>
              </w:rPr>
              <w:t>1. Attend tutoring sessions organized by the instructor or teaching assistant; 2. Form a study group with classmates to discuss; 3. If it is really difficult to adapt, drop the course before the Add/Drop deadline and select an alternative course with lower difficulty.</w:t>
            </w:r>
          </w:p>
        </w:tc>
      </w:tr>
      <w:tr w14:paraId="697464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652AF611">
            <w:pPr>
              <w:spacing w:before="120" w:after="120" w:line="288" w:lineRule="auto"/>
              <w:ind w:left="0"/>
              <w:jc w:val="left"/>
            </w:pPr>
            <w:r>
              <w:rPr>
                <w:rFonts w:ascii="Arial" w:hAnsi="Arial" w:eastAsia="等线" w:cs="Arial"/>
                <w:sz w:val="22"/>
              </w:rPr>
              <w:t>Missing the course selection deadline</w:t>
            </w:r>
          </w:p>
        </w:tc>
        <w:tc>
          <w:tcPr>
            <w:tcW w:w="0" w:type="dxa"/>
            <w:tcMar>
              <w:top w:w="60" w:type="dxa"/>
              <w:left w:w="120" w:type="dxa"/>
              <w:bottom w:w="30" w:type="dxa"/>
              <w:right w:w="120" w:type="dxa"/>
            </w:tcMar>
          </w:tcPr>
          <w:p w14:paraId="088461B1">
            <w:pPr>
              <w:spacing w:before="120" w:after="120" w:line="288" w:lineRule="auto"/>
              <w:ind w:left="0"/>
              <w:jc w:val="left"/>
            </w:pPr>
            <w:r>
              <w:rPr>
                <w:rFonts w:ascii="Arial" w:hAnsi="Arial" w:eastAsia="等线" w:cs="Arial"/>
                <w:sz w:val="22"/>
              </w:rPr>
              <w:t>1. Contact the Academic Registry immediately to explain the reason and apply for a "Late Course Selection" approval (only for special circumstances such as illness); 2. Make up for the credits in the summer session or the next semester with the guidance of the academic advisor.</w:t>
            </w:r>
          </w:p>
        </w:tc>
      </w:tr>
    </w:tbl>
    <w:p w14:paraId="682FE4DF">
      <w:pPr>
        <w:spacing w:before="320" w:after="120" w:line="288" w:lineRule="auto"/>
        <w:ind w:left="0"/>
        <w:jc w:val="left"/>
        <w:outlineLvl w:val="1"/>
      </w:pPr>
      <w:bookmarkStart w:id="24" w:name="heading_24"/>
      <w:r>
        <w:rPr>
          <w:rFonts w:ascii="Arial" w:hAnsi="Arial" w:eastAsia="等线" w:cs="Arial"/>
          <w:b/>
          <w:sz w:val="32"/>
        </w:rPr>
        <w:t>8. Support Resources for Course Selection</w:t>
      </w:r>
      <w:bookmarkEnd w:id="24"/>
    </w:p>
    <w:p w14:paraId="0390EB9C">
      <w:pPr>
        <w:spacing w:before="120" w:after="120" w:line="288" w:lineRule="auto"/>
        <w:ind w:left="0"/>
        <w:jc w:val="left"/>
      </w:pPr>
      <w:r>
        <w:rPr>
          <w:rFonts w:ascii="Arial" w:hAnsi="Arial" w:eastAsia="等线" w:cs="Arial"/>
          <w:sz w:val="22"/>
        </w:rPr>
        <w:t>HKU provides multiple channels of support to help students solve problems during course selection:</w:t>
      </w:r>
    </w:p>
    <w:p w14:paraId="648D4BCF">
      <w:pPr>
        <w:numPr>
          <w:ilvl w:val="0"/>
          <w:numId w:val="54"/>
        </w:numPr>
        <w:spacing w:before="120" w:after="120" w:line="288" w:lineRule="auto"/>
        <w:ind w:left="0"/>
        <w:jc w:val="left"/>
      </w:pPr>
      <w:r>
        <w:rPr>
          <w:rFonts w:ascii="Arial" w:hAnsi="Arial" w:eastAsia="等线" w:cs="Arial"/>
          <w:b/>
          <w:sz w:val="22"/>
        </w:rPr>
        <w:t>Academic Advisors</w:t>
      </w:r>
      <w:r>
        <w:rPr>
          <w:rFonts w:ascii="Arial" w:hAnsi="Arial" w:eastAsia="等线" w:cs="Arial"/>
          <w:sz w:val="22"/>
        </w:rPr>
        <w:t>: Each student is assigned an academic advisor (faculty member) who can provide one-on-one guidance on course selection plans, academic progress, and graduation requirements. Appointment can be made through the faculty office or email.</w:t>
      </w:r>
    </w:p>
    <w:p w14:paraId="069CB33F">
      <w:pPr>
        <w:numPr>
          <w:ilvl w:val="0"/>
          <w:numId w:val="55"/>
        </w:numPr>
        <w:spacing w:before="120" w:after="120" w:line="288" w:lineRule="auto"/>
        <w:ind w:left="0"/>
        <w:jc w:val="left"/>
      </w:pPr>
      <w:r>
        <w:rPr>
          <w:rFonts w:ascii="Arial" w:hAnsi="Arial" w:eastAsia="等线" w:cs="Arial"/>
          <w:b/>
          <w:sz w:val="22"/>
        </w:rPr>
        <w:t>Academic Registry</w:t>
      </w:r>
      <w:r>
        <w:rPr>
          <w:rFonts w:ascii="Arial" w:hAnsi="Arial" w:eastAsia="等线" w:cs="Arial"/>
          <w:sz w:val="22"/>
        </w:rPr>
        <w:t>: Responsible for formulating course selection regulations and managing the selection system. For system operation problems or deadline inquiries, contact: registry@hku.hk or +852 2859 2151.</w:t>
      </w:r>
    </w:p>
    <w:p w14:paraId="63C32FC8">
      <w:pPr>
        <w:numPr>
          <w:ilvl w:val="0"/>
          <w:numId w:val="56"/>
        </w:numPr>
        <w:spacing w:before="120" w:after="120" w:line="288" w:lineRule="auto"/>
        <w:ind w:left="0"/>
        <w:jc w:val="left"/>
      </w:pPr>
      <w:r>
        <w:rPr>
          <w:rFonts w:ascii="Arial" w:hAnsi="Arial" w:eastAsia="等线" w:cs="Arial"/>
          <w:b/>
          <w:sz w:val="22"/>
        </w:rPr>
        <w:t>Faculty Academic Offices</w:t>
      </w:r>
      <w:r>
        <w:rPr>
          <w:rFonts w:ascii="Arial" w:hAnsi="Arial" w:eastAsia="等线" w:cs="Arial"/>
          <w:sz w:val="22"/>
        </w:rPr>
        <w:t>: Provide professional course selection guidance for majors, such as explaining prerequisite requirements and alternative course options. Contact information is available on the faculty official website.</w:t>
      </w:r>
    </w:p>
    <w:p w14:paraId="052AF3D9">
      <w:pPr>
        <w:numPr>
          <w:ilvl w:val="0"/>
          <w:numId w:val="57"/>
        </w:numPr>
        <w:spacing w:before="120" w:after="120" w:line="288" w:lineRule="auto"/>
        <w:ind w:left="0"/>
        <w:jc w:val="left"/>
      </w:pPr>
      <w:r>
        <w:rPr>
          <w:rFonts w:ascii="Arial" w:hAnsi="Arial" w:eastAsia="等线" w:cs="Arial"/>
          <w:b/>
          <w:sz w:val="22"/>
        </w:rPr>
        <w:t>Online Resources</w:t>
      </w:r>
      <w:r>
        <w:rPr>
          <w:rFonts w:ascii="Arial" w:hAnsi="Arial" w:eastAsia="等线" w:cs="Arial"/>
          <w:sz w:val="22"/>
        </w:rPr>
        <w:t>: Log in to the HKU Portal → "Academic Support" to view the "Course Selection Tutorial Video", "Program Handbook", and "FAQ on Course Selection".</w:t>
      </w:r>
    </w:p>
    <w:p w14:paraId="03E1C246">
      <w:pPr>
        <w:numPr>
          <w:ilvl w:val="0"/>
          <w:numId w:val="58"/>
        </w:numPr>
        <w:spacing w:before="120" w:after="120" w:line="288" w:lineRule="auto"/>
        <w:ind w:left="0"/>
        <w:jc w:val="left"/>
      </w:pPr>
      <w:r>
        <w:rPr>
          <w:rFonts w:ascii="Arial" w:hAnsi="Arial" w:eastAsia="等线" w:cs="Arial"/>
          <w:b/>
          <w:sz w:val="22"/>
        </w:rPr>
        <w:t>Peer Mentorship Program</w:t>
      </w:r>
      <w:r>
        <w:rPr>
          <w:rFonts w:ascii="Arial" w:hAnsi="Arial" w:eastAsia="等线" w:cs="Arial"/>
          <w:sz w:val="22"/>
        </w:rPr>
        <w:t>: Senior students (Peer Mentors) organized by the university and faculties share course selection experience and learning methods with junior students through group discussions or individual consultations.</w:t>
      </w:r>
    </w:p>
    <w:p w14:paraId="1D4FDCA6">
      <w:pPr>
        <w:spacing w:before="320" w:after="120" w:line="288" w:lineRule="auto"/>
        <w:ind w:left="0"/>
        <w:jc w:val="left"/>
        <w:outlineLvl w:val="1"/>
      </w:pPr>
      <w:bookmarkStart w:id="25" w:name="heading_25"/>
      <w:r>
        <w:rPr>
          <w:rFonts w:ascii="Arial" w:hAnsi="Arial" w:eastAsia="等线" w:cs="Arial"/>
          <w:b/>
          <w:sz w:val="32"/>
        </w:rPr>
        <w:t>9. Supplementary Provisions</w:t>
      </w:r>
      <w:bookmarkEnd w:id="25"/>
    </w:p>
    <w:p w14:paraId="4C9DFEF5">
      <w:pPr>
        <w:numPr>
          <w:ilvl w:val="0"/>
          <w:numId w:val="59"/>
        </w:numPr>
        <w:spacing w:before="120" w:after="120" w:line="288" w:lineRule="auto"/>
        <w:ind w:left="0"/>
        <w:jc w:val="left"/>
      </w:pPr>
      <w:r>
        <w:rPr>
          <w:rFonts w:ascii="Arial" w:hAnsi="Arial" w:eastAsia="等线" w:cs="Arial"/>
          <w:sz w:val="22"/>
        </w:rPr>
        <w:t>Course information (instructor, schedule, assessment method) may be adjusted due to objective reasons. Students shall check the latest course information in the HKU Portal before course selection.</w:t>
      </w:r>
    </w:p>
    <w:p w14:paraId="50AD0C31">
      <w:pPr>
        <w:numPr>
          <w:ilvl w:val="0"/>
          <w:numId w:val="60"/>
        </w:numPr>
        <w:spacing w:before="120" w:after="120" w:line="288" w:lineRule="auto"/>
        <w:ind w:left="0"/>
        <w:jc w:val="left"/>
      </w:pPr>
      <w:r>
        <w:rPr>
          <w:rFonts w:ascii="Arial" w:hAnsi="Arial" w:eastAsia="等线" w:cs="Arial"/>
          <w:sz w:val="22"/>
        </w:rPr>
        <w:t>Summer session courses are an important way to make up for credits or advance learning. The course selection time for the 2026 summer session is from April 1 to April 15, 2026. Specific courses will be announced in March 2026.</w:t>
      </w:r>
    </w:p>
    <w:p w14:paraId="5A5B4AED">
      <w:pPr>
        <w:numPr>
          <w:ilvl w:val="0"/>
          <w:numId w:val="61"/>
        </w:numPr>
        <w:spacing w:before="120" w:after="120" w:line="288" w:lineRule="auto"/>
        <w:ind w:left="0"/>
        <w:jc w:val="left"/>
      </w:pPr>
      <w:r>
        <w:rPr>
          <w:rFonts w:ascii="Arial" w:hAnsi="Arial" w:eastAsia="等线" w:cs="Arial"/>
          <w:sz w:val="22"/>
        </w:rPr>
        <w:t>Students who violate course selection regulations (e.g., falsifying prerequisite course results, occupying seats for non-essential courses and not dropping them) may be warned or restricted from course selection rights by the Academic Registry.</w:t>
      </w:r>
    </w:p>
    <w:p w14:paraId="1D95B70B">
      <w:pPr>
        <w:numPr>
          <w:ilvl w:val="0"/>
          <w:numId w:val="62"/>
        </w:numPr>
        <w:spacing w:before="120" w:after="120" w:line="288" w:lineRule="auto"/>
        <w:ind w:left="0"/>
        <w:jc w:val="left"/>
      </w:pPr>
      <w:r>
        <w:rPr>
          <w:rFonts w:ascii="Arial" w:hAnsi="Arial" w:eastAsia="等线" w:cs="Arial"/>
          <w:sz w:val="22"/>
        </w:rPr>
        <w:t>This guide shall be interpreted by the Academic Registry. For any questions, please contact the Academic Registry during working hours (9:00 AM - 5:00 PM, Monday to Friday).</w:t>
      </w:r>
    </w:p>
    <w:p w14:paraId="7ADCAEA5">
      <w:pPr>
        <w:spacing w:before="120" w:after="120" w:line="288" w:lineRule="auto"/>
        <w:ind w:left="0"/>
        <w:jc w:val="left"/>
      </w:pPr>
      <w:bookmarkStart w:id="26" w:name="_GoBack"/>
      <w:bookmarkEnd w:id="26"/>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5DD9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B5D6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3"/>
      <w:numFmt w:val="decimal"/>
      <w:lvlText w:val="%1."/>
      <w:lvlJc w:val="left"/>
      <w:rPr>
        <w:color w:val="3370FF"/>
      </w:rPr>
    </w:lvl>
  </w:abstractNum>
  <w:abstractNum w:abstractNumId="1">
    <w:nsid w:val="845B5372"/>
    <w:multiLevelType w:val="singleLevel"/>
    <w:tmpl w:val="845B5372"/>
    <w:lvl w:ilvl="0" w:tentative="0">
      <w:start w:val="0"/>
      <w:numFmt w:val="bullet"/>
      <w:lvlText w:val="•"/>
      <w:lvlJc w:val="left"/>
      <w:rPr>
        <w:color w:val="3370FF"/>
      </w:rPr>
    </w:lvl>
  </w:abstractNum>
  <w:abstractNum w:abstractNumId="2">
    <w:nsid w:val="8461FADE"/>
    <w:multiLevelType w:val="singleLevel"/>
    <w:tmpl w:val="8461FADE"/>
    <w:lvl w:ilvl="0" w:tentative="0">
      <w:start w:val="5"/>
      <w:numFmt w:val="decimal"/>
      <w:lvlText w:val="%1."/>
      <w:lvlJc w:val="left"/>
      <w:rPr>
        <w:color w:val="3370FF"/>
      </w:rPr>
    </w:lvl>
  </w:abstractNum>
  <w:abstractNum w:abstractNumId="3">
    <w:nsid w:val="8CAEB125"/>
    <w:multiLevelType w:val="singleLevel"/>
    <w:tmpl w:val="8CAEB125"/>
    <w:lvl w:ilvl="0" w:tentative="0">
      <w:start w:val="0"/>
      <w:numFmt w:val="bullet"/>
      <w:lvlText w:val="•"/>
      <w:lvlJc w:val="left"/>
      <w:rPr>
        <w:color w:val="3370FF"/>
      </w:rPr>
    </w:lvl>
  </w:abstractNum>
  <w:abstractNum w:abstractNumId="4">
    <w:nsid w:val="91995D4F"/>
    <w:multiLevelType w:val="singleLevel"/>
    <w:tmpl w:val="91995D4F"/>
    <w:lvl w:ilvl="0" w:tentative="0">
      <w:start w:val="0"/>
      <w:numFmt w:val="bullet"/>
      <w:lvlText w:val="•"/>
      <w:lvlJc w:val="left"/>
      <w:rPr>
        <w:color w:val="3370FF"/>
      </w:rPr>
    </w:lvl>
  </w:abstractNum>
  <w:abstractNum w:abstractNumId="5">
    <w:nsid w:val="9239341B"/>
    <w:multiLevelType w:val="singleLevel"/>
    <w:tmpl w:val="9239341B"/>
    <w:lvl w:ilvl="0" w:tentative="0">
      <w:start w:val="0"/>
      <w:numFmt w:val="bullet"/>
      <w:lvlText w:val="•"/>
      <w:lvlJc w:val="left"/>
      <w:rPr>
        <w:color w:val="3370FF"/>
      </w:rPr>
    </w:lvl>
  </w:abstractNum>
  <w:abstractNum w:abstractNumId="6">
    <w:nsid w:val="9288B902"/>
    <w:multiLevelType w:val="singleLevel"/>
    <w:tmpl w:val="9288B902"/>
    <w:lvl w:ilvl="0" w:tentative="0">
      <w:start w:val="3"/>
      <w:numFmt w:val="decimal"/>
      <w:lvlText w:val="%1."/>
      <w:lvlJc w:val="left"/>
      <w:rPr>
        <w:color w:val="3370FF"/>
      </w:rPr>
    </w:lvl>
  </w:abstractNum>
  <w:abstractNum w:abstractNumId="7">
    <w:nsid w:val="9C8AC8EF"/>
    <w:multiLevelType w:val="singleLevel"/>
    <w:tmpl w:val="9C8AC8EF"/>
    <w:lvl w:ilvl="0" w:tentative="0">
      <w:start w:val="0"/>
      <w:numFmt w:val="bullet"/>
      <w:lvlText w:val="•"/>
      <w:lvlJc w:val="left"/>
      <w:rPr>
        <w:color w:val="3370FF"/>
      </w:rPr>
    </w:lvl>
  </w:abstractNum>
  <w:abstractNum w:abstractNumId="8">
    <w:nsid w:val="B0F1ACD9"/>
    <w:multiLevelType w:val="singleLevel"/>
    <w:tmpl w:val="B0F1ACD9"/>
    <w:lvl w:ilvl="0" w:tentative="0">
      <w:start w:val="0"/>
      <w:numFmt w:val="bullet"/>
      <w:lvlText w:val="•"/>
      <w:lvlJc w:val="left"/>
      <w:rPr>
        <w:color w:val="3370FF"/>
      </w:rPr>
    </w:lvl>
  </w:abstractNum>
  <w:abstractNum w:abstractNumId="9">
    <w:nsid w:val="B53F3350"/>
    <w:multiLevelType w:val="singleLevel"/>
    <w:tmpl w:val="B53F3350"/>
    <w:lvl w:ilvl="0" w:tentative="0">
      <w:start w:val="0"/>
      <w:numFmt w:val="bullet"/>
      <w:lvlText w:val="•"/>
      <w:lvlJc w:val="left"/>
      <w:rPr>
        <w:color w:val="3370FF"/>
      </w:rPr>
    </w:lvl>
  </w:abstractNum>
  <w:abstractNum w:abstractNumId="10">
    <w:nsid w:val="B5E306ED"/>
    <w:multiLevelType w:val="singleLevel"/>
    <w:tmpl w:val="B5E306ED"/>
    <w:lvl w:ilvl="0" w:tentative="0">
      <w:start w:val="0"/>
      <w:numFmt w:val="bullet"/>
      <w:lvlText w:val="•"/>
      <w:lvlJc w:val="left"/>
      <w:rPr>
        <w:color w:val="3370FF"/>
      </w:rPr>
    </w:lvl>
  </w:abstractNum>
  <w:abstractNum w:abstractNumId="11">
    <w:nsid w:val="B8CEF35B"/>
    <w:multiLevelType w:val="singleLevel"/>
    <w:tmpl w:val="B8CEF35B"/>
    <w:lvl w:ilvl="0" w:tentative="0">
      <w:start w:val="0"/>
      <w:numFmt w:val="bullet"/>
      <w:lvlText w:val="•"/>
      <w:lvlJc w:val="left"/>
      <w:rPr>
        <w:color w:val="3370FF"/>
      </w:rPr>
    </w:lvl>
  </w:abstractNum>
  <w:abstractNum w:abstractNumId="12">
    <w:nsid w:val="BB64CFA9"/>
    <w:multiLevelType w:val="singleLevel"/>
    <w:tmpl w:val="BB64CFA9"/>
    <w:lvl w:ilvl="0" w:tentative="0">
      <w:start w:val="0"/>
      <w:numFmt w:val="bullet"/>
      <w:lvlText w:val="•"/>
      <w:lvlJc w:val="left"/>
      <w:rPr>
        <w:color w:val="3370FF"/>
      </w:rPr>
    </w:lvl>
  </w:abstractNum>
  <w:abstractNum w:abstractNumId="13">
    <w:nsid w:val="BE923771"/>
    <w:multiLevelType w:val="singleLevel"/>
    <w:tmpl w:val="BE923771"/>
    <w:lvl w:ilvl="0" w:tentative="0">
      <w:start w:val="1"/>
      <w:numFmt w:val="decimal"/>
      <w:lvlText w:val="%1."/>
      <w:lvlJc w:val="left"/>
      <w:rPr>
        <w:color w:val="3370FF"/>
      </w:rPr>
    </w:lvl>
  </w:abstractNum>
  <w:abstractNum w:abstractNumId="14">
    <w:nsid w:val="BF205925"/>
    <w:multiLevelType w:val="singleLevel"/>
    <w:tmpl w:val="BF205925"/>
    <w:lvl w:ilvl="0" w:tentative="0">
      <w:start w:val="0"/>
      <w:numFmt w:val="bullet"/>
      <w:lvlText w:val="•"/>
      <w:lvlJc w:val="left"/>
      <w:rPr>
        <w:color w:val="3370FF"/>
      </w:rPr>
    </w:lvl>
  </w:abstractNum>
  <w:abstractNum w:abstractNumId="15">
    <w:nsid w:val="C8879AEF"/>
    <w:multiLevelType w:val="singleLevel"/>
    <w:tmpl w:val="C8879AEF"/>
    <w:lvl w:ilvl="0" w:tentative="0">
      <w:start w:val="3"/>
      <w:numFmt w:val="decimal"/>
      <w:lvlText w:val="%1."/>
      <w:lvlJc w:val="left"/>
      <w:rPr>
        <w:color w:val="3370FF"/>
      </w:rPr>
    </w:lvl>
  </w:abstractNum>
  <w:abstractNum w:abstractNumId="16">
    <w:nsid w:val="CF092B84"/>
    <w:multiLevelType w:val="singleLevel"/>
    <w:tmpl w:val="CF092B84"/>
    <w:lvl w:ilvl="0" w:tentative="0">
      <w:start w:val="0"/>
      <w:numFmt w:val="bullet"/>
      <w:lvlText w:val="•"/>
      <w:lvlJc w:val="left"/>
      <w:rPr>
        <w:color w:val="3370FF"/>
      </w:rPr>
    </w:lvl>
  </w:abstractNum>
  <w:abstractNum w:abstractNumId="17">
    <w:nsid w:val="D7D140E4"/>
    <w:multiLevelType w:val="singleLevel"/>
    <w:tmpl w:val="D7D140E4"/>
    <w:lvl w:ilvl="0" w:tentative="0">
      <w:start w:val="0"/>
      <w:numFmt w:val="bullet"/>
      <w:lvlText w:val="•"/>
      <w:lvlJc w:val="left"/>
      <w:rPr>
        <w:color w:val="3370FF"/>
      </w:rPr>
    </w:lvl>
  </w:abstractNum>
  <w:abstractNum w:abstractNumId="18">
    <w:nsid w:val="D7F9FE59"/>
    <w:multiLevelType w:val="singleLevel"/>
    <w:tmpl w:val="D7F9FE59"/>
    <w:lvl w:ilvl="0" w:tentative="0">
      <w:start w:val="0"/>
      <w:numFmt w:val="bullet"/>
      <w:lvlText w:val="•"/>
      <w:lvlJc w:val="left"/>
      <w:rPr>
        <w:color w:val="3370FF"/>
      </w:rPr>
    </w:lvl>
  </w:abstractNum>
  <w:abstractNum w:abstractNumId="19">
    <w:nsid w:val="DCBA6B53"/>
    <w:multiLevelType w:val="singleLevel"/>
    <w:tmpl w:val="DCBA6B53"/>
    <w:lvl w:ilvl="0" w:tentative="0">
      <w:start w:val="0"/>
      <w:numFmt w:val="bullet"/>
      <w:lvlText w:val="•"/>
      <w:lvlJc w:val="left"/>
      <w:rPr>
        <w:color w:val="3370FF"/>
      </w:rPr>
    </w:lvl>
  </w:abstractNum>
  <w:abstractNum w:abstractNumId="20">
    <w:nsid w:val="E093A4B0"/>
    <w:multiLevelType w:val="singleLevel"/>
    <w:tmpl w:val="E093A4B0"/>
    <w:lvl w:ilvl="0" w:tentative="0">
      <w:start w:val="0"/>
      <w:numFmt w:val="bullet"/>
      <w:lvlText w:val="•"/>
      <w:lvlJc w:val="left"/>
      <w:rPr>
        <w:color w:val="3370FF"/>
      </w:rPr>
    </w:lvl>
  </w:abstractNum>
  <w:abstractNum w:abstractNumId="21">
    <w:nsid w:val="F0E89278"/>
    <w:multiLevelType w:val="singleLevel"/>
    <w:tmpl w:val="F0E89278"/>
    <w:lvl w:ilvl="0" w:tentative="0">
      <w:start w:val="0"/>
      <w:numFmt w:val="bullet"/>
      <w:lvlText w:val="•"/>
      <w:lvlJc w:val="left"/>
      <w:rPr>
        <w:color w:val="3370FF"/>
      </w:rPr>
    </w:lvl>
  </w:abstractNum>
  <w:abstractNum w:abstractNumId="22">
    <w:nsid w:val="F4B5D9F5"/>
    <w:multiLevelType w:val="singleLevel"/>
    <w:tmpl w:val="F4B5D9F5"/>
    <w:lvl w:ilvl="0" w:tentative="0">
      <w:start w:val="0"/>
      <w:numFmt w:val="bullet"/>
      <w:lvlText w:val="•"/>
      <w:lvlJc w:val="left"/>
      <w:rPr>
        <w:color w:val="3370FF"/>
      </w:rPr>
    </w:lvl>
  </w:abstractNum>
  <w:abstractNum w:abstractNumId="23">
    <w:nsid w:val="F7735DC9"/>
    <w:multiLevelType w:val="singleLevel"/>
    <w:tmpl w:val="F7735DC9"/>
    <w:lvl w:ilvl="0" w:tentative="0">
      <w:start w:val="0"/>
      <w:numFmt w:val="bullet"/>
      <w:lvlText w:val="•"/>
      <w:lvlJc w:val="left"/>
      <w:rPr>
        <w:color w:val="3370FF"/>
      </w:rPr>
    </w:lvl>
  </w:abstractNum>
  <w:abstractNum w:abstractNumId="24">
    <w:nsid w:val="0053208E"/>
    <w:multiLevelType w:val="singleLevel"/>
    <w:tmpl w:val="0053208E"/>
    <w:lvl w:ilvl="0" w:tentative="0">
      <w:start w:val="0"/>
      <w:numFmt w:val="bullet"/>
      <w:lvlText w:val="•"/>
      <w:lvlJc w:val="left"/>
      <w:rPr>
        <w:color w:val="3370FF"/>
      </w:rPr>
    </w:lvl>
  </w:abstractNum>
  <w:abstractNum w:abstractNumId="25">
    <w:nsid w:val="0248C179"/>
    <w:multiLevelType w:val="singleLevel"/>
    <w:tmpl w:val="0248C179"/>
    <w:lvl w:ilvl="0" w:tentative="0">
      <w:start w:val="0"/>
      <w:numFmt w:val="bullet"/>
      <w:lvlText w:val="•"/>
      <w:lvlJc w:val="left"/>
      <w:rPr>
        <w:color w:val="3370FF"/>
      </w:rPr>
    </w:lvl>
  </w:abstractNum>
  <w:abstractNum w:abstractNumId="26">
    <w:nsid w:val="03D62ECE"/>
    <w:multiLevelType w:val="singleLevel"/>
    <w:tmpl w:val="03D62ECE"/>
    <w:lvl w:ilvl="0" w:tentative="0">
      <w:start w:val="0"/>
      <w:numFmt w:val="bullet"/>
      <w:lvlText w:val="•"/>
      <w:lvlJc w:val="left"/>
      <w:rPr>
        <w:color w:val="3370FF"/>
      </w:rPr>
    </w:lvl>
  </w:abstractNum>
  <w:abstractNum w:abstractNumId="27">
    <w:nsid w:val="0709FD3E"/>
    <w:multiLevelType w:val="singleLevel"/>
    <w:tmpl w:val="0709FD3E"/>
    <w:lvl w:ilvl="0" w:tentative="0">
      <w:start w:val="0"/>
      <w:numFmt w:val="bullet"/>
      <w:lvlText w:val="•"/>
      <w:lvlJc w:val="left"/>
      <w:rPr>
        <w:color w:val="3370FF"/>
      </w:rPr>
    </w:lvl>
  </w:abstractNum>
  <w:abstractNum w:abstractNumId="28">
    <w:nsid w:val="0CEF100B"/>
    <w:multiLevelType w:val="singleLevel"/>
    <w:tmpl w:val="0CEF100B"/>
    <w:lvl w:ilvl="0" w:tentative="0">
      <w:start w:val="0"/>
      <w:numFmt w:val="bullet"/>
      <w:lvlText w:val="•"/>
      <w:lvlJc w:val="left"/>
      <w:rPr>
        <w:color w:val="3370FF"/>
      </w:rPr>
    </w:lvl>
  </w:abstractNum>
  <w:abstractNum w:abstractNumId="29">
    <w:nsid w:val="0E640482"/>
    <w:multiLevelType w:val="singleLevel"/>
    <w:tmpl w:val="0E640482"/>
    <w:lvl w:ilvl="0" w:tentative="0">
      <w:start w:val="0"/>
      <w:numFmt w:val="bullet"/>
      <w:lvlText w:val="•"/>
      <w:lvlJc w:val="left"/>
      <w:rPr>
        <w:color w:val="3370FF"/>
      </w:rPr>
    </w:lvl>
  </w:abstractNum>
  <w:abstractNum w:abstractNumId="30">
    <w:nsid w:val="0F9F9CCA"/>
    <w:multiLevelType w:val="singleLevel"/>
    <w:tmpl w:val="0F9F9CCA"/>
    <w:lvl w:ilvl="0" w:tentative="0">
      <w:start w:val="0"/>
      <w:numFmt w:val="bullet"/>
      <w:lvlText w:val="•"/>
      <w:lvlJc w:val="left"/>
      <w:rPr>
        <w:color w:val="3370FF"/>
      </w:rPr>
    </w:lvl>
  </w:abstractNum>
  <w:abstractNum w:abstractNumId="31">
    <w:nsid w:val="1ACDE60F"/>
    <w:multiLevelType w:val="singleLevel"/>
    <w:tmpl w:val="1ACDE60F"/>
    <w:lvl w:ilvl="0" w:tentative="0">
      <w:start w:val="0"/>
      <w:numFmt w:val="bullet"/>
      <w:lvlText w:val="•"/>
      <w:lvlJc w:val="left"/>
      <w:rPr>
        <w:color w:val="3370FF"/>
      </w:rPr>
    </w:lvl>
  </w:abstractNum>
  <w:abstractNum w:abstractNumId="32">
    <w:nsid w:val="1C257C7B"/>
    <w:multiLevelType w:val="singleLevel"/>
    <w:tmpl w:val="1C257C7B"/>
    <w:lvl w:ilvl="0" w:tentative="0">
      <w:start w:val="0"/>
      <w:numFmt w:val="bullet"/>
      <w:lvlText w:val="•"/>
      <w:lvlJc w:val="left"/>
      <w:rPr>
        <w:color w:val="3370FF"/>
      </w:rPr>
    </w:lvl>
  </w:abstractNum>
  <w:abstractNum w:abstractNumId="33">
    <w:nsid w:val="23E97754"/>
    <w:multiLevelType w:val="singleLevel"/>
    <w:tmpl w:val="23E97754"/>
    <w:lvl w:ilvl="0" w:tentative="0">
      <w:start w:val="0"/>
      <w:numFmt w:val="bullet"/>
      <w:lvlText w:val="•"/>
      <w:lvlJc w:val="left"/>
      <w:rPr>
        <w:color w:val="3370FF"/>
      </w:rPr>
    </w:lvl>
  </w:abstractNum>
  <w:abstractNum w:abstractNumId="34">
    <w:nsid w:val="243FCF68"/>
    <w:multiLevelType w:val="singleLevel"/>
    <w:tmpl w:val="243FCF68"/>
    <w:lvl w:ilvl="0" w:tentative="0">
      <w:start w:val="4"/>
      <w:numFmt w:val="decimal"/>
      <w:lvlText w:val="%1."/>
      <w:lvlJc w:val="left"/>
      <w:rPr>
        <w:color w:val="3370FF"/>
      </w:rPr>
    </w:lvl>
  </w:abstractNum>
  <w:abstractNum w:abstractNumId="35">
    <w:nsid w:val="2470EC97"/>
    <w:multiLevelType w:val="singleLevel"/>
    <w:tmpl w:val="2470EC97"/>
    <w:lvl w:ilvl="0" w:tentative="0">
      <w:start w:val="0"/>
      <w:numFmt w:val="bullet"/>
      <w:lvlText w:val="•"/>
      <w:lvlJc w:val="left"/>
      <w:rPr>
        <w:color w:val="3370FF"/>
      </w:rPr>
    </w:lvl>
  </w:abstractNum>
  <w:abstractNum w:abstractNumId="36">
    <w:nsid w:val="25B654F3"/>
    <w:multiLevelType w:val="singleLevel"/>
    <w:tmpl w:val="25B654F3"/>
    <w:lvl w:ilvl="0" w:tentative="0">
      <w:start w:val="0"/>
      <w:numFmt w:val="bullet"/>
      <w:lvlText w:val="•"/>
      <w:lvlJc w:val="left"/>
      <w:rPr>
        <w:color w:val="3370FF"/>
      </w:rPr>
    </w:lvl>
  </w:abstractNum>
  <w:abstractNum w:abstractNumId="37">
    <w:nsid w:val="2A8F537B"/>
    <w:multiLevelType w:val="singleLevel"/>
    <w:tmpl w:val="2A8F537B"/>
    <w:lvl w:ilvl="0" w:tentative="0">
      <w:start w:val="1"/>
      <w:numFmt w:val="decimal"/>
      <w:lvlText w:val="%1."/>
      <w:lvlJc w:val="left"/>
      <w:rPr>
        <w:color w:val="3370FF"/>
      </w:rPr>
    </w:lvl>
  </w:abstractNum>
  <w:abstractNum w:abstractNumId="38">
    <w:nsid w:val="30FC5B15"/>
    <w:multiLevelType w:val="singleLevel"/>
    <w:tmpl w:val="30FC5B15"/>
    <w:lvl w:ilvl="0" w:tentative="0">
      <w:start w:val="0"/>
      <w:numFmt w:val="bullet"/>
      <w:lvlText w:val="•"/>
      <w:lvlJc w:val="left"/>
      <w:rPr>
        <w:color w:val="3370FF"/>
      </w:rPr>
    </w:lvl>
  </w:abstractNum>
  <w:abstractNum w:abstractNumId="39">
    <w:nsid w:val="322D85CA"/>
    <w:multiLevelType w:val="singleLevel"/>
    <w:tmpl w:val="322D85CA"/>
    <w:lvl w:ilvl="0" w:tentative="0">
      <w:start w:val="0"/>
      <w:numFmt w:val="bullet"/>
      <w:lvlText w:val="•"/>
      <w:lvlJc w:val="left"/>
      <w:rPr>
        <w:color w:val="3370FF"/>
      </w:rPr>
    </w:lvl>
  </w:abstractNum>
  <w:abstractNum w:abstractNumId="40">
    <w:nsid w:val="32A7AF2D"/>
    <w:multiLevelType w:val="singleLevel"/>
    <w:tmpl w:val="32A7AF2D"/>
    <w:lvl w:ilvl="0" w:tentative="0">
      <w:start w:val="0"/>
      <w:numFmt w:val="bullet"/>
      <w:lvlText w:val="•"/>
      <w:lvlJc w:val="left"/>
      <w:rPr>
        <w:color w:val="3370FF"/>
      </w:rPr>
    </w:lvl>
  </w:abstractNum>
  <w:abstractNum w:abstractNumId="41">
    <w:nsid w:val="39A0D9AC"/>
    <w:multiLevelType w:val="singleLevel"/>
    <w:tmpl w:val="39A0D9AC"/>
    <w:lvl w:ilvl="0" w:tentative="0">
      <w:start w:val="4"/>
      <w:numFmt w:val="decimal"/>
      <w:lvlText w:val="%1."/>
      <w:lvlJc w:val="left"/>
      <w:rPr>
        <w:color w:val="3370FF"/>
      </w:rPr>
    </w:lvl>
  </w:abstractNum>
  <w:abstractNum w:abstractNumId="42">
    <w:nsid w:val="40B249F9"/>
    <w:multiLevelType w:val="singleLevel"/>
    <w:tmpl w:val="40B249F9"/>
    <w:lvl w:ilvl="0" w:tentative="0">
      <w:start w:val="0"/>
      <w:numFmt w:val="bullet"/>
      <w:lvlText w:val="•"/>
      <w:lvlJc w:val="left"/>
      <w:rPr>
        <w:color w:val="3370FF"/>
      </w:rPr>
    </w:lvl>
  </w:abstractNum>
  <w:abstractNum w:abstractNumId="43">
    <w:nsid w:val="46A08BB8"/>
    <w:multiLevelType w:val="singleLevel"/>
    <w:tmpl w:val="46A08BB8"/>
    <w:lvl w:ilvl="0" w:tentative="0">
      <w:start w:val="0"/>
      <w:numFmt w:val="bullet"/>
      <w:lvlText w:val="•"/>
      <w:lvlJc w:val="left"/>
      <w:rPr>
        <w:color w:val="3370FF"/>
      </w:rPr>
    </w:lvl>
  </w:abstractNum>
  <w:abstractNum w:abstractNumId="44">
    <w:nsid w:val="4C1BAE26"/>
    <w:multiLevelType w:val="singleLevel"/>
    <w:tmpl w:val="4C1BAE26"/>
    <w:lvl w:ilvl="0" w:tentative="0">
      <w:start w:val="0"/>
      <w:numFmt w:val="bullet"/>
      <w:lvlText w:val="•"/>
      <w:lvlJc w:val="left"/>
      <w:rPr>
        <w:color w:val="3370FF"/>
      </w:rPr>
    </w:lvl>
  </w:abstractNum>
  <w:abstractNum w:abstractNumId="45">
    <w:nsid w:val="4C3D7A74"/>
    <w:multiLevelType w:val="singleLevel"/>
    <w:tmpl w:val="4C3D7A74"/>
    <w:lvl w:ilvl="0" w:tentative="0">
      <w:start w:val="0"/>
      <w:numFmt w:val="bullet"/>
      <w:lvlText w:val="•"/>
      <w:lvlJc w:val="left"/>
      <w:rPr>
        <w:color w:val="3370FF"/>
      </w:rPr>
    </w:lvl>
  </w:abstractNum>
  <w:abstractNum w:abstractNumId="46">
    <w:nsid w:val="4D4DC07F"/>
    <w:multiLevelType w:val="singleLevel"/>
    <w:tmpl w:val="4D4DC07F"/>
    <w:lvl w:ilvl="0" w:tentative="0">
      <w:start w:val="4"/>
      <w:numFmt w:val="decimal"/>
      <w:lvlText w:val="%1."/>
      <w:lvlJc w:val="left"/>
      <w:rPr>
        <w:color w:val="3370FF"/>
      </w:rPr>
    </w:lvl>
  </w:abstractNum>
  <w:abstractNum w:abstractNumId="47">
    <w:nsid w:val="4D94DA66"/>
    <w:multiLevelType w:val="singleLevel"/>
    <w:tmpl w:val="4D94DA66"/>
    <w:lvl w:ilvl="0" w:tentative="0">
      <w:start w:val="5"/>
      <w:numFmt w:val="decimal"/>
      <w:lvlText w:val="%1."/>
      <w:lvlJc w:val="left"/>
      <w:rPr>
        <w:color w:val="3370FF"/>
      </w:rPr>
    </w:lvl>
  </w:abstractNum>
  <w:abstractNum w:abstractNumId="48">
    <w:nsid w:val="58765686"/>
    <w:multiLevelType w:val="singleLevel"/>
    <w:tmpl w:val="58765686"/>
    <w:lvl w:ilvl="0" w:tentative="0">
      <w:start w:val="1"/>
      <w:numFmt w:val="decimal"/>
      <w:lvlText w:val="%1."/>
      <w:lvlJc w:val="left"/>
      <w:rPr>
        <w:color w:val="3370FF"/>
      </w:rPr>
    </w:lvl>
  </w:abstractNum>
  <w:abstractNum w:abstractNumId="49">
    <w:nsid w:val="59ADCABA"/>
    <w:multiLevelType w:val="singleLevel"/>
    <w:tmpl w:val="59ADCABA"/>
    <w:lvl w:ilvl="0" w:tentative="0">
      <w:start w:val="0"/>
      <w:numFmt w:val="bullet"/>
      <w:lvlText w:val="•"/>
      <w:lvlJc w:val="left"/>
      <w:rPr>
        <w:color w:val="3370FF"/>
      </w:rPr>
    </w:lvl>
  </w:abstractNum>
  <w:abstractNum w:abstractNumId="50">
    <w:nsid w:val="5A241D34"/>
    <w:multiLevelType w:val="singleLevel"/>
    <w:tmpl w:val="5A241D34"/>
    <w:lvl w:ilvl="0" w:tentative="0">
      <w:start w:val="2"/>
      <w:numFmt w:val="decimal"/>
      <w:lvlText w:val="%1."/>
      <w:lvlJc w:val="left"/>
      <w:rPr>
        <w:color w:val="3370FF"/>
      </w:rPr>
    </w:lvl>
  </w:abstractNum>
  <w:abstractNum w:abstractNumId="51">
    <w:nsid w:val="5E29AB5A"/>
    <w:multiLevelType w:val="singleLevel"/>
    <w:tmpl w:val="5E29AB5A"/>
    <w:lvl w:ilvl="0" w:tentative="0">
      <w:start w:val="0"/>
      <w:numFmt w:val="bullet"/>
      <w:lvlText w:val="•"/>
      <w:lvlJc w:val="left"/>
      <w:rPr>
        <w:color w:val="3370FF"/>
      </w:rPr>
    </w:lvl>
  </w:abstractNum>
  <w:abstractNum w:abstractNumId="52">
    <w:nsid w:val="5FFFB1A7"/>
    <w:multiLevelType w:val="singleLevel"/>
    <w:tmpl w:val="5FFFB1A7"/>
    <w:lvl w:ilvl="0" w:tentative="0">
      <w:start w:val="0"/>
      <w:numFmt w:val="bullet"/>
      <w:lvlText w:val="•"/>
      <w:lvlJc w:val="left"/>
      <w:rPr>
        <w:color w:val="3370FF"/>
      </w:rPr>
    </w:lvl>
  </w:abstractNum>
  <w:abstractNum w:abstractNumId="53">
    <w:nsid w:val="60382F6E"/>
    <w:multiLevelType w:val="singleLevel"/>
    <w:tmpl w:val="60382F6E"/>
    <w:lvl w:ilvl="0" w:tentative="0">
      <w:start w:val="0"/>
      <w:numFmt w:val="bullet"/>
      <w:lvlText w:val="•"/>
      <w:lvlJc w:val="left"/>
      <w:rPr>
        <w:color w:val="3370FF"/>
      </w:rPr>
    </w:lvl>
  </w:abstractNum>
  <w:abstractNum w:abstractNumId="54">
    <w:nsid w:val="629F7852"/>
    <w:multiLevelType w:val="singleLevel"/>
    <w:tmpl w:val="629F7852"/>
    <w:lvl w:ilvl="0" w:tentative="0">
      <w:start w:val="2"/>
      <w:numFmt w:val="decimal"/>
      <w:lvlText w:val="%1."/>
      <w:lvlJc w:val="left"/>
      <w:rPr>
        <w:color w:val="3370FF"/>
      </w:rPr>
    </w:lvl>
  </w:abstractNum>
  <w:abstractNum w:abstractNumId="55">
    <w:nsid w:val="65CD0074"/>
    <w:multiLevelType w:val="singleLevel"/>
    <w:tmpl w:val="65CD0074"/>
    <w:lvl w:ilvl="0" w:tentative="0">
      <w:start w:val="0"/>
      <w:numFmt w:val="bullet"/>
      <w:lvlText w:val="•"/>
      <w:lvlJc w:val="left"/>
      <w:rPr>
        <w:color w:val="3370FF"/>
      </w:rPr>
    </w:lvl>
  </w:abstractNum>
  <w:abstractNum w:abstractNumId="56">
    <w:nsid w:val="72183CF9"/>
    <w:multiLevelType w:val="singleLevel"/>
    <w:tmpl w:val="72183CF9"/>
    <w:lvl w:ilvl="0" w:tentative="0">
      <w:start w:val="0"/>
      <w:numFmt w:val="bullet"/>
      <w:lvlText w:val="•"/>
      <w:lvlJc w:val="left"/>
      <w:rPr>
        <w:color w:val="3370FF"/>
      </w:rPr>
    </w:lvl>
  </w:abstractNum>
  <w:abstractNum w:abstractNumId="57">
    <w:nsid w:val="74C28B35"/>
    <w:multiLevelType w:val="singleLevel"/>
    <w:tmpl w:val="74C28B35"/>
    <w:lvl w:ilvl="0" w:tentative="0">
      <w:start w:val="0"/>
      <w:numFmt w:val="bullet"/>
      <w:lvlText w:val="•"/>
      <w:lvlJc w:val="left"/>
      <w:rPr>
        <w:color w:val="3370FF"/>
      </w:rPr>
    </w:lvl>
  </w:abstractNum>
  <w:abstractNum w:abstractNumId="58">
    <w:nsid w:val="77ECEA79"/>
    <w:multiLevelType w:val="singleLevel"/>
    <w:tmpl w:val="77ECEA79"/>
    <w:lvl w:ilvl="0" w:tentative="0">
      <w:start w:val="0"/>
      <w:numFmt w:val="bullet"/>
      <w:lvlText w:val="•"/>
      <w:lvlJc w:val="left"/>
      <w:rPr>
        <w:color w:val="3370FF"/>
      </w:rPr>
    </w:lvl>
  </w:abstractNum>
  <w:abstractNum w:abstractNumId="59">
    <w:nsid w:val="79AA4FA4"/>
    <w:multiLevelType w:val="singleLevel"/>
    <w:tmpl w:val="79AA4FA4"/>
    <w:lvl w:ilvl="0" w:tentative="0">
      <w:start w:val="0"/>
      <w:numFmt w:val="bullet"/>
      <w:lvlText w:val="•"/>
      <w:lvlJc w:val="left"/>
      <w:rPr>
        <w:color w:val="3370FF"/>
      </w:rPr>
    </w:lvl>
  </w:abstractNum>
  <w:abstractNum w:abstractNumId="60">
    <w:nsid w:val="7C246926"/>
    <w:multiLevelType w:val="singleLevel"/>
    <w:tmpl w:val="7C246926"/>
    <w:lvl w:ilvl="0" w:tentative="0">
      <w:start w:val="0"/>
      <w:numFmt w:val="bullet"/>
      <w:lvlText w:val="•"/>
      <w:lvlJc w:val="left"/>
      <w:rPr>
        <w:color w:val="3370FF"/>
      </w:rPr>
    </w:lvl>
  </w:abstractNum>
  <w:abstractNum w:abstractNumId="61">
    <w:nsid w:val="7DEC2089"/>
    <w:multiLevelType w:val="singleLevel"/>
    <w:tmpl w:val="7DEC2089"/>
    <w:lvl w:ilvl="0" w:tentative="0">
      <w:start w:val="2"/>
      <w:numFmt w:val="decimal"/>
      <w:lvlText w:val="%1."/>
      <w:lvlJc w:val="left"/>
      <w:rPr>
        <w:color w:val="3370FF"/>
      </w:rPr>
    </w:lvl>
  </w:abstractNum>
  <w:num w:numId="1">
    <w:abstractNumId w:val="24"/>
  </w:num>
  <w:num w:numId="2">
    <w:abstractNumId w:val="16"/>
  </w:num>
  <w:num w:numId="3">
    <w:abstractNumId w:val="49"/>
  </w:num>
  <w:num w:numId="4">
    <w:abstractNumId w:val="14"/>
  </w:num>
  <w:num w:numId="5">
    <w:abstractNumId w:val="10"/>
  </w:num>
  <w:num w:numId="6">
    <w:abstractNumId w:val="26"/>
  </w:num>
  <w:num w:numId="7">
    <w:abstractNumId w:val="36"/>
  </w:num>
  <w:num w:numId="8">
    <w:abstractNumId w:val="56"/>
  </w:num>
  <w:num w:numId="9">
    <w:abstractNumId w:val="25"/>
  </w:num>
  <w:num w:numId="10">
    <w:abstractNumId w:val="5"/>
  </w:num>
  <w:num w:numId="11">
    <w:abstractNumId w:val="37"/>
  </w:num>
  <w:num w:numId="12">
    <w:abstractNumId w:val="50"/>
  </w:num>
  <w:num w:numId="13">
    <w:abstractNumId w:val="15"/>
  </w:num>
  <w:num w:numId="14">
    <w:abstractNumId w:val="46"/>
  </w:num>
  <w:num w:numId="15">
    <w:abstractNumId w:val="22"/>
  </w:num>
  <w:num w:numId="16">
    <w:abstractNumId w:val="35"/>
  </w:num>
  <w:num w:numId="17">
    <w:abstractNumId w:val="19"/>
  </w:num>
  <w:num w:numId="18">
    <w:abstractNumId w:val="18"/>
  </w:num>
  <w:num w:numId="19">
    <w:abstractNumId w:val="7"/>
  </w:num>
  <w:num w:numId="20">
    <w:abstractNumId w:val="44"/>
  </w:num>
  <w:num w:numId="21">
    <w:abstractNumId w:val="53"/>
  </w:num>
  <w:num w:numId="22">
    <w:abstractNumId w:val="29"/>
  </w:num>
  <w:num w:numId="23">
    <w:abstractNumId w:val="43"/>
  </w:num>
  <w:num w:numId="24">
    <w:abstractNumId w:val="8"/>
  </w:num>
  <w:num w:numId="25">
    <w:abstractNumId w:val="60"/>
  </w:num>
  <w:num w:numId="26">
    <w:abstractNumId w:val="58"/>
  </w:num>
  <w:num w:numId="27">
    <w:abstractNumId w:val="13"/>
  </w:num>
  <w:num w:numId="28">
    <w:abstractNumId w:val="54"/>
  </w:num>
  <w:num w:numId="29">
    <w:abstractNumId w:val="6"/>
  </w:num>
  <w:num w:numId="30">
    <w:abstractNumId w:val="41"/>
  </w:num>
  <w:num w:numId="31">
    <w:abstractNumId w:val="2"/>
  </w:num>
  <w:num w:numId="32">
    <w:abstractNumId w:val="48"/>
  </w:num>
  <w:num w:numId="33">
    <w:abstractNumId w:val="61"/>
  </w:num>
  <w:num w:numId="34">
    <w:abstractNumId w:val="0"/>
  </w:num>
  <w:num w:numId="35">
    <w:abstractNumId w:val="34"/>
  </w:num>
  <w:num w:numId="36">
    <w:abstractNumId w:val="47"/>
  </w:num>
  <w:num w:numId="37">
    <w:abstractNumId w:val="23"/>
  </w:num>
  <w:num w:numId="38">
    <w:abstractNumId w:val="20"/>
  </w:num>
  <w:num w:numId="39">
    <w:abstractNumId w:val="38"/>
  </w:num>
  <w:num w:numId="40">
    <w:abstractNumId w:val="59"/>
  </w:num>
  <w:num w:numId="41">
    <w:abstractNumId w:val="12"/>
  </w:num>
  <w:num w:numId="42">
    <w:abstractNumId w:val="4"/>
  </w:num>
  <w:num w:numId="43">
    <w:abstractNumId w:val="11"/>
  </w:num>
  <w:num w:numId="44">
    <w:abstractNumId w:val="51"/>
  </w:num>
  <w:num w:numId="45">
    <w:abstractNumId w:val="1"/>
  </w:num>
  <w:num w:numId="46">
    <w:abstractNumId w:val="31"/>
  </w:num>
  <w:num w:numId="47">
    <w:abstractNumId w:val="3"/>
  </w:num>
  <w:num w:numId="48">
    <w:abstractNumId w:val="52"/>
  </w:num>
  <w:num w:numId="49">
    <w:abstractNumId w:val="57"/>
  </w:num>
  <w:num w:numId="50">
    <w:abstractNumId w:val="45"/>
  </w:num>
  <w:num w:numId="51">
    <w:abstractNumId w:val="39"/>
  </w:num>
  <w:num w:numId="52">
    <w:abstractNumId w:val="55"/>
  </w:num>
  <w:num w:numId="53">
    <w:abstractNumId w:val="27"/>
  </w:num>
  <w:num w:numId="54">
    <w:abstractNumId w:val="28"/>
  </w:num>
  <w:num w:numId="55">
    <w:abstractNumId w:val="17"/>
  </w:num>
  <w:num w:numId="56">
    <w:abstractNumId w:val="40"/>
  </w:num>
  <w:num w:numId="57">
    <w:abstractNumId w:val="32"/>
  </w:num>
  <w:num w:numId="58">
    <w:abstractNumId w:val="21"/>
  </w:num>
  <w:num w:numId="59">
    <w:abstractNumId w:val="33"/>
  </w:num>
  <w:num w:numId="60">
    <w:abstractNumId w:val="9"/>
  </w:num>
  <w:num w:numId="61">
    <w:abstractNumId w:val="42"/>
  </w:num>
  <w:num w:numId="6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compat>
    <w:useFELayout/>
    <w:splitPgBreakAndParaMark/>
    <w:compatSetting w:name="compatibilityMode" w:uri="http://schemas.microsoft.com/office/word" w:val="12"/>
  </w:compat>
  <w:rsids>
    <w:rsidRoot w:val="00000000"/>
    <w:rsid w:val="09834D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2959</Words>
  <Characters>17055</Characters>
  <TotalTime>0</TotalTime>
  <ScaleCrop>false</ScaleCrop>
  <LinksUpToDate>false</LinksUpToDate>
  <CharactersWithSpaces>19864</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2025-11-20T16:18:00Z</dcterms:created>
  <dc:creator>Apache POI</dc:creator>
  <cp:lastModifiedBy>Timmy</cp:lastModifiedBy>
  <dcterms:modified xsi:type="dcterms:W3CDTF">2025-11-24T02:49:27Z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eyJoZGlkIjoiNWJiZDA5MWUzZmJjNzcxOWU2MDhjOGE4NjM2NmIxNTQiLCJ1c2VySWQiOiIxNDQ0NTM0OTA1In0=</vt:lpwstr>
  </property>
  <property fmtid="{D5CDD505-2E9C-101B-9397-08002B2CF9AE}" pid="3" name="KSOProductBuildVer">
    <vt:lpwstr>2052-12.1.0.23542</vt:lpwstr>
  </property>
  <property fmtid="{D5CDD505-2E9C-101B-9397-08002B2CF9AE}" pid="4" name="ICV">
    <vt:lpwstr>2427D622F497440A834C2E7833862C2E_12</vt:lpwstr>
  </property>
</Properties>
</file>