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B30BA">
      <w:pPr>
        <w:spacing w:before="480" w:after="480" w:line="288" w:lineRule="auto"/>
        <w:ind w:left="0"/>
      </w:pPr>
      <w:r>
        <w:rPr>
          <w:rFonts w:ascii="Arial" w:hAnsi="Arial" w:eastAsia="等线" w:cs="Arial"/>
          <w:b/>
          <w:sz w:val="52"/>
        </w:rPr>
        <w:t>HKU Student Handbook (2025-2026 Academic Year)</w:t>
      </w:r>
    </w:p>
    <w:p w14:paraId="5A4D2CD9">
      <w:pPr>
        <w:spacing w:before="320" w:after="120" w:line="288" w:lineRule="auto"/>
        <w:ind w:left="0"/>
        <w:jc w:val="left"/>
        <w:outlineLvl w:val="1"/>
      </w:pPr>
      <w:bookmarkStart w:id="0" w:name="heading_1"/>
      <w:r>
        <w:rPr>
          <w:rFonts w:ascii="Arial" w:hAnsi="Arial" w:eastAsia="等线" w:cs="Arial"/>
          <w:b/>
          <w:sz w:val="32"/>
        </w:rPr>
        <w:t>Preface</w:t>
      </w:r>
      <w:bookmarkEnd w:id="0"/>
    </w:p>
    <w:p w14:paraId="55134938">
      <w:pPr>
        <w:spacing w:before="120" w:after="120" w:line="288" w:lineRule="auto"/>
        <w:ind w:left="0"/>
        <w:jc w:val="left"/>
      </w:pPr>
      <w:r>
        <w:rPr>
          <w:rFonts w:ascii="Arial" w:hAnsi="Arial" w:eastAsia="等线" w:cs="Arial"/>
          <w:sz w:val="22"/>
        </w:rPr>
        <w:t>Welcome to The University of Hong Kong (HKU). This handbook is designed to provide all undergraduate and postgraduate students with core rules and regulations, academic requirements, campus services, and rights guidelines during their studies at the University. It serves as an important reference for students' academic and campus life.</w:t>
      </w:r>
    </w:p>
    <w:p w14:paraId="5C6C9185">
      <w:pPr>
        <w:spacing w:before="120" w:after="120" w:line="288" w:lineRule="auto"/>
        <w:ind w:left="0"/>
        <w:jc w:val="left"/>
      </w:pPr>
      <w:r>
        <w:rPr>
          <w:rFonts w:ascii="Arial" w:hAnsi="Arial" w:eastAsia="等线" w:cs="Arial"/>
          <w:sz w:val="22"/>
        </w:rPr>
        <w:t>The content of this handbook is formulated based on the latest policies of HKU's Senate, Committee of Student Affairs, and relevant departments, and applies to the academic year from September 1, 2025, to August 31, 2026. Students should read and abide by all regulations carefully, and pay attention to policy updates published on the University's official website (www.hku.hk). In case of any conflict, the latest notice on the official website shall prevail.</w:t>
      </w:r>
    </w:p>
    <w:p w14:paraId="21C4429E">
      <w:pPr>
        <w:spacing w:before="120" w:after="120" w:line="288" w:lineRule="auto"/>
        <w:ind w:left="0"/>
        <w:jc w:val="left"/>
      </w:pPr>
      <w:r>
        <w:rPr>
          <w:rFonts w:ascii="Arial" w:hAnsi="Arial" w:eastAsia="等线" w:cs="Arial"/>
          <w:sz w:val="22"/>
        </w:rPr>
        <w:t>The University is committed to providing students with a high-quality academic environment and growth support, and encourages students to actively participate in academic research, campus activities, and social services to achieve all-round personal development. For any inquiries, please contact the corresponding department (contact information is available at the end of the handbook).</w:t>
      </w:r>
    </w:p>
    <w:p w14:paraId="0C8BA6B2">
      <w:pPr>
        <w:spacing w:before="320" w:after="120" w:line="288" w:lineRule="auto"/>
        <w:ind w:left="0"/>
        <w:jc w:val="left"/>
        <w:outlineLvl w:val="1"/>
      </w:pPr>
      <w:bookmarkStart w:id="1" w:name="heading_2"/>
      <w:r>
        <w:rPr>
          <w:rFonts w:ascii="Arial" w:hAnsi="Arial" w:eastAsia="等线" w:cs="Arial"/>
          <w:b/>
          <w:sz w:val="32"/>
        </w:rPr>
        <w:t>I. Student Registration Management</w:t>
      </w:r>
      <w:bookmarkEnd w:id="1"/>
    </w:p>
    <w:p w14:paraId="433DF0C9">
      <w:pPr>
        <w:spacing w:before="300" w:after="120" w:line="288" w:lineRule="auto"/>
        <w:ind w:left="0"/>
        <w:jc w:val="left"/>
        <w:outlineLvl w:val="2"/>
      </w:pPr>
      <w:bookmarkStart w:id="2" w:name="heading_3"/>
      <w:r>
        <w:rPr>
          <w:rFonts w:ascii="Arial" w:hAnsi="Arial" w:eastAsia="等线" w:cs="Arial"/>
          <w:b/>
          <w:sz w:val="30"/>
        </w:rPr>
        <w:t>1.1 Enrollment and Registration</w:t>
      </w:r>
      <w:bookmarkEnd w:id="2"/>
    </w:p>
    <w:p w14:paraId="2694C368">
      <w:pPr>
        <w:numPr>
          <w:ilvl w:val="0"/>
          <w:numId w:val="1"/>
        </w:numPr>
        <w:spacing w:before="120" w:after="120" w:line="288" w:lineRule="auto"/>
        <w:ind w:left="0"/>
        <w:jc w:val="left"/>
      </w:pPr>
      <w:r>
        <w:rPr>
          <w:rFonts w:ascii="Arial" w:hAnsi="Arial" w:eastAsia="等线" w:cs="Arial"/>
          <w:sz w:val="22"/>
        </w:rPr>
        <w:t>New students must complete online registration through the HKU Portal within the specified period, and submit original documents such as ID card/passport, admission notice, and academic qualification certificate for verification. Failure to register on time will be deemed as abandoning the student status.</w:t>
      </w:r>
    </w:p>
    <w:p w14:paraId="52817067">
      <w:pPr>
        <w:numPr>
          <w:ilvl w:val="0"/>
          <w:numId w:val="2"/>
        </w:numPr>
        <w:spacing w:before="120" w:after="120" w:line="288" w:lineRule="auto"/>
        <w:ind w:left="0"/>
        <w:jc w:val="left"/>
      </w:pPr>
      <w:r>
        <w:rPr>
          <w:rFonts w:ascii="Arial" w:hAnsi="Arial" w:eastAsia="等线" w:cs="Arial"/>
          <w:sz w:val="22"/>
        </w:rPr>
        <w:t>Continuing students must complete semester registration within 2 weeks before the start of each semester and pay tuition fees (undergraduates pay in two installments per academic year, postgraduates pay according to the study duration). Those who fail to settle the fees will not be allowed to register.</w:t>
      </w:r>
    </w:p>
    <w:p w14:paraId="551D76F5">
      <w:pPr>
        <w:numPr>
          <w:ilvl w:val="0"/>
          <w:numId w:val="3"/>
        </w:numPr>
        <w:spacing w:before="120" w:after="120" w:line="288" w:lineRule="auto"/>
        <w:ind w:left="0"/>
        <w:jc w:val="left"/>
      </w:pPr>
      <w:r>
        <w:rPr>
          <w:rFonts w:ascii="Arial" w:hAnsi="Arial" w:eastAsia="等线" w:cs="Arial"/>
          <w:sz w:val="22"/>
        </w:rPr>
        <w:t>After successful registration, students will receive the HKU Campus Card, which serves as a certificate for identity verification, library borrowing, facility access, dining, etc. It should be properly kept. In case of loss, it is necessary to report the loss and apply for a replacement at the Campus Card Service Center in a timely manner.</w:t>
      </w:r>
    </w:p>
    <w:p w14:paraId="64AD9BCB">
      <w:pPr>
        <w:spacing w:before="300" w:after="120" w:line="288" w:lineRule="auto"/>
        <w:ind w:left="0"/>
        <w:jc w:val="left"/>
        <w:outlineLvl w:val="2"/>
      </w:pPr>
      <w:bookmarkStart w:id="3" w:name="heading_4"/>
      <w:r>
        <w:rPr>
          <w:rFonts w:ascii="Arial" w:hAnsi="Arial" w:eastAsia="等线" w:cs="Arial"/>
          <w:b/>
          <w:sz w:val="30"/>
        </w:rPr>
        <w:t>1.2 Attendance Requirements</w:t>
      </w:r>
      <w:bookmarkEnd w:id="3"/>
    </w:p>
    <w:p w14:paraId="2E2BADD4">
      <w:pPr>
        <w:numPr>
          <w:ilvl w:val="0"/>
          <w:numId w:val="4"/>
        </w:numPr>
        <w:spacing w:before="120" w:after="120" w:line="288" w:lineRule="auto"/>
        <w:ind w:left="0"/>
        <w:jc w:val="left"/>
      </w:pPr>
      <w:r>
        <w:rPr>
          <w:rFonts w:ascii="Arial" w:hAnsi="Arial" w:eastAsia="等线" w:cs="Arial"/>
          <w:sz w:val="22"/>
        </w:rPr>
        <w:t>The attendance rate of undergraduate students for each course shall not be less than 80%, and that of postgraduate students shall not be less than 75% (except for approved sick leave and personal leave).</w:t>
      </w:r>
    </w:p>
    <w:p w14:paraId="5F69ADC7">
      <w:pPr>
        <w:numPr>
          <w:ilvl w:val="0"/>
          <w:numId w:val="5"/>
        </w:numPr>
        <w:spacing w:before="120" w:after="120" w:line="288" w:lineRule="auto"/>
        <w:ind w:left="0"/>
        <w:jc w:val="left"/>
      </w:pPr>
      <w:r>
        <w:rPr>
          <w:rFonts w:ascii="Arial" w:hAnsi="Arial" w:eastAsia="等线" w:cs="Arial"/>
          <w:sz w:val="22"/>
        </w:rPr>
        <w:t>Students who are absent for 20% or more of the total class hours of a course will be disqualified from taking the exam of that course, and the grade will be recorded as "F" (Fail).</w:t>
      </w:r>
    </w:p>
    <w:p w14:paraId="18FE47D7">
      <w:pPr>
        <w:numPr>
          <w:ilvl w:val="0"/>
          <w:numId w:val="6"/>
        </w:numPr>
        <w:spacing w:before="120" w:after="120" w:line="288" w:lineRule="auto"/>
        <w:ind w:left="0"/>
        <w:jc w:val="left"/>
      </w:pPr>
      <w:r>
        <w:rPr>
          <w:rFonts w:ascii="Arial" w:hAnsi="Arial" w:eastAsia="等线" w:cs="Arial"/>
          <w:sz w:val="22"/>
        </w:rPr>
        <w:t>For leave application, a written application and relevant certificates must be submitted in advance (a hospital diagnosis certificate is required for sick leave, and a reasonable reason must be stated for personal leave). The leave is only valid after approval by the faculty. Late applications will not be accepted.</w:t>
      </w:r>
    </w:p>
    <w:p w14:paraId="49983107">
      <w:pPr>
        <w:spacing w:before="300" w:after="120" w:line="288" w:lineRule="auto"/>
        <w:ind w:left="0"/>
        <w:jc w:val="left"/>
        <w:outlineLvl w:val="2"/>
      </w:pPr>
      <w:bookmarkStart w:id="4" w:name="heading_5"/>
      <w:r>
        <w:rPr>
          <w:rFonts w:ascii="Arial" w:hAnsi="Arial" w:eastAsia="等线" w:cs="Arial"/>
          <w:b/>
          <w:sz w:val="30"/>
        </w:rPr>
        <w:t>1.3 Changes to Student Status (Suspension, Resumption, Transfer, Withdrawal)</w:t>
      </w:r>
      <w:bookmarkEnd w:id="4"/>
    </w:p>
    <w:p w14:paraId="2C20CDC0">
      <w:pPr>
        <w:numPr>
          <w:ilvl w:val="0"/>
          <w:numId w:val="7"/>
        </w:numPr>
        <w:spacing w:before="120" w:after="120" w:line="288" w:lineRule="auto"/>
        <w:ind w:left="0"/>
        <w:jc w:val="left"/>
      </w:pPr>
      <w:r>
        <w:rPr>
          <w:rFonts w:ascii="Arial" w:hAnsi="Arial" w:eastAsia="等线" w:cs="Arial"/>
          <w:sz w:val="22"/>
        </w:rPr>
        <w:t>Suspension: Students who need to suspend their studies due to health issues, academic pressure, or special circumstances may submit a suspension application to the faculty, stating the reasons and providing supporting documents. The maximum suspension period is 1 academic year, and the total suspension period shall not exceed 2 academic years. No tuition fees are required during the suspension period, and course eligibility will not be retained.</w:t>
      </w:r>
    </w:p>
    <w:p w14:paraId="0A5B7831">
      <w:pPr>
        <w:numPr>
          <w:ilvl w:val="0"/>
          <w:numId w:val="8"/>
        </w:numPr>
        <w:spacing w:before="120" w:after="120" w:line="288" w:lineRule="auto"/>
        <w:ind w:left="0"/>
        <w:jc w:val="left"/>
      </w:pPr>
      <w:r>
        <w:rPr>
          <w:rFonts w:ascii="Arial" w:hAnsi="Arial" w:eastAsia="等线" w:cs="Arial"/>
          <w:sz w:val="22"/>
        </w:rPr>
        <w:t>Resumption: One month before the end of the suspension period, students must submit a resumption application to the faculty. After approval, they shall register for resumption within the specified time and be enrolled in the corresponding grade.</w:t>
      </w:r>
    </w:p>
    <w:p w14:paraId="2DE2E396">
      <w:pPr>
        <w:numPr>
          <w:ilvl w:val="0"/>
          <w:numId w:val="9"/>
        </w:numPr>
        <w:spacing w:before="120" w:after="120" w:line="288" w:lineRule="auto"/>
        <w:ind w:left="0"/>
        <w:jc w:val="left"/>
      </w:pPr>
      <w:r>
        <w:rPr>
          <w:rFonts w:ascii="Arial" w:hAnsi="Arial" w:eastAsia="等线" w:cs="Arial"/>
          <w:sz w:val="22"/>
        </w:rPr>
        <w:t>Transfer: Applications are only allowed after completing at least 1 academic year of study. Students must meet the program requirements of the receiving faculty, provide transcripts, recommendation letters, and other materials. Approval must be obtained from both the original faculty and the receiving faculty, and final review by HKU's Senate is required.</w:t>
      </w:r>
    </w:p>
    <w:p w14:paraId="12E25B9B">
      <w:pPr>
        <w:numPr>
          <w:ilvl w:val="0"/>
          <w:numId w:val="10"/>
        </w:numPr>
        <w:spacing w:before="120" w:after="120" w:line="288" w:lineRule="auto"/>
        <w:ind w:left="0"/>
        <w:jc w:val="left"/>
      </w:pPr>
      <w:r>
        <w:rPr>
          <w:rFonts w:ascii="Arial" w:hAnsi="Arial" w:eastAsia="等线" w:cs="Arial"/>
          <w:sz w:val="22"/>
        </w:rPr>
        <w:t>Withdrawal: Students may voluntarily apply for withdrawal. After submitting a written application, approval must be obtained from the faculty and the Senate, and exit procedures must be completed (return the campus card, settle fees, return library books, etc.). Students who have unsatisfactory academic performance or commit serious violations of school rules and regulations will be dismissed by the University.</w:t>
      </w:r>
    </w:p>
    <w:p w14:paraId="6F94686C">
      <w:pPr>
        <w:spacing w:before="300" w:after="120" w:line="288" w:lineRule="auto"/>
        <w:ind w:left="0"/>
        <w:jc w:val="left"/>
        <w:outlineLvl w:val="2"/>
      </w:pPr>
      <w:bookmarkStart w:id="5" w:name="heading_6"/>
      <w:r>
        <w:rPr>
          <w:rFonts w:ascii="Arial" w:hAnsi="Arial" w:eastAsia="等线" w:cs="Arial"/>
          <w:b/>
          <w:sz w:val="30"/>
        </w:rPr>
        <w:t>1.4 Graduation and Degree Awarding</w:t>
      </w:r>
      <w:bookmarkEnd w:id="5"/>
    </w:p>
    <w:p w14:paraId="57216572">
      <w:pPr>
        <w:numPr>
          <w:ilvl w:val="0"/>
          <w:numId w:val="11"/>
        </w:numPr>
        <w:spacing w:before="120" w:after="120" w:line="288" w:lineRule="auto"/>
        <w:ind w:left="0"/>
        <w:jc w:val="left"/>
      </w:pPr>
      <w:r>
        <w:rPr>
          <w:rFonts w:ascii="Arial" w:hAnsi="Arial" w:eastAsia="等线" w:cs="Arial"/>
          <w:sz w:val="22"/>
        </w:rPr>
        <w:t>Undergraduate students must complete the total credits specified by their program (usually 120-180 credits, subject to the program's curriculum), pass all courses, and pass the graduation thesis/project defense to obtain a bachelor's degree.</w:t>
      </w:r>
    </w:p>
    <w:p w14:paraId="76EB294F">
      <w:pPr>
        <w:numPr>
          <w:ilvl w:val="0"/>
          <w:numId w:val="12"/>
        </w:numPr>
        <w:spacing w:before="120" w:after="120" w:line="288" w:lineRule="auto"/>
        <w:ind w:left="0"/>
        <w:jc w:val="left"/>
      </w:pPr>
      <w:r>
        <w:rPr>
          <w:rFonts w:ascii="Arial" w:hAnsi="Arial" w:eastAsia="等线" w:cs="Arial"/>
          <w:sz w:val="22"/>
        </w:rPr>
        <w:t>Taught postgraduate students must complete the required credits and pass the course assessments; research postgraduate students must complete their research projects, write and pass the thesis defense, and meet the academic requirements to obtain the corresponding master's/doctoral degree.</w:t>
      </w:r>
    </w:p>
    <w:p w14:paraId="07DE5D8B">
      <w:pPr>
        <w:numPr>
          <w:ilvl w:val="0"/>
          <w:numId w:val="13"/>
        </w:numPr>
        <w:spacing w:before="120" w:after="120" w:line="288" w:lineRule="auto"/>
        <w:ind w:left="0"/>
        <w:jc w:val="left"/>
      </w:pPr>
      <w:r>
        <w:rPr>
          <w:rFonts w:ascii="Arial" w:hAnsi="Arial" w:eastAsia="等线" w:cs="Arial"/>
          <w:sz w:val="22"/>
        </w:rPr>
        <w:t>Degree classifications are as follows: First Class Honours, Second Class Honours (Division 1), Second Class Honours (Division 2), Third Class Honours (for undergraduates); or Pass, Distinction (for postgraduates). The specific assessment criteria are formulated by each faculty, focusing on academic performance, research achievements, and comprehensive performance.</w:t>
      </w:r>
    </w:p>
    <w:p w14:paraId="585ACFAF">
      <w:pPr>
        <w:spacing w:before="320" w:after="120" w:line="288" w:lineRule="auto"/>
        <w:ind w:left="0"/>
        <w:jc w:val="left"/>
        <w:outlineLvl w:val="1"/>
      </w:pPr>
      <w:bookmarkStart w:id="6" w:name="heading_7"/>
      <w:r>
        <w:rPr>
          <w:rFonts w:ascii="Arial" w:hAnsi="Arial" w:eastAsia="等线" w:cs="Arial"/>
          <w:b/>
          <w:sz w:val="32"/>
        </w:rPr>
        <w:t>II. Academic Requirements and Integrity</w:t>
      </w:r>
      <w:bookmarkEnd w:id="6"/>
    </w:p>
    <w:p w14:paraId="4121A34E">
      <w:pPr>
        <w:spacing w:before="300" w:after="120" w:line="288" w:lineRule="auto"/>
        <w:ind w:left="0"/>
        <w:jc w:val="left"/>
        <w:outlineLvl w:val="2"/>
      </w:pPr>
      <w:bookmarkStart w:id="7" w:name="heading_8"/>
      <w:r>
        <w:rPr>
          <w:rFonts w:ascii="Arial" w:hAnsi="Arial" w:eastAsia="等线" w:cs="Arial"/>
          <w:b/>
          <w:sz w:val="30"/>
        </w:rPr>
        <w:t>2.1 Course Study and Assessment</w:t>
      </w:r>
      <w:bookmarkEnd w:id="7"/>
    </w:p>
    <w:p w14:paraId="46485183">
      <w:pPr>
        <w:numPr>
          <w:ilvl w:val="0"/>
          <w:numId w:val="14"/>
        </w:numPr>
        <w:spacing w:before="120" w:after="120" w:line="288" w:lineRule="auto"/>
        <w:ind w:left="0"/>
        <w:jc w:val="left"/>
      </w:pPr>
      <w:r>
        <w:rPr>
          <w:rFonts w:ascii="Arial" w:hAnsi="Arial" w:eastAsia="等线" w:cs="Arial"/>
          <w:sz w:val="22"/>
        </w:rPr>
        <w:t>Course Selection: At the beginning of each semester, students can select courses for the semester through the HKU Portal Course Selection System, following the "first-come, first-served" principle. No changes can be made after the course selection deadline (special circumstances require approval from the course instructor and the faculty).</w:t>
      </w:r>
    </w:p>
    <w:p w14:paraId="128DA504">
      <w:pPr>
        <w:numPr>
          <w:ilvl w:val="0"/>
          <w:numId w:val="15"/>
        </w:numPr>
        <w:spacing w:before="120" w:after="120" w:line="288" w:lineRule="auto"/>
        <w:ind w:left="0"/>
        <w:jc w:val="left"/>
      </w:pPr>
      <w:r>
        <w:rPr>
          <w:rFonts w:ascii="Arial" w:hAnsi="Arial" w:eastAsia="等线" w:cs="Arial"/>
          <w:sz w:val="22"/>
        </w:rPr>
        <w:t>Assessment Methods: Course assessment includes homework, quizzes, mid-term exams, final exams, practical reports, theses, etc. The specific proportions are specified by the course instructor in the course syllabus. Students must complete all assessment components on time.</w:t>
      </w:r>
    </w:p>
    <w:p w14:paraId="659AEF11">
      <w:pPr>
        <w:numPr>
          <w:ilvl w:val="0"/>
          <w:numId w:val="16"/>
        </w:numPr>
        <w:spacing w:before="120" w:after="120" w:line="288" w:lineRule="auto"/>
        <w:ind w:left="0"/>
        <w:jc w:val="left"/>
      </w:pPr>
      <w:r>
        <w:rPr>
          <w:rFonts w:ascii="Arial" w:hAnsi="Arial" w:eastAsia="等线" w:cs="Arial"/>
          <w:sz w:val="22"/>
        </w:rPr>
        <w:t>Grade Assessment: Grades are divided into A+ (90-100), A (85-89), A- (80-84), B+ (75-79), B (70-74), B- (65-69), C+ (60-64), C (55-59), C- (50-54), F (0-49). Grades of C- or above are considered passing, while F is failing. Failed courses require make-up exams or retakes (some courses do not offer make-up exams).</w:t>
      </w:r>
    </w:p>
    <w:p w14:paraId="6E4ADE5C">
      <w:pPr>
        <w:numPr>
          <w:ilvl w:val="0"/>
          <w:numId w:val="17"/>
        </w:numPr>
        <w:spacing w:before="120" w:after="120" w:line="288" w:lineRule="auto"/>
        <w:ind w:left="0"/>
        <w:jc w:val="left"/>
      </w:pPr>
      <w:r>
        <w:rPr>
          <w:rFonts w:ascii="Arial" w:hAnsi="Arial" w:eastAsia="等线" w:cs="Arial"/>
          <w:sz w:val="22"/>
        </w:rPr>
        <w:t>Make-up Exams and Retakes: Students may apply for a make-up exam for failed courses (only one opportunity, usually at the beginning of the new semester). If they fail the make-up exam, they must retake the course, pay the specified retake fee, and the retake grade will be recorded based on the actual score.</w:t>
      </w:r>
    </w:p>
    <w:p w14:paraId="7F2E1C47">
      <w:pPr>
        <w:spacing w:before="300" w:after="120" w:line="288" w:lineRule="auto"/>
        <w:ind w:left="0"/>
        <w:jc w:val="left"/>
        <w:outlineLvl w:val="2"/>
      </w:pPr>
      <w:bookmarkStart w:id="8" w:name="heading_9"/>
      <w:r>
        <w:rPr>
          <w:rFonts w:ascii="Arial" w:hAnsi="Arial" w:eastAsia="等线" w:cs="Arial"/>
          <w:b/>
          <w:sz w:val="30"/>
        </w:rPr>
        <w:t>2.2 Academic Integrity Guidelines</w:t>
      </w:r>
      <w:bookmarkEnd w:id="8"/>
    </w:p>
    <w:p w14:paraId="377C1445">
      <w:pPr>
        <w:numPr>
          <w:ilvl w:val="0"/>
          <w:numId w:val="18"/>
        </w:numPr>
        <w:spacing w:before="120" w:after="120" w:line="288" w:lineRule="auto"/>
        <w:ind w:left="0"/>
        <w:jc w:val="left"/>
      </w:pPr>
      <w:r>
        <w:rPr>
          <w:rFonts w:ascii="Arial" w:hAnsi="Arial" w:eastAsia="等线" w:cs="Arial"/>
          <w:sz w:val="22"/>
        </w:rPr>
        <w:t>The University strictly prohibits all forms of academic misconduct, including but not limited to:</w:t>
      </w:r>
    </w:p>
    <w:p w14:paraId="6AA067A4">
      <w:pPr>
        <w:numPr>
          <w:ilvl w:val="0"/>
          <w:numId w:val="19"/>
        </w:numPr>
        <w:spacing w:before="120" w:after="120" w:line="288" w:lineRule="auto"/>
        <w:ind w:left="0"/>
        <w:jc w:val="left"/>
      </w:pPr>
      <w:r>
        <w:rPr>
          <w:rFonts w:ascii="Arial" w:hAnsi="Arial" w:eastAsia="等线" w:cs="Arial"/>
          <w:sz w:val="22"/>
        </w:rPr>
        <w:t>Plagiarism: Directly copying others' theses, assignments, reports, data, etc., without indicating the source of citation;</w:t>
      </w:r>
    </w:p>
    <w:p w14:paraId="339F1E9F">
      <w:pPr>
        <w:numPr>
          <w:ilvl w:val="0"/>
          <w:numId w:val="20"/>
        </w:numPr>
        <w:spacing w:before="120" w:after="120" w:line="288" w:lineRule="auto"/>
        <w:ind w:left="0"/>
        <w:jc w:val="left"/>
      </w:pPr>
      <w:r>
        <w:rPr>
          <w:rFonts w:ascii="Arial" w:hAnsi="Arial" w:eastAsia="等线" w:cs="Arial"/>
          <w:sz w:val="22"/>
        </w:rPr>
        <w:t>Cheating: Bringing prohibited items during exams, passing answers, taking exams on behalf of others or having others take exams on one's behalf;</w:t>
      </w:r>
    </w:p>
    <w:p w14:paraId="25E13062">
      <w:pPr>
        <w:numPr>
          <w:ilvl w:val="0"/>
          <w:numId w:val="21"/>
        </w:numPr>
        <w:spacing w:before="120" w:after="120" w:line="288" w:lineRule="auto"/>
        <w:ind w:left="0"/>
        <w:jc w:val="left"/>
      </w:pPr>
      <w:r>
        <w:rPr>
          <w:rFonts w:ascii="Arial" w:hAnsi="Arial" w:eastAsia="等线" w:cs="Arial"/>
          <w:sz w:val="22"/>
        </w:rPr>
        <w:t>Fabrication: Falsifying experimental data, academic achievements, and supporting documents (such as medical certificates, recommendation letters);</w:t>
      </w:r>
    </w:p>
    <w:p w14:paraId="06929A12">
      <w:pPr>
        <w:numPr>
          <w:ilvl w:val="0"/>
          <w:numId w:val="22"/>
        </w:numPr>
        <w:spacing w:before="120" w:after="120" w:line="288" w:lineRule="auto"/>
        <w:ind w:left="0"/>
        <w:jc w:val="left"/>
      </w:pPr>
      <w:r>
        <w:rPr>
          <w:rFonts w:ascii="Arial" w:hAnsi="Arial" w:eastAsia="等线" w:cs="Arial"/>
          <w:sz w:val="22"/>
        </w:rPr>
        <w:t>Duplicate Submission: Submitting the same thesis or assignment to multiple courses without obtaining written approval from all course instructors;</w:t>
      </w:r>
    </w:p>
    <w:p w14:paraId="4A6EEBFF">
      <w:pPr>
        <w:numPr>
          <w:ilvl w:val="0"/>
          <w:numId w:val="23"/>
        </w:numPr>
        <w:spacing w:before="120" w:after="120" w:line="288" w:lineRule="auto"/>
        <w:ind w:left="0"/>
        <w:jc w:val="left"/>
      </w:pPr>
      <w:r>
        <w:rPr>
          <w:rFonts w:ascii="Arial" w:hAnsi="Arial" w:eastAsia="等线" w:cs="Arial"/>
          <w:sz w:val="22"/>
        </w:rPr>
        <w:t>Collaborative Cheating: Cooperating with others to complete assignments or exams that require independent work.</w:t>
      </w:r>
    </w:p>
    <w:p w14:paraId="479F23B0">
      <w:pPr>
        <w:numPr>
          <w:ilvl w:val="0"/>
          <w:numId w:val="24"/>
        </w:numPr>
        <w:spacing w:before="120" w:after="120" w:line="288" w:lineRule="auto"/>
        <w:ind w:left="0"/>
        <w:jc w:val="left"/>
      </w:pPr>
      <w:r>
        <w:rPr>
          <w:rFonts w:ascii="Arial" w:hAnsi="Arial" w:eastAsia="等线" w:cs="Arial"/>
          <w:sz w:val="22"/>
        </w:rPr>
        <w:t>Handling of Academic Misconduct:</w:t>
      </w:r>
    </w:p>
    <w:p w14:paraId="73AD6F6C">
      <w:pPr>
        <w:numPr>
          <w:ilvl w:val="0"/>
          <w:numId w:val="25"/>
        </w:numPr>
        <w:spacing w:before="120" w:after="120" w:line="288" w:lineRule="auto"/>
        <w:ind w:left="0"/>
        <w:jc w:val="left"/>
      </w:pPr>
      <w:r>
        <w:rPr>
          <w:rFonts w:ascii="Arial" w:hAnsi="Arial" w:eastAsia="等线" w:cs="Arial"/>
          <w:sz w:val="22"/>
        </w:rPr>
        <w:t>First minor violation (e.g., irregular citation): Verbal warning, requiring revision of the assignment, and grade deduction in proportion;</w:t>
      </w:r>
    </w:p>
    <w:p w14:paraId="3C29900A">
      <w:pPr>
        <w:numPr>
          <w:ilvl w:val="0"/>
          <w:numId w:val="26"/>
        </w:numPr>
        <w:spacing w:before="120" w:after="120" w:line="288" w:lineRule="auto"/>
        <w:ind w:left="0"/>
        <w:jc w:val="left"/>
      </w:pPr>
      <w:r>
        <w:rPr>
          <w:rFonts w:ascii="Arial" w:hAnsi="Arial" w:eastAsia="等线" w:cs="Arial"/>
          <w:sz w:val="22"/>
        </w:rPr>
        <w:t>Moderate violation (e.g., partial plagiarism, attempted cheating in exams): The course grade is recorded as "F", make-up exam eligibility is revoked, and the violation is recorded in the student's file;</w:t>
      </w:r>
    </w:p>
    <w:p w14:paraId="068A932F">
      <w:pPr>
        <w:numPr>
          <w:ilvl w:val="0"/>
          <w:numId w:val="27"/>
        </w:numPr>
        <w:spacing w:before="120" w:after="120" w:line="288" w:lineRule="auto"/>
        <w:ind w:left="0"/>
        <w:jc w:val="left"/>
      </w:pPr>
      <w:r>
        <w:rPr>
          <w:rFonts w:ascii="Arial" w:hAnsi="Arial" w:eastAsia="等线" w:cs="Arial"/>
          <w:sz w:val="22"/>
        </w:rPr>
        <w:t>Serious violation (e.g., extensive plagiarism, taking exams on behalf of others, fabricating important achievements): Probation, dismissal, or degree revocation (for graduates). Serious cases will be publicly notified.</w:t>
      </w:r>
    </w:p>
    <w:p w14:paraId="3D10C9AE">
      <w:pPr>
        <w:numPr>
          <w:ilvl w:val="0"/>
          <w:numId w:val="28"/>
        </w:numPr>
        <w:spacing w:before="120" w:after="120" w:line="288" w:lineRule="auto"/>
        <w:ind w:left="0"/>
        <w:jc w:val="left"/>
      </w:pPr>
      <w:r>
        <w:rPr>
          <w:rFonts w:ascii="Arial" w:hAnsi="Arial" w:eastAsia="等线" w:cs="Arial"/>
          <w:sz w:val="22"/>
        </w:rPr>
        <w:t>Citation Standards: When citing others' achievements in theses or assignments, students must strictly follow citation formats such as APA (Social Sciences), MLA (Humanities), or IEEE (Engineering and Technology) (subject to course requirements), and clearly indicate the author, source, and publication time.</w:t>
      </w:r>
    </w:p>
    <w:p w14:paraId="36134833">
      <w:pPr>
        <w:spacing w:before="300" w:after="120" w:line="288" w:lineRule="auto"/>
        <w:ind w:left="0"/>
        <w:jc w:val="left"/>
        <w:outlineLvl w:val="2"/>
      </w:pPr>
      <w:bookmarkStart w:id="9" w:name="heading_10"/>
      <w:r>
        <w:rPr>
          <w:rFonts w:ascii="Arial" w:hAnsi="Arial" w:eastAsia="等线" w:cs="Arial"/>
          <w:b/>
          <w:sz w:val="30"/>
        </w:rPr>
        <w:t>2.3 Academic Appeal</w:t>
      </w:r>
      <w:bookmarkEnd w:id="9"/>
    </w:p>
    <w:p w14:paraId="233D8B68">
      <w:pPr>
        <w:numPr>
          <w:ilvl w:val="0"/>
          <w:numId w:val="29"/>
        </w:numPr>
        <w:spacing w:before="120" w:after="120" w:line="288" w:lineRule="auto"/>
        <w:ind w:left="0"/>
        <w:jc w:val="left"/>
      </w:pPr>
      <w:r>
        <w:rPr>
          <w:rFonts w:ascii="Arial" w:hAnsi="Arial" w:eastAsia="等线" w:cs="Arial"/>
          <w:sz w:val="22"/>
        </w:rPr>
        <w:t>If students have objections to course grades, assessment results, or decisions on academic misconduct handling, they may submit a written appeal to the course instructor (for grade objections) or the Faculty Academic Appeal Committee (for objections to handling decisions) within 10 working days of receiving the notice, stating the reasons and providing relevant evidence.</w:t>
      </w:r>
    </w:p>
    <w:p w14:paraId="0FC30188">
      <w:pPr>
        <w:numPr>
          <w:ilvl w:val="0"/>
          <w:numId w:val="30"/>
        </w:numPr>
        <w:spacing w:before="120" w:after="120" w:line="288" w:lineRule="auto"/>
        <w:ind w:left="0"/>
        <w:jc w:val="left"/>
      </w:pPr>
      <w:r>
        <w:rPr>
          <w:rFonts w:ascii="Arial" w:hAnsi="Arial" w:eastAsia="等线" w:cs="Arial"/>
          <w:sz w:val="22"/>
        </w:rPr>
        <w:t>Appeal Process: After receiving the appeal, the faculty will organize a review within 15 working days, hear statements from both parties, and issue a review opinion. If students still have objections to the faculty's review result, they may submit a final appeal to the University Academic Appeal Committee, and the University's decision shall be final.</w:t>
      </w:r>
    </w:p>
    <w:p w14:paraId="223E3A3F">
      <w:pPr>
        <w:spacing w:before="320" w:after="120" w:line="288" w:lineRule="auto"/>
        <w:ind w:left="0"/>
        <w:jc w:val="left"/>
        <w:outlineLvl w:val="1"/>
      </w:pPr>
      <w:bookmarkStart w:id="10" w:name="heading_11"/>
      <w:r>
        <w:rPr>
          <w:rFonts w:ascii="Arial" w:hAnsi="Arial" w:eastAsia="等线" w:cs="Arial"/>
          <w:b/>
          <w:sz w:val="32"/>
        </w:rPr>
        <w:t>III. Campus Rules and Code of Conduct</w:t>
      </w:r>
      <w:bookmarkEnd w:id="10"/>
    </w:p>
    <w:p w14:paraId="1FC2BC64">
      <w:pPr>
        <w:spacing w:before="300" w:after="120" w:line="288" w:lineRule="auto"/>
        <w:ind w:left="0"/>
        <w:jc w:val="left"/>
        <w:outlineLvl w:val="2"/>
      </w:pPr>
      <w:bookmarkStart w:id="11" w:name="heading_12"/>
      <w:r>
        <w:rPr>
          <w:rFonts w:ascii="Arial" w:hAnsi="Arial" w:eastAsia="等线" w:cs="Arial"/>
          <w:b/>
          <w:sz w:val="30"/>
        </w:rPr>
        <w:t>3.1 Basic Code of Conduct</w:t>
      </w:r>
      <w:bookmarkEnd w:id="11"/>
    </w:p>
    <w:p w14:paraId="3C062B46">
      <w:pPr>
        <w:numPr>
          <w:ilvl w:val="0"/>
          <w:numId w:val="31"/>
        </w:numPr>
        <w:spacing w:before="120" w:after="120" w:line="288" w:lineRule="auto"/>
        <w:ind w:left="0"/>
        <w:jc w:val="left"/>
      </w:pPr>
      <w:r>
        <w:rPr>
          <w:rFonts w:ascii="Arial" w:hAnsi="Arial" w:eastAsia="等线" w:cs="Arial"/>
          <w:sz w:val="22"/>
        </w:rPr>
        <w:t>Abide by national laws, the laws of the Hong Kong Special Administrative Region, and the University's rules and regulations; respect others' religious beliefs, cultural backgrounds, and gender identities; and refrain from discrimination, harassment, violence, and other behaviors.</w:t>
      </w:r>
    </w:p>
    <w:p w14:paraId="4CF8ED7B">
      <w:pPr>
        <w:numPr>
          <w:ilvl w:val="0"/>
          <w:numId w:val="32"/>
        </w:numPr>
        <w:spacing w:before="120" w:after="120" w:line="288" w:lineRule="auto"/>
        <w:ind w:left="0"/>
        <w:jc w:val="left"/>
      </w:pPr>
      <w:r>
        <w:rPr>
          <w:rFonts w:ascii="Arial" w:hAnsi="Arial" w:eastAsia="等线" w:cs="Arial"/>
          <w:sz w:val="22"/>
        </w:rPr>
        <w:t>Maintain a clean campus environment, take good care of public facilities (classrooms, laboratories, libraries, sports venues, etc.), and refrain from damaging, graffitiing, or stealing campus property. Violators shall bear compensation responsibilities.</w:t>
      </w:r>
    </w:p>
    <w:p w14:paraId="73588B92">
      <w:pPr>
        <w:numPr>
          <w:ilvl w:val="0"/>
          <w:numId w:val="33"/>
        </w:numPr>
        <w:spacing w:before="120" w:after="120" w:line="288" w:lineRule="auto"/>
        <w:ind w:left="0"/>
        <w:jc w:val="left"/>
      </w:pPr>
      <w:r>
        <w:rPr>
          <w:rFonts w:ascii="Arial" w:hAnsi="Arial" w:eastAsia="等线" w:cs="Arial"/>
          <w:sz w:val="22"/>
        </w:rPr>
        <w:t>Smoking (including e-cigarettes), drinking, gambling, drug use, and other illegal behaviors are prohibited on campus. Making loud noises and disturbing public order in public places are also prohibited.</w:t>
      </w:r>
    </w:p>
    <w:p w14:paraId="7B1A6866">
      <w:pPr>
        <w:numPr>
          <w:ilvl w:val="0"/>
          <w:numId w:val="34"/>
        </w:numPr>
        <w:spacing w:before="120" w:after="120" w:line="288" w:lineRule="auto"/>
        <w:ind w:left="0"/>
        <w:jc w:val="left"/>
      </w:pPr>
      <w:r>
        <w:rPr>
          <w:rFonts w:ascii="Arial" w:hAnsi="Arial" w:eastAsia="等线" w:cs="Arial"/>
          <w:sz w:val="22"/>
        </w:rPr>
        <w:t>Abide by campus traffic rules. Bicycles and electric vehicles must be parked in designated areas, and high-speed driving in teaching areas and dormitory areas is prohibited. Motor vehicles must enter the campus with a pass and park in designated areas.</w:t>
      </w:r>
    </w:p>
    <w:p w14:paraId="40DB8BBE">
      <w:pPr>
        <w:spacing w:before="300" w:after="120" w:line="288" w:lineRule="auto"/>
        <w:ind w:left="0"/>
        <w:jc w:val="left"/>
        <w:outlineLvl w:val="2"/>
      </w:pPr>
      <w:bookmarkStart w:id="12" w:name="heading_13"/>
      <w:r>
        <w:rPr>
          <w:rFonts w:ascii="Arial" w:hAnsi="Arial" w:eastAsia="等线" w:cs="Arial"/>
          <w:b/>
          <w:sz w:val="30"/>
        </w:rPr>
        <w:t>3.2 Dormitory Management</w:t>
      </w:r>
      <w:bookmarkEnd w:id="12"/>
    </w:p>
    <w:p w14:paraId="7439FE41">
      <w:pPr>
        <w:numPr>
          <w:ilvl w:val="0"/>
          <w:numId w:val="35"/>
        </w:numPr>
        <w:spacing w:before="120" w:after="120" w:line="288" w:lineRule="auto"/>
        <w:ind w:left="0"/>
        <w:jc w:val="left"/>
      </w:pPr>
      <w:r>
        <w:rPr>
          <w:rFonts w:ascii="Arial" w:hAnsi="Arial" w:eastAsia="等线" w:cs="Arial"/>
          <w:sz w:val="22"/>
        </w:rPr>
        <w:t>Dormitory Check-in: Students living in dormitories must sign an accommodation agreement with the University, abide by dormitory management regulations, and pay accommodation fees on time (paid per semester/academic year). Unauthorized room changes or accommodating non-resident students are prohibited.</w:t>
      </w:r>
    </w:p>
    <w:p w14:paraId="07A06364">
      <w:pPr>
        <w:numPr>
          <w:ilvl w:val="0"/>
          <w:numId w:val="36"/>
        </w:numPr>
        <w:spacing w:before="120" w:after="120" w:line="288" w:lineRule="auto"/>
        <w:ind w:left="0"/>
        <w:jc w:val="left"/>
      </w:pPr>
      <w:r>
        <w:rPr>
          <w:rFonts w:ascii="Arial" w:hAnsi="Arial" w:eastAsia="等线" w:cs="Arial"/>
          <w:sz w:val="22"/>
        </w:rPr>
        <w:t>Dormitory Discipline:</w:t>
      </w:r>
    </w:p>
    <w:p w14:paraId="0E364B7C">
      <w:pPr>
        <w:numPr>
          <w:ilvl w:val="0"/>
          <w:numId w:val="37"/>
        </w:numPr>
        <w:spacing w:before="120" w:after="120" w:line="288" w:lineRule="auto"/>
        <w:ind w:left="0"/>
        <w:jc w:val="left"/>
      </w:pPr>
      <w:r>
        <w:rPr>
          <w:rFonts w:ascii="Arial" w:hAnsi="Arial" w:eastAsia="等线" w:cs="Arial"/>
          <w:sz w:val="22"/>
        </w:rPr>
        <w:t>Quiet hours are from 23:00 to 6:00 the next day. Making loud noises, playing music, holding parties, or other behaviors that affect others' rest are prohibited;</w:t>
      </w:r>
    </w:p>
    <w:p w14:paraId="7CAA3DEC">
      <w:pPr>
        <w:numPr>
          <w:ilvl w:val="0"/>
          <w:numId w:val="38"/>
        </w:numPr>
        <w:spacing w:before="120" w:after="120" w:line="288" w:lineRule="auto"/>
        <w:ind w:left="0"/>
        <w:jc w:val="left"/>
      </w:pPr>
      <w:r>
        <w:rPr>
          <w:rFonts w:ascii="Arial" w:hAnsi="Arial" w:eastAsia="等线" w:cs="Arial"/>
          <w:sz w:val="22"/>
        </w:rPr>
        <w:t>Using high-power electrical appliances (such as rice cookers, induction cookers, electric heaters) in dormitories is prohibited. Unauthorized wiring is also prohibited to ensure electrical safety;</w:t>
      </w:r>
    </w:p>
    <w:p w14:paraId="47D0C2A6">
      <w:pPr>
        <w:numPr>
          <w:ilvl w:val="0"/>
          <w:numId w:val="39"/>
        </w:numPr>
        <w:spacing w:before="120" w:after="120" w:line="288" w:lineRule="auto"/>
        <w:ind w:left="0"/>
        <w:jc w:val="left"/>
      </w:pPr>
      <w:r>
        <w:rPr>
          <w:rFonts w:ascii="Arial" w:hAnsi="Arial" w:eastAsia="等线" w:cs="Arial"/>
          <w:sz w:val="22"/>
        </w:rPr>
        <w:t>Maintain dormitory hygiene, clean regularly, and sort garbage according to regulations;</w:t>
      </w:r>
    </w:p>
    <w:p w14:paraId="341D2617">
      <w:pPr>
        <w:numPr>
          <w:ilvl w:val="0"/>
          <w:numId w:val="40"/>
        </w:numPr>
        <w:spacing w:before="120" w:after="120" w:line="288" w:lineRule="auto"/>
        <w:ind w:left="0"/>
        <w:jc w:val="left"/>
      </w:pPr>
      <w:r>
        <w:rPr>
          <w:rFonts w:ascii="Arial" w:hAnsi="Arial" w:eastAsia="等线" w:cs="Arial"/>
          <w:sz w:val="22"/>
        </w:rPr>
        <w:t>Dormitory management staff have the right to conduct safety inspections, and students must cooperate and shall not refuse or obstruct.</w:t>
      </w:r>
    </w:p>
    <w:p w14:paraId="6D4AC143">
      <w:pPr>
        <w:numPr>
          <w:ilvl w:val="0"/>
          <w:numId w:val="41"/>
        </w:numPr>
        <w:spacing w:before="120" w:after="120" w:line="288" w:lineRule="auto"/>
        <w:ind w:left="0"/>
        <w:jc w:val="left"/>
      </w:pPr>
      <w:r>
        <w:rPr>
          <w:rFonts w:ascii="Arial" w:hAnsi="Arial" w:eastAsia="等线" w:cs="Arial"/>
          <w:sz w:val="22"/>
        </w:rPr>
        <w:t>Dormitory Check-out: Students who graduate, suspend studies, withdraw, or no longer meet the accommodation requirements must complete check-out procedures within the specified period, clear personal belongings, and compensate for any damaged dormitory property. For those who fail to check out on time, the University will carry out mandatory cleaning, and the resulting costs will be borne by the students.</w:t>
      </w:r>
    </w:p>
    <w:p w14:paraId="2749DBFB">
      <w:pPr>
        <w:spacing w:before="300" w:after="120" w:line="288" w:lineRule="auto"/>
        <w:ind w:left="0"/>
        <w:jc w:val="left"/>
        <w:outlineLvl w:val="2"/>
      </w:pPr>
      <w:bookmarkStart w:id="13" w:name="heading_14"/>
      <w:r>
        <w:rPr>
          <w:rFonts w:ascii="Arial" w:hAnsi="Arial" w:eastAsia="等线" w:cs="Arial"/>
          <w:b/>
          <w:sz w:val="30"/>
        </w:rPr>
        <w:t>3.3 Campus Activity Management</w:t>
      </w:r>
      <w:bookmarkEnd w:id="13"/>
    </w:p>
    <w:p w14:paraId="07BA6CAD">
      <w:pPr>
        <w:numPr>
          <w:ilvl w:val="0"/>
          <w:numId w:val="42"/>
        </w:numPr>
        <w:spacing w:before="120" w:after="120" w:line="288" w:lineRule="auto"/>
        <w:ind w:left="0"/>
        <w:jc w:val="left"/>
      </w:pPr>
      <w:r>
        <w:rPr>
          <w:rFonts w:ascii="Arial" w:hAnsi="Arial" w:eastAsia="等线" w:cs="Arial"/>
          <w:sz w:val="22"/>
        </w:rPr>
        <w:t>Student organizations or individuals holding campus activities (lectures, seminars, cultural performances, sports competitions, etc.) must submit an application to the Office of Student Affairs 7 working days in advance, stating the activity theme, time, venue, number of participants, safety plan, etc. The activity can only be held after approval.</w:t>
      </w:r>
    </w:p>
    <w:p w14:paraId="11A2661D">
      <w:pPr>
        <w:numPr>
          <w:ilvl w:val="0"/>
          <w:numId w:val="43"/>
        </w:numPr>
        <w:spacing w:before="120" w:after="120" w:line="288" w:lineRule="auto"/>
        <w:ind w:left="0"/>
        <w:jc w:val="left"/>
      </w:pPr>
      <w:r>
        <w:rPr>
          <w:rFonts w:ascii="Arial" w:hAnsi="Arial" w:eastAsia="等线" w:cs="Arial"/>
          <w:sz w:val="22"/>
        </w:rPr>
        <w:t>During the activity, safety regulations must be observed, and the management of University staff must be followed. Holding activities involving politically sensitive, violent, pornographic, illegal, or non-compliant content is prohibited.</w:t>
      </w:r>
    </w:p>
    <w:p w14:paraId="4D3F7544">
      <w:pPr>
        <w:numPr>
          <w:ilvl w:val="0"/>
          <w:numId w:val="44"/>
        </w:numPr>
        <w:spacing w:before="120" w:after="120" w:line="288" w:lineRule="auto"/>
        <w:ind w:left="0"/>
        <w:jc w:val="left"/>
      </w:pPr>
      <w:r>
        <w:rPr>
          <w:rFonts w:ascii="Arial" w:hAnsi="Arial" w:eastAsia="等线" w:cs="Arial"/>
          <w:sz w:val="22"/>
        </w:rPr>
        <w:t>Off-campus organizations entering the campus to hold activities must obtain joint approval from relevant University departments (such as the Office of External Relations and the Office of Student Affairs) and be accompanied by an on-campus unit throughout the process.</w:t>
      </w:r>
    </w:p>
    <w:p w14:paraId="10FE0CFF">
      <w:pPr>
        <w:spacing w:before="320" w:after="120" w:line="288" w:lineRule="auto"/>
        <w:ind w:left="0"/>
        <w:jc w:val="left"/>
        <w:outlineLvl w:val="1"/>
      </w:pPr>
      <w:bookmarkStart w:id="14" w:name="heading_15"/>
      <w:r>
        <w:rPr>
          <w:rFonts w:ascii="Arial" w:hAnsi="Arial" w:eastAsia="等线" w:cs="Arial"/>
          <w:b/>
          <w:sz w:val="32"/>
        </w:rPr>
        <w:t>IV. Student Services and Resources</w:t>
      </w:r>
      <w:bookmarkEnd w:id="14"/>
    </w:p>
    <w:p w14:paraId="30B4036D">
      <w:pPr>
        <w:spacing w:before="300" w:after="120" w:line="288" w:lineRule="auto"/>
        <w:ind w:left="0"/>
        <w:jc w:val="left"/>
        <w:outlineLvl w:val="2"/>
      </w:pPr>
      <w:bookmarkStart w:id="15" w:name="heading_16"/>
      <w:r>
        <w:rPr>
          <w:rFonts w:ascii="Arial" w:hAnsi="Arial" w:eastAsia="等线" w:cs="Arial"/>
          <w:b/>
          <w:sz w:val="30"/>
        </w:rPr>
        <w:t>4.1 Academic Support Services</w:t>
      </w:r>
      <w:bookmarkEnd w:id="15"/>
    </w:p>
    <w:p w14:paraId="68BDD2CE">
      <w:pPr>
        <w:numPr>
          <w:ilvl w:val="0"/>
          <w:numId w:val="45"/>
        </w:numPr>
        <w:spacing w:before="120" w:after="120" w:line="288" w:lineRule="auto"/>
        <w:ind w:left="0"/>
        <w:jc w:val="left"/>
      </w:pPr>
      <w:r>
        <w:rPr>
          <w:rFonts w:ascii="Arial" w:hAnsi="Arial" w:eastAsia="等线" w:cs="Arial"/>
          <w:sz w:val="22"/>
        </w:rPr>
        <w:t>Libraries: HKU Libraries (Main Library, Libraries@Pokfulam, etc.) provide a wealth of printed books, electronic resources (databases, journals, e-books), borrowing services, and research support (literature retrieval, thesis formatting guidance). Students can borrow books with their campus cards (undergraduates can borrow up to 10 books for 30 days; postgraduates can borrow up to 20 books for 60 days). Overdue fines will be charged for late returns.</w:t>
      </w:r>
    </w:p>
    <w:p w14:paraId="7C56243D">
      <w:pPr>
        <w:numPr>
          <w:ilvl w:val="0"/>
          <w:numId w:val="46"/>
        </w:numPr>
        <w:spacing w:before="120" w:after="120" w:line="288" w:lineRule="auto"/>
        <w:ind w:left="0"/>
        <w:jc w:val="left"/>
      </w:pPr>
      <w:r>
        <w:rPr>
          <w:rFonts w:ascii="Arial" w:hAnsi="Arial" w:eastAsia="等线" w:cs="Arial"/>
          <w:sz w:val="22"/>
        </w:rPr>
        <w:t>Academic Support Centre: Provides free academic support services, including thesis writing, citation standards, time management, and learning methods. Students can book one-on-one counseling or participate in workshops through the official website.</w:t>
      </w:r>
    </w:p>
    <w:p w14:paraId="277F72B1">
      <w:pPr>
        <w:numPr>
          <w:ilvl w:val="0"/>
          <w:numId w:val="47"/>
        </w:numPr>
        <w:spacing w:before="120" w:after="120" w:line="288" w:lineRule="auto"/>
        <w:ind w:left="0"/>
        <w:jc w:val="left"/>
      </w:pPr>
      <w:r>
        <w:rPr>
          <w:rFonts w:ascii="Arial" w:hAnsi="Arial" w:eastAsia="等线" w:cs="Arial"/>
          <w:sz w:val="22"/>
        </w:rPr>
        <w:t>Language Centre: Offers courses and training in English, Chinese, and other foreign languages to help students improve their language skills and adapt to academic learning and international communication needs.</w:t>
      </w:r>
    </w:p>
    <w:p w14:paraId="1E3C501D">
      <w:pPr>
        <w:spacing w:before="300" w:after="120" w:line="288" w:lineRule="auto"/>
        <w:ind w:left="0"/>
        <w:jc w:val="left"/>
        <w:outlineLvl w:val="2"/>
      </w:pPr>
      <w:bookmarkStart w:id="16" w:name="heading_17"/>
      <w:r>
        <w:rPr>
          <w:rFonts w:ascii="Arial" w:hAnsi="Arial" w:eastAsia="等线" w:cs="Arial"/>
          <w:b/>
          <w:sz w:val="30"/>
        </w:rPr>
        <w:t>4.2 Physical and Mental Health Services</w:t>
      </w:r>
      <w:bookmarkEnd w:id="16"/>
    </w:p>
    <w:p w14:paraId="5A98CAFE">
      <w:pPr>
        <w:numPr>
          <w:ilvl w:val="0"/>
          <w:numId w:val="48"/>
        </w:numPr>
        <w:spacing w:before="120" w:after="120" w:line="288" w:lineRule="auto"/>
        <w:ind w:left="0"/>
        <w:jc w:val="left"/>
      </w:pPr>
      <w:r>
        <w:rPr>
          <w:rFonts w:ascii="Arial" w:hAnsi="Arial" w:eastAsia="等线" w:cs="Arial"/>
          <w:sz w:val="22"/>
        </w:rPr>
        <w:t>Medical Services: The University Health Service provides general outpatient services, vaccinations, health check-ups, psychological counseling, and other services. Students can enjoy preferential medical fees with their campus cards. In case of emergencies, call the 24-hour emergency number or go to a nearby hospital for treatment.</w:t>
      </w:r>
    </w:p>
    <w:p w14:paraId="05B3237D">
      <w:pPr>
        <w:numPr>
          <w:ilvl w:val="0"/>
          <w:numId w:val="49"/>
        </w:numPr>
        <w:spacing w:before="120" w:after="120" w:line="288" w:lineRule="auto"/>
        <w:ind w:left="0"/>
        <w:jc w:val="left"/>
      </w:pPr>
      <w:r>
        <w:rPr>
          <w:rFonts w:ascii="Arial" w:hAnsi="Arial" w:eastAsia="等线" w:cs="Arial"/>
          <w:sz w:val="22"/>
        </w:rPr>
        <w:t>Counseling Services: The Counselling and Well-being Centre provides free and confidential psychological counseling to help students cope with academic pressure, interpersonal relationships, emotional distress, and other issues. Counseling can be booked by phone, email, or through the official website.</w:t>
      </w:r>
    </w:p>
    <w:p w14:paraId="7B5AE25A">
      <w:pPr>
        <w:numPr>
          <w:ilvl w:val="0"/>
          <w:numId w:val="50"/>
        </w:numPr>
        <w:spacing w:before="120" w:after="120" w:line="288" w:lineRule="auto"/>
        <w:ind w:left="0"/>
        <w:jc w:val="left"/>
      </w:pPr>
      <w:r>
        <w:rPr>
          <w:rFonts w:ascii="Arial" w:hAnsi="Arial" w:eastAsia="等线" w:cs="Arial"/>
          <w:sz w:val="22"/>
        </w:rPr>
        <w:t>Sports Facilities: The campus has a sports center, swimming pool, tennis courts, football fields, and other facilities. Students can use these facilities for free or at a discount with their campus cards. Advance booking is required for some popular facilities.</w:t>
      </w:r>
    </w:p>
    <w:p w14:paraId="0352CEB7">
      <w:pPr>
        <w:spacing w:before="300" w:after="120" w:line="288" w:lineRule="auto"/>
        <w:ind w:left="0"/>
        <w:jc w:val="left"/>
        <w:outlineLvl w:val="2"/>
      </w:pPr>
      <w:bookmarkStart w:id="17" w:name="heading_18"/>
      <w:r>
        <w:rPr>
          <w:rFonts w:ascii="Arial" w:hAnsi="Arial" w:eastAsia="等线" w:cs="Arial"/>
          <w:b/>
          <w:sz w:val="30"/>
        </w:rPr>
        <w:t>4.3 Career and Further Study Support</w:t>
      </w:r>
      <w:bookmarkEnd w:id="17"/>
    </w:p>
    <w:p w14:paraId="788D1BC9">
      <w:pPr>
        <w:numPr>
          <w:ilvl w:val="0"/>
          <w:numId w:val="51"/>
        </w:numPr>
        <w:spacing w:before="120" w:after="120" w:line="288" w:lineRule="auto"/>
        <w:ind w:left="0"/>
        <w:jc w:val="left"/>
      </w:pPr>
      <w:r>
        <w:rPr>
          <w:rFonts w:ascii="Arial" w:hAnsi="Arial" w:eastAsia="等线" w:cs="Arial"/>
          <w:sz w:val="22"/>
        </w:rPr>
        <w:t>Careers and Placement Centre: Provides students with career consulting, resume revision, interview coaching, internship recommendation, campus recruitment, and other services, and organizes career lectures, industry exchange meetings, and other activities.</w:t>
      </w:r>
    </w:p>
    <w:p w14:paraId="635CA608">
      <w:pPr>
        <w:numPr>
          <w:ilvl w:val="0"/>
          <w:numId w:val="52"/>
        </w:numPr>
        <w:spacing w:before="120" w:after="120" w:line="288" w:lineRule="auto"/>
        <w:ind w:left="0"/>
        <w:jc w:val="left"/>
      </w:pPr>
      <w:r>
        <w:rPr>
          <w:rFonts w:ascii="Arial" w:hAnsi="Arial" w:eastAsia="等线" w:cs="Arial"/>
          <w:sz w:val="22"/>
        </w:rPr>
        <w:t>Further Study Support: Each faculty provides guidance on recommendation letters and application procedures for postgraduate applicants. The University has cooperative exchange programs with many overseas universities, and students can apply for joint training, exchange study, and other opportunities.</w:t>
      </w:r>
    </w:p>
    <w:p w14:paraId="01C3ECFA">
      <w:pPr>
        <w:spacing w:before="300" w:after="120" w:line="288" w:lineRule="auto"/>
        <w:ind w:left="0"/>
        <w:jc w:val="left"/>
        <w:outlineLvl w:val="2"/>
      </w:pPr>
      <w:bookmarkStart w:id="18" w:name="heading_19"/>
      <w:r>
        <w:rPr>
          <w:rFonts w:ascii="Arial" w:hAnsi="Arial" w:eastAsia="等线" w:cs="Arial"/>
          <w:b/>
          <w:sz w:val="30"/>
        </w:rPr>
        <w:t>4.4 Other Services</w:t>
      </w:r>
      <w:bookmarkEnd w:id="18"/>
    </w:p>
    <w:p w14:paraId="04D5D8D1">
      <w:pPr>
        <w:numPr>
          <w:ilvl w:val="0"/>
          <w:numId w:val="53"/>
        </w:numPr>
        <w:spacing w:before="120" w:after="120" w:line="288" w:lineRule="auto"/>
        <w:ind w:left="0"/>
        <w:jc w:val="left"/>
      </w:pPr>
      <w:r>
        <w:rPr>
          <w:rFonts w:ascii="Arial" w:hAnsi="Arial" w:eastAsia="等线" w:cs="Arial"/>
          <w:sz w:val="22"/>
        </w:rPr>
        <w:t>Student Financial Aid: The University offers scholarships, grants, loans, and other financial aid programs to help students with financial difficulties complete their studies. Applications can be submitted through the HKU Portal, usually from September to October each year, and the approval results will be announced before December.</w:t>
      </w:r>
    </w:p>
    <w:p w14:paraId="7674ACB2">
      <w:pPr>
        <w:numPr>
          <w:ilvl w:val="0"/>
          <w:numId w:val="54"/>
        </w:numPr>
        <w:spacing w:before="120" w:after="120" w:line="288" w:lineRule="auto"/>
        <w:ind w:left="0"/>
        <w:jc w:val="left"/>
      </w:pPr>
      <w:r>
        <w:rPr>
          <w:rFonts w:ascii="Arial" w:hAnsi="Arial" w:eastAsia="等线" w:cs="Arial"/>
          <w:sz w:val="22"/>
        </w:rPr>
        <w:t>Campus Card Services: The Campus Card Service Center is located in the Main Building, providing services such as campus card application, loss reporting, replacement, and recharge. Business hours are 9:00-17:00 from Monday to Friday.</w:t>
      </w:r>
    </w:p>
    <w:p w14:paraId="1A49FD11">
      <w:pPr>
        <w:numPr>
          <w:ilvl w:val="0"/>
          <w:numId w:val="55"/>
        </w:numPr>
        <w:spacing w:before="120" w:after="120" w:line="288" w:lineRule="auto"/>
        <w:ind w:left="0"/>
        <w:jc w:val="left"/>
      </w:pPr>
      <w:r>
        <w:rPr>
          <w:rFonts w:ascii="Arial" w:hAnsi="Arial" w:eastAsia="等线" w:cs="Arial"/>
          <w:sz w:val="22"/>
        </w:rPr>
        <w:t>Information Technology Services: IT Services provides technical support for campus WiFi (HKU_WiFi), email (xxx@hku.hk), office software (Microsoft 365), and teaching platform (Canvas). For any problems, call the IT service hotline or visit the service center for consultation.</w:t>
      </w:r>
    </w:p>
    <w:p w14:paraId="2C9B067C">
      <w:pPr>
        <w:spacing w:before="320" w:after="120" w:line="288" w:lineRule="auto"/>
        <w:ind w:left="0"/>
        <w:jc w:val="left"/>
        <w:outlineLvl w:val="1"/>
      </w:pPr>
      <w:bookmarkStart w:id="19" w:name="heading_20"/>
      <w:r>
        <w:rPr>
          <w:rFonts w:ascii="Arial" w:hAnsi="Arial" w:eastAsia="等线" w:cs="Arial"/>
          <w:b/>
          <w:sz w:val="32"/>
        </w:rPr>
        <w:t>V. Disciplinary Sanctions</w:t>
      </w:r>
      <w:bookmarkEnd w:id="19"/>
    </w:p>
    <w:p w14:paraId="09846EF0">
      <w:pPr>
        <w:spacing w:before="300" w:after="120" w:line="288" w:lineRule="auto"/>
        <w:ind w:left="0"/>
        <w:jc w:val="left"/>
        <w:outlineLvl w:val="2"/>
      </w:pPr>
      <w:bookmarkStart w:id="20" w:name="heading_21"/>
      <w:r>
        <w:rPr>
          <w:rFonts w:ascii="Arial" w:hAnsi="Arial" w:eastAsia="等线" w:cs="Arial"/>
          <w:b/>
          <w:sz w:val="30"/>
        </w:rPr>
        <w:t>5.1 Types of Sanctions</w:t>
      </w:r>
      <w:bookmarkEnd w:id="20"/>
    </w:p>
    <w:p w14:paraId="17D359A5">
      <w:pPr>
        <w:spacing w:before="120" w:after="120" w:line="288" w:lineRule="auto"/>
        <w:ind w:left="0"/>
        <w:jc w:val="left"/>
      </w:pPr>
      <w:r>
        <w:rPr>
          <w:rFonts w:ascii="Arial" w:hAnsi="Arial" w:eastAsia="等线" w:cs="Arial"/>
          <w:sz w:val="22"/>
        </w:rPr>
        <w:t>Based on the severity of the violation, the University will impose the following sanctions (from light to severe):</w:t>
      </w:r>
    </w:p>
    <w:p w14:paraId="792D8978">
      <w:pPr>
        <w:numPr>
          <w:ilvl w:val="0"/>
          <w:numId w:val="56"/>
        </w:numPr>
        <w:spacing w:before="120" w:after="120" w:line="288" w:lineRule="auto"/>
        <w:ind w:left="0"/>
        <w:jc w:val="left"/>
      </w:pPr>
      <w:r>
        <w:rPr>
          <w:rFonts w:ascii="Arial" w:hAnsi="Arial" w:eastAsia="等线" w:cs="Arial"/>
          <w:sz w:val="22"/>
        </w:rPr>
        <w:t>Verbal Warning: Recorded on file, no impact on studies, but repeated violations will result in heavier sanctions;</w:t>
      </w:r>
    </w:p>
    <w:p w14:paraId="428B5885">
      <w:pPr>
        <w:numPr>
          <w:ilvl w:val="0"/>
          <w:numId w:val="57"/>
        </w:numPr>
        <w:spacing w:before="120" w:after="120" w:line="288" w:lineRule="auto"/>
        <w:ind w:left="0"/>
        <w:jc w:val="left"/>
      </w:pPr>
      <w:r>
        <w:rPr>
          <w:rFonts w:ascii="Arial" w:hAnsi="Arial" w:eastAsia="等线" w:cs="Arial"/>
          <w:sz w:val="22"/>
        </w:rPr>
        <w:t>Written Warning: Formal written notice, recorded in the student's file, affecting the evaluation of scholarships and honorary titles;</w:t>
      </w:r>
    </w:p>
    <w:p w14:paraId="7103449B">
      <w:pPr>
        <w:numPr>
          <w:ilvl w:val="0"/>
          <w:numId w:val="58"/>
        </w:numPr>
        <w:spacing w:before="120" w:after="120" w:line="288" w:lineRule="auto"/>
        <w:ind w:left="0"/>
        <w:jc w:val="left"/>
      </w:pPr>
      <w:r>
        <w:rPr>
          <w:rFonts w:ascii="Arial" w:hAnsi="Arial" w:eastAsia="等线" w:cs="Arial"/>
          <w:sz w:val="22"/>
        </w:rPr>
        <w:t>Probation: The probation period is usually 1-2 academic years. Special regulations must be observed during the probation period. Any further violation will result in dismissal;</w:t>
      </w:r>
    </w:p>
    <w:p w14:paraId="4BCCDD33">
      <w:pPr>
        <w:numPr>
          <w:ilvl w:val="0"/>
          <w:numId w:val="59"/>
        </w:numPr>
        <w:spacing w:before="120" w:after="120" w:line="288" w:lineRule="auto"/>
        <w:ind w:left="0"/>
        <w:jc w:val="left"/>
      </w:pPr>
      <w:r>
        <w:rPr>
          <w:rFonts w:ascii="Arial" w:hAnsi="Arial" w:eastAsia="等线" w:cs="Arial"/>
          <w:sz w:val="22"/>
        </w:rPr>
        <w:t>Dismissal: Revocation of student status, completion of exit procedures, and recording in the student's file;</w:t>
      </w:r>
    </w:p>
    <w:p w14:paraId="6AAEEA05">
      <w:pPr>
        <w:numPr>
          <w:ilvl w:val="0"/>
          <w:numId w:val="60"/>
        </w:numPr>
        <w:spacing w:before="120" w:after="120" w:line="288" w:lineRule="auto"/>
        <w:ind w:left="0"/>
        <w:jc w:val="left"/>
      </w:pPr>
      <w:r>
        <w:rPr>
          <w:rFonts w:ascii="Arial" w:hAnsi="Arial" w:eastAsia="等线" w:cs="Arial"/>
          <w:sz w:val="22"/>
        </w:rPr>
        <w:t>Degree Revocation: For graduates, if serious academic misconduct or violations are found during their studies at the University, their degree certificates may be revoked after review by the University.</w:t>
      </w:r>
    </w:p>
    <w:p w14:paraId="04140BF2">
      <w:pPr>
        <w:spacing w:before="300" w:after="120" w:line="288" w:lineRule="auto"/>
        <w:ind w:left="0"/>
        <w:jc w:val="left"/>
        <w:outlineLvl w:val="2"/>
      </w:pPr>
      <w:bookmarkStart w:id="21" w:name="heading_22"/>
      <w:r>
        <w:rPr>
          <w:rFonts w:ascii="Arial" w:hAnsi="Arial" w:eastAsia="等线" w:cs="Arial"/>
          <w:b/>
          <w:sz w:val="30"/>
        </w:rPr>
        <w:t>5.2 Sanction Procedures</w:t>
      </w:r>
      <w:bookmarkEnd w:id="21"/>
    </w:p>
    <w:p w14:paraId="545B5E76">
      <w:pPr>
        <w:numPr>
          <w:ilvl w:val="0"/>
          <w:numId w:val="61"/>
        </w:numPr>
        <w:spacing w:before="120" w:after="120" w:line="288" w:lineRule="auto"/>
        <w:ind w:left="0"/>
        <w:jc w:val="left"/>
      </w:pPr>
      <w:r>
        <w:rPr>
          <w:rFonts w:ascii="Arial" w:hAnsi="Arial" w:eastAsia="等线" w:cs="Arial"/>
          <w:sz w:val="22"/>
        </w:rPr>
        <w:t>After receiving a report of a violation or discovering a violation, relevant University departments (such as the Office of Student Affairs, faculties) will conduct an investigation and verification, collect evidence, and listen to the student's statement and defense.</w:t>
      </w:r>
    </w:p>
    <w:p w14:paraId="7D82A22E">
      <w:pPr>
        <w:numPr>
          <w:ilvl w:val="0"/>
          <w:numId w:val="62"/>
        </w:numPr>
        <w:spacing w:before="120" w:after="120" w:line="288" w:lineRule="auto"/>
        <w:ind w:left="0"/>
        <w:jc w:val="left"/>
      </w:pPr>
      <w:r>
        <w:rPr>
          <w:rFonts w:ascii="Arial" w:hAnsi="Arial" w:eastAsia="等线" w:cs="Arial"/>
          <w:sz w:val="22"/>
        </w:rPr>
        <w:t>After the investigation, the Disciplinary Committee will make a sanction decision based on the facts and circumstances of the violation, and issue a written notice to the student and their faculty.</w:t>
      </w:r>
    </w:p>
    <w:p w14:paraId="393FE7C0">
      <w:pPr>
        <w:numPr>
          <w:ilvl w:val="0"/>
          <w:numId w:val="63"/>
        </w:numPr>
        <w:spacing w:before="120" w:after="120" w:line="288" w:lineRule="auto"/>
        <w:ind w:left="0"/>
        <w:jc w:val="left"/>
      </w:pPr>
      <w:r>
        <w:rPr>
          <w:rFonts w:ascii="Arial" w:hAnsi="Arial" w:eastAsia="等线" w:cs="Arial"/>
          <w:sz w:val="22"/>
        </w:rPr>
        <w:t>If students have objections to the sanction decision, they may submit a written appeal to the University Disciplinary Appeal Committee within 10 working days of receiving the notice. The execution of the sanction will not be suspended during the appeal period.</w:t>
      </w:r>
    </w:p>
    <w:p w14:paraId="1B40A7FB">
      <w:pPr>
        <w:spacing w:before="320" w:after="120" w:line="288" w:lineRule="auto"/>
        <w:ind w:left="0"/>
        <w:jc w:val="left"/>
        <w:outlineLvl w:val="1"/>
      </w:pPr>
      <w:bookmarkStart w:id="22" w:name="heading_23"/>
      <w:r>
        <w:rPr>
          <w:rFonts w:ascii="Arial" w:hAnsi="Arial" w:eastAsia="等线" w:cs="Arial"/>
          <w:b/>
          <w:sz w:val="32"/>
        </w:rPr>
        <w:t>VI. Contact Information and Supplementary Provisions</w:t>
      </w:r>
      <w:bookmarkEnd w:id="22"/>
    </w:p>
    <w:p w14:paraId="6164E7AE">
      <w:pPr>
        <w:spacing w:before="300" w:after="120" w:line="288" w:lineRule="auto"/>
        <w:ind w:left="0"/>
        <w:jc w:val="left"/>
        <w:outlineLvl w:val="2"/>
      </w:pPr>
      <w:bookmarkStart w:id="23" w:name="heading_24"/>
      <w:r>
        <w:rPr>
          <w:rFonts w:ascii="Arial" w:hAnsi="Arial" w:eastAsia="等线" w:cs="Arial"/>
          <w:b/>
          <w:sz w:val="30"/>
        </w:rPr>
        <w:t>6.1 Contact Information of Key Departments</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AC1F0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36DB8DB">
            <w:pPr>
              <w:spacing w:before="120" w:after="120" w:line="288" w:lineRule="auto"/>
              <w:ind w:left="0"/>
              <w:jc w:val="left"/>
            </w:pPr>
            <w:r>
              <w:rPr>
                <w:rFonts w:ascii="Arial" w:hAnsi="Arial" w:eastAsia="等线" w:cs="Arial"/>
                <w:sz w:val="22"/>
              </w:rPr>
              <w:t>Department</w:t>
            </w:r>
          </w:p>
        </w:tc>
        <w:tc>
          <w:tcPr>
            <w:tcW w:w="0" w:type="dxa"/>
            <w:tcMar>
              <w:top w:w="60" w:type="dxa"/>
              <w:left w:w="120" w:type="dxa"/>
              <w:bottom w:w="30" w:type="dxa"/>
              <w:right w:w="120" w:type="dxa"/>
            </w:tcMar>
          </w:tcPr>
          <w:p w14:paraId="34295CB3">
            <w:pPr>
              <w:spacing w:before="120" w:after="120" w:line="288" w:lineRule="auto"/>
              <w:ind w:left="0"/>
              <w:jc w:val="left"/>
            </w:pPr>
            <w:r>
              <w:rPr>
                <w:rFonts w:ascii="Arial" w:hAnsi="Arial" w:eastAsia="等线" w:cs="Arial"/>
                <w:sz w:val="22"/>
              </w:rPr>
              <w:t>Telephone</w:t>
            </w:r>
          </w:p>
        </w:tc>
        <w:tc>
          <w:tcPr>
            <w:tcW w:w="0" w:type="dxa"/>
            <w:tcMar>
              <w:top w:w="60" w:type="dxa"/>
              <w:left w:w="120" w:type="dxa"/>
              <w:bottom w:w="30" w:type="dxa"/>
              <w:right w:w="120" w:type="dxa"/>
            </w:tcMar>
          </w:tcPr>
          <w:p w14:paraId="160050EF">
            <w:pPr>
              <w:spacing w:before="120" w:after="120" w:line="288" w:lineRule="auto"/>
              <w:ind w:left="0"/>
              <w:jc w:val="left"/>
            </w:pPr>
            <w:r>
              <w:rPr>
                <w:rFonts w:ascii="Arial" w:hAnsi="Arial" w:eastAsia="等线" w:cs="Arial"/>
                <w:sz w:val="22"/>
              </w:rPr>
              <w:t>Email</w:t>
            </w:r>
          </w:p>
        </w:tc>
        <w:tc>
          <w:tcPr>
            <w:tcW w:w="0" w:type="dxa"/>
            <w:tcMar>
              <w:top w:w="60" w:type="dxa"/>
              <w:left w:w="120" w:type="dxa"/>
              <w:bottom w:w="30" w:type="dxa"/>
              <w:right w:w="120" w:type="dxa"/>
            </w:tcMar>
          </w:tcPr>
          <w:p w14:paraId="4E956F74">
            <w:pPr>
              <w:spacing w:before="120" w:after="120" w:line="288" w:lineRule="auto"/>
              <w:ind w:left="0"/>
              <w:jc w:val="left"/>
            </w:pPr>
            <w:r>
              <w:rPr>
                <w:rFonts w:ascii="Arial" w:hAnsi="Arial" w:eastAsia="等线" w:cs="Arial"/>
                <w:sz w:val="22"/>
              </w:rPr>
              <w:t>Office Address</w:t>
            </w:r>
          </w:p>
        </w:tc>
      </w:tr>
      <w:tr w14:paraId="620816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F3160E0">
            <w:pPr>
              <w:spacing w:before="120" w:after="120" w:line="288" w:lineRule="auto"/>
              <w:ind w:left="0"/>
              <w:jc w:val="left"/>
            </w:pPr>
            <w:r>
              <w:rPr>
                <w:rFonts w:ascii="Arial" w:hAnsi="Arial" w:eastAsia="等线" w:cs="Arial"/>
                <w:sz w:val="22"/>
              </w:rPr>
              <w:t>Senate Office</w:t>
            </w:r>
          </w:p>
        </w:tc>
        <w:tc>
          <w:tcPr>
            <w:tcW w:w="0" w:type="dxa"/>
            <w:tcMar>
              <w:top w:w="60" w:type="dxa"/>
              <w:left w:w="120" w:type="dxa"/>
              <w:bottom w:w="30" w:type="dxa"/>
              <w:right w:w="120" w:type="dxa"/>
            </w:tcMar>
          </w:tcPr>
          <w:p w14:paraId="4BE8AF38">
            <w:pPr>
              <w:spacing w:before="120" w:after="120" w:line="288" w:lineRule="auto"/>
              <w:ind w:left="0"/>
              <w:jc w:val="left"/>
            </w:pPr>
            <w:r>
              <w:rPr>
                <w:rFonts w:ascii="Arial" w:hAnsi="Arial" w:eastAsia="等线" w:cs="Arial"/>
                <w:sz w:val="22"/>
              </w:rPr>
              <w:t>+852 2859 2433</w:t>
            </w:r>
          </w:p>
        </w:tc>
        <w:tc>
          <w:tcPr>
            <w:tcW w:w="0" w:type="dxa"/>
            <w:tcMar>
              <w:top w:w="60" w:type="dxa"/>
              <w:left w:w="120" w:type="dxa"/>
              <w:bottom w:w="30" w:type="dxa"/>
              <w:right w:w="120" w:type="dxa"/>
            </w:tcMar>
          </w:tcPr>
          <w:p w14:paraId="61136E68">
            <w:pPr>
              <w:spacing w:before="120" w:after="120" w:line="288" w:lineRule="auto"/>
              <w:ind w:left="0"/>
              <w:jc w:val="left"/>
            </w:pPr>
            <w:r>
              <w:fldChar w:fldCharType="begin"/>
            </w:r>
            <w:r>
              <w:instrText xml:space="preserve"> HYPERLINK "mailto:registry@hku.hk" \h </w:instrText>
            </w:r>
            <w:r>
              <w:fldChar w:fldCharType="separate"/>
            </w:r>
            <w:r>
              <w:rPr>
                <w:rFonts w:ascii="Arial" w:hAnsi="Arial" w:eastAsia="等线" w:cs="Arial"/>
                <w:color w:val="3370FF"/>
                <w:sz w:val="22"/>
              </w:rPr>
              <w:t>registry@hku.hk</w:t>
            </w:r>
            <w:r>
              <w:rPr>
                <w:rFonts w:ascii="Arial" w:hAnsi="Arial" w:eastAsia="等线" w:cs="Arial"/>
                <w:color w:val="3370FF"/>
                <w:sz w:val="22"/>
              </w:rPr>
              <w:fldChar w:fldCharType="end"/>
            </w:r>
          </w:p>
        </w:tc>
        <w:tc>
          <w:tcPr>
            <w:tcW w:w="0" w:type="dxa"/>
            <w:tcMar>
              <w:top w:w="60" w:type="dxa"/>
              <w:left w:w="120" w:type="dxa"/>
              <w:bottom w:w="30" w:type="dxa"/>
              <w:right w:w="120" w:type="dxa"/>
            </w:tcMar>
          </w:tcPr>
          <w:p w14:paraId="74569444">
            <w:pPr>
              <w:spacing w:before="120" w:after="120" w:line="288" w:lineRule="auto"/>
              <w:ind w:left="0"/>
              <w:jc w:val="left"/>
            </w:pPr>
            <w:r>
              <w:rPr>
                <w:rFonts w:ascii="Arial" w:hAnsi="Arial" w:eastAsia="等线" w:cs="Arial"/>
                <w:sz w:val="22"/>
              </w:rPr>
              <w:t>Main Building, Room 218</w:t>
            </w:r>
          </w:p>
        </w:tc>
      </w:tr>
      <w:tr w14:paraId="504171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0973B8E">
            <w:pPr>
              <w:spacing w:before="120" w:after="120" w:line="288" w:lineRule="auto"/>
              <w:ind w:left="0"/>
              <w:jc w:val="left"/>
            </w:pPr>
            <w:r>
              <w:rPr>
                <w:rFonts w:ascii="Arial" w:hAnsi="Arial" w:eastAsia="等线" w:cs="Arial"/>
                <w:sz w:val="22"/>
              </w:rPr>
              <w:t>Office of Student Affairs</w:t>
            </w:r>
          </w:p>
        </w:tc>
        <w:tc>
          <w:tcPr>
            <w:tcW w:w="0" w:type="dxa"/>
            <w:tcMar>
              <w:top w:w="60" w:type="dxa"/>
              <w:left w:w="120" w:type="dxa"/>
              <w:bottom w:w="30" w:type="dxa"/>
              <w:right w:w="120" w:type="dxa"/>
            </w:tcMar>
          </w:tcPr>
          <w:p w14:paraId="201ADA80">
            <w:pPr>
              <w:spacing w:before="120" w:after="120" w:line="288" w:lineRule="auto"/>
              <w:ind w:left="0"/>
              <w:jc w:val="left"/>
            </w:pPr>
            <w:r>
              <w:rPr>
                <w:rFonts w:ascii="Arial" w:hAnsi="Arial" w:eastAsia="等线" w:cs="Arial"/>
                <w:sz w:val="22"/>
              </w:rPr>
              <w:t>+852 2859 2306</w:t>
            </w:r>
          </w:p>
        </w:tc>
        <w:tc>
          <w:tcPr>
            <w:tcW w:w="0" w:type="dxa"/>
            <w:tcMar>
              <w:top w:w="60" w:type="dxa"/>
              <w:left w:w="120" w:type="dxa"/>
              <w:bottom w:w="30" w:type="dxa"/>
              <w:right w:w="120" w:type="dxa"/>
            </w:tcMar>
          </w:tcPr>
          <w:p w14:paraId="157522B2">
            <w:pPr>
              <w:spacing w:before="120" w:after="120" w:line="288" w:lineRule="auto"/>
              <w:ind w:left="0"/>
              <w:jc w:val="left"/>
            </w:pPr>
            <w:r>
              <w:fldChar w:fldCharType="begin"/>
            </w:r>
            <w:r>
              <w:instrText xml:space="preserve"> HYPERLINK "mailto:saao@hku.hk" \h </w:instrText>
            </w:r>
            <w:r>
              <w:fldChar w:fldCharType="separate"/>
            </w:r>
            <w:r>
              <w:rPr>
                <w:rFonts w:ascii="Arial" w:hAnsi="Arial" w:eastAsia="等线" w:cs="Arial"/>
                <w:color w:val="3370FF"/>
                <w:sz w:val="22"/>
              </w:rPr>
              <w:t>saao@hku.hk</w:t>
            </w:r>
            <w:r>
              <w:rPr>
                <w:rFonts w:ascii="Arial" w:hAnsi="Arial" w:eastAsia="等线" w:cs="Arial"/>
                <w:color w:val="3370FF"/>
                <w:sz w:val="22"/>
              </w:rPr>
              <w:fldChar w:fldCharType="end"/>
            </w:r>
          </w:p>
        </w:tc>
        <w:tc>
          <w:tcPr>
            <w:tcW w:w="0" w:type="dxa"/>
            <w:tcMar>
              <w:top w:w="60" w:type="dxa"/>
              <w:left w:w="120" w:type="dxa"/>
              <w:bottom w:w="30" w:type="dxa"/>
              <w:right w:w="120" w:type="dxa"/>
            </w:tcMar>
          </w:tcPr>
          <w:p w14:paraId="519BEE31">
            <w:pPr>
              <w:spacing w:before="120" w:after="120" w:line="288" w:lineRule="auto"/>
              <w:ind w:left="0"/>
              <w:jc w:val="left"/>
            </w:pPr>
            <w:r>
              <w:rPr>
                <w:rFonts w:ascii="Arial" w:hAnsi="Arial" w:eastAsia="等线" w:cs="Arial"/>
                <w:sz w:val="22"/>
              </w:rPr>
              <w:t>Student Union Building, Room 201</w:t>
            </w:r>
          </w:p>
        </w:tc>
      </w:tr>
      <w:tr w14:paraId="032436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61FFA88">
            <w:pPr>
              <w:spacing w:before="120" w:after="120" w:line="288" w:lineRule="auto"/>
              <w:ind w:left="0"/>
              <w:jc w:val="left"/>
            </w:pPr>
            <w:r>
              <w:rPr>
                <w:rFonts w:ascii="Arial" w:hAnsi="Arial" w:eastAsia="等线" w:cs="Arial"/>
                <w:sz w:val="22"/>
              </w:rPr>
              <w:t>Academic Support Centre</w:t>
            </w:r>
          </w:p>
        </w:tc>
        <w:tc>
          <w:tcPr>
            <w:tcW w:w="0" w:type="dxa"/>
            <w:tcMar>
              <w:top w:w="60" w:type="dxa"/>
              <w:left w:w="120" w:type="dxa"/>
              <w:bottom w:w="30" w:type="dxa"/>
              <w:right w:w="120" w:type="dxa"/>
            </w:tcMar>
          </w:tcPr>
          <w:p w14:paraId="2B04307F">
            <w:pPr>
              <w:spacing w:before="120" w:after="120" w:line="288" w:lineRule="auto"/>
              <w:ind w:left="0"/>
              <w:jc w:val="left"/>
            </w:pPr>
            <w:r>
              <w:rPr>
                <w:rFonts w:ascii="Arial" w:hAnsi="Arial" w:eastAsia="等线" w:cs="Arial"/>
                <w:sz w:val="22"/>
              </w:rPr>
              <w:t>+852 2859 2476</w:t>
            </w:r>
          </w:p>
        </w:tc>
        <w:tc>
          <w:tcPr>
            <w:tcW w:w="0" w:type="dxa"/>
            <w:tcMar>
              <w:top w:w="60" w:type="dxa"/>
              <w:left w:w="120" w:type="dxa"/>
              <w:bottom w:w="30" w:type="dxa"/>
              <w:right w:w="120" w:type="dxa"/>
            </w:tcMar>
          </w:tcPr>
          <w:p w14:paraId="589E74A3">
            <w:pPr>
              <w:spacing w:before="120" w:after="120" w:line="288" w:lineRule="auto"/>
              <w:ind w:left="0"/>
              <w:jc w:val="left"/>
            </w:pPr>
            <w:r>
              <w:fldChar w:fldCharType="begin"/>
            </w:r>
            <w:r>
              <w:instrText xml:space="preserve"> HYPERLINK "mailto:asc@hku.hk" \h </w:instrText>
            </w:r>
            <w:r>
              <w:fldChar w:fldCharType="separate"/>
            </w:r>
            <w:r>
              <w:rPr>
                <w:rFonts w:ascii="Arial" w:hAnsi="Arial" w:eastAsia="等线" w:cs="Arial"/>
                <w:color w:val="3370FF"/>
                <w:sz w:val="22"/>
              </w:rPr>
              <w:t>asc@hku.hk</w:t>
            </w:r>
            <w:r>
              <w:rPr>
                <w:rFonts w:ascii="Arial" w:hAnsi="Arial" w:eastAsia="等线" w:cs="Arial"/>
                <w:color w:val="3370FF"/>
                <w:sz w:val="22"/>
              </w:rPr>
              <w:fldChar w:fldCharType="end"/>
            </w:r>
          </w:p>
        </w:tc>
        <w:tc>
          <w:tcPr>
            <w:tcW w:w="0" w:type="dxa"/>
            <w:tcMar>
              <w:top w:w="60" w:type="dxa"/>
              <w:left w:w="120" w:type="dxa"/>
              <w:bottom w:w="30" w:type="dxa"/>
              <w:right w:w="120" w:type="dxa"/>
            </w:tcMar>
          </w:tcPr>
          <w:p w14:paraId="20104453">
            <w:pPr>
              <w:spacing w:before="120" w:after="120" w:line="288" w:lineRule="auto"/>
              <w:ind w:left="0"/>
              <w:jc w:val="left"/>
            </w:pPr>
            <w:r>
              <w:rPr>
                <w:rFonts w:ascii="Arial" w:hAnsi="Arial" w:eastAsia="等线" w:cs="Arial"/>
                <w:sz w:val="22"/>
              </w:rPr>
              <w:t>Main Library, Level 3</w:t>
            </w:r>
          </w:p>
        </w:tc>
      </w:tr>
      <w:tr w14:paraId="2D4DEA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BD8A45A">
            <w:pPr>
              <w:spacing w:before="120" w:after="120" w:line="288" w:lineRule="auto"/>
              <w:ind w:left="0"/>
              <w:jc w:val="left"/>
            </w:pPr>
            <w:r>
              <w:rPr>
                <w:rFonts w:ascii="Arial" w:hAnsi="Arial" w:eastAsia="等线" w:cs="Arial"/>
                <w:sz w:val="22"/>
              </w:rPr>
              <w:t>Counselling and Well-being Centre</w:t>
            </w:r>
          </w:p>
        </w:tc>
        <w:tc>
          <w:tcPr>
            <w:tcW w:w="0" w:type="dxa"/>
            <w:tcMar>
              <w:top w:w="60" w:type="dxa"/>
              <w:left w:w="120" w:type="dxa"/>
              <w:bottom w:w="30" w:type="dxa"/>
              <w:right w:w="120" w:type="dxa"/>
            </w:tcMar>
          </w:tcPr>
          <w:p w14:paraId="67447717">
            <w:pPr>
              <w:spacing w:before="120" w:after="120" w:line="288" w:lineRule="auto"/>
              <w:ind w:left="0"/>
              <w:jc w:val="left"/>
            </w:pPr>
            <w:r>
              <w:rPr>
                <w:rFonts w:ascii="Arial" w:hAnsi="Arial" w:eastAsia="等线" w:cs="Arial"/>
                <w:sz w:val="22"/>
              </w:rPr>
              <w:t>+852 2859 2119</w:t>
            </w:r>
          </w:p>
        </w:tc>
        <w:tc>
          <w:tcPr>
            <w:tcW w:w="0" w:type="dxa"/>
            <w:tcMar>
              <w:top w:w="60" w:type="dxa"/>
              <w:left w:w="120" w:type="dxa"/>
              <w:bottom w:w="30" w:type="dxa"/>
              <w:right w:w="120" w:type="dxa"/>
            </w:tcMar>
          </w:tcPr>
          <w:p w14:paraId="32F878B4">
            <w:pPr>
              <w:spacing w:before="120" w:after="120" w:line="288" w:lineRule="auto"/>
              <w:ind w:left="0"/>
              <w:jc w:val="left"/>
            </w:pPr>
            <w:r>
              <w:fldChar w:fldCharType="begin"/>
            </w:r>
            <w:r>
              <w:instrText xml:space="preserve"> HYPERLINK "mailto:counselling@hku.hk" \h </w:instrText>
            </w:r>
            <w:r>
              <w:fldChar w:fldCharType="separate"/>
            </w:r>
            <w:r>
              <w:rPr>
                <w:rFonts w:ascii="Arial" w:hAnsi="Arial" w:eastAsia="等线" w:cs="Arial"/>
                <w:color w:val="3370FF"/>
                <w:sz w:val="22"/>
              </w:rPr>
              <w:t>counselling@hku.hk</w:t>
            </w:r>
            <w:r>
              <w:rPr>
                <w:rFonts w:ascii="Arial" w:hAnsi="Arial" w:eastAsia="等线" w:cs="Arial"/>
                <w:color w:val="3370FF"/>
                <w:sz w:val="22"/>
              </w:rPr>
              <w:fldChar w:fldCharType="end"/>
            </w:r>
          </w:p>
        </w:tc>
        <w:tc>
          <w:tcPr>
            <w:tcW w:w="0" w:type="dxa"/>
            <w:tcMar>
              <w:top w:w="60" w:type="dxa"/>
              <w:left w:w="120" w:type="dxa"/>
              <w:bottom w:w="30" w:type="dxa"/>
              <w:right w:w="120" w:type="dxa"/>
            </w:tcMar>
          </w:tcPr>
          <w:p w14:paraId="492DE45C">
            <w:pPr>
              <w:spacing w:before="120" w:after="120" w:line="288" w:lineRule="auto"/>
              <w:ind w:left="0"/>
              <w:jc w:val="left"/>
            </w:pPr>
            <w:r>
              <w:rPr>
                <w:rFonts w:ascii="Arial" w:hAnsi="Arial" w:eastAsia="等线" w:cs="Arial"/>
                <w:sz w:val="22"/>
              </w:rPr>
              <w:t>Student Health Service Building</w:t>
            </w:r>
          </w:p>
        </w:tc>
      </w:tr>
      <w:tr w14:paraId="2AB353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955B6BF">
            <w:pPr>
              <w:spacing w:before="120" w:after="120" w:line="288" w:lineRule="auto"/>
              <w:ind w:left="0"/>
              <w:jc w:val="left"/>
            </w:pPr>
            <w:r>
              <w:rPr>
                <w:rFonts w:ascii="Arial" w:hAnsi="Arial" w:eastAsia="等线" w:cs="Arial"/>
                <w:sz w:val="22"/>
              </w:rPr>
              <w:t>Careers and Placement Centre</w:t>
            </w:r>
          </w:p>
        </w:tc>
        <w:tc>
          <w:tcPr>
            <w:tcW w:w="0" w:type="dxa"/>
            <w:tcMar>
              <w:top w:w="60" w:type="dxa"/>
              <w:left w:w="120" w:type="dxa"/>
              <w:bottom w:w="30" w:type="dxa"/>
              <w:right w:w="120" w:type="dxa"/>
            </w:tcMar>
          </w:tcPr>
          <w:p w14:paraId="74D18B98">
            <w:pPr>
              <w:spacing w:before="120" w:after="120" w:line="288" w:lineRule="auto"/>
              <w:ind w:left="0"/>
              <w:jc w:val="left"/>
            </w:pPr>
            <w:r>
              <w:rPr>
                <w:rFonts w:ascii="Arial" w:hAnsi="Arial" w:eastAsia="等线" w:cs="Arial"/>
                <w:sz w:val="22"/>
              </w:rPr>
              <w:t>+852 2859 2318</w:t>
            </w:r>
          </w:p>
        </w:tc>
        <w:tc>
          <w:tcPr>
            <w:tcW w:w="0" w:type="dxa"/>
            <w:tcMar>
              <w:top w:w="60" w:type="dxa"/>
              <w:left w:w="120" w:type="dxa"/>
              <w:bottom w:w="30" w:type="dxa"/>
              <w:right w:w="120" w:type="dxa"/>
            </w:tcMar>
          </w:tcPr>
          <w:p w14:paraId="1A6335DB">
            <w:pPr>
              <w:spacing w:before="120" w:after="120" w:line="288" w:lineRule="auto"/>
              <w:ind w:left="0"/>
              <w:jc w:val="left"/>
            </w:pPr>
            <w:r>
              <w:fldChar w:fldCharType="begin"/>
            </w:r>
            <w:r>
              <w:instrText xml:space="preserve"> HYPERLINK "mailto:careers@hku.hk" \h </w:instrText>
            </w:r>
            <w:r>
              <w:fldChar w:fldCharType="separate"/>
            </w:r>
            <w:r>
              <w:rPr>
                <w:rFonts w:ascii="Arial" w:hAnsi="Arial" w:eastAsia="等线" w:cs="Arial"/>
                <w:color w:val="3370FF"/>
                <w:sz w:val="22"/>
              </w:rPr>
              <w:t>careers@hku.hk</w:t>
            </w:r>
            <w:r>
              <w:rPr>
                <w:rFonts w:ascii="Arial" w:hAnsi="Arial" w:eastAsia="等线" w:cs="Arial"/>
                <w:color w:val="3370FF"/>
                <w:sz w:val="22"/>
              </w:rPr>
              <w:fldChar w:fldCharType="end"/>
            </w:r>
          </w:p>
        </w:tc>
        <w:tc>
          <w:tcPr>
            <w:tcW w:w="0" w:type="dxa"/>
            <w:tcMar>
              <w:top w:w="60" w:type="dxa"/>
              <w:left w:w="120" w:type="dxa"/>
              <w:bottom w:w="30" w:type="dxa"/>
              <w:right w:w="120" w:type="dxa"/>
            </w:tcMar>
          </w:tcPr>
          <w:p w14:paraId="4F5F331A">
            <w:pPr>
              <w:spacing w:before="120" w:after="120" w:line="288" w:lineRule="auto"/>
              <w:ind w:left="0"/>
              <w:jc w:val="left"/>
            </w:pPr>
            <w:r>
              <w:rPr>
                <w:rFonts w:ascii="Arial" w:hAnsi="Arial" w:eastAsia="等线" w:cs="Arial"/>
                <w:sz w:val="22"/>
              </w:rPr>
              <w:t>Student Union Building, Room 301</w:t>
            </w:r>
          </w:p>
        </w:tc>
      </w:tr>
      <w:tr w14:paraId="7798B8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AF2024C">
            <w:pPr>
              <w:spacing w:before="120" w:after="120" w:line="288" w:lineRule="auto"/>
              <w:ind w:left="0"/>
              <w:jc w:val="left"/>
            </w:pPr>
            <w:r>
              <w:rPr>
                <w:rFonts w:ascii="Arial" w:hAnsi="Arial" w:eastAsia="等线" w:cs="Arial"/>
                <w:sz w:val="22"/>
              </w:rPr>
              <w:t>IT Services Centre</w:t>
            </w:r>
          </w:p>
        </w:tc>
        <w:tc>
          <w:tcPr>
            <w:tcW w:w="0" w:type="dxa"/>
            <w:tcMar>
              <w:top w:w="60" w:type="dxa"/>
              <w:left w:w="120" w:type="dxa"/>
              <w:bottom w:w="30" w:type="dxa"/>
              <w:right w:w="120" w:type="dxa"/>
            </w:tcMar>
          </w:tcPr>
          <w:p w14:paraId="0010EF70">
            <w:pPr>
              <w:spacing w:before="120" w:after="120" w:line="288" w:lineRule="auto"/>
              <w:ind w:left="0"/>
              <w:jc w:val="left"/>
            </w:pPr>
            <w:r>
              <w:rPr>
                <w:rFonts w:ascii="Arial" w:hAnsi="Arial" w:eastAsia="等线" w:cs="Arial"/>
                <w:sz w:val="22"/>
              </w:rPr>
              <w:t>+852 2859 2699</w:t>
            </w:r>
          </w:p>
        </w:tc>
        <w:tc>
          <w:tcPr>
            <w:tcW w:w="0" w:type="dxa"/>
            <w:tcMar>
              <w:top w:w="60" w:type="dxa"/>
              <w:left w:w="120" w:type="dxa"/>
              <w:bottom w:w="30" w:type="dxa"/>
              <w:right w:w="120" w:type="dxa"/>
            </w:tcMar>
          </w:tcPr>
          <w:p w14:paraId="6EE762B3">
            <w:pPr>
              <w:spacing w:before="120" w:after="120" w:line="288" w:lineRule="auto"/>
              <w:ind w:left="0"/>
              <w:jc w:val="left"/>
            </w:pPr>
            <w:r>
              <w:fldChar w:fldCharType="begin"/>
            </w:r>
            <w:r>
              <w:instrText xml:space="preserve"> HYPERLINK "mailto:ithelp@hku.hk" \h </w:instrText>
            </w:r>
            <w:r>
              <w:fldChar w:fldCharType="separate"/>
            </w:r>
            <w:r>
              <w:rPr>
                <w:rFonts w:ascii="Arial" w:hAnsi="Arial" w:eastAsia="等线" w:cs="Arial"/>
                <w:color w:val="3370FF"/>
                <w:sz w:val="22"/>
              </w:rPr>
              <w:t>ithelp@hku.hk</w:t>
            </w:r>
            <w:r>
              <w:rPr>
                <w:rFonts w:ascii="Arial" w:hAnsi="Arial" w:eastAsia="等线" w:cs="Arial"/>
                <w:color w:val="3370FF"/>
                <w:sz w:val="22"/>
              </w:rPr>
              <w:fldChar w:fldCharType="end"/>
            </w:r>
          </w:p>
        </w:tc>
        <w:tc>
          <w:tcPr>
            <w:tcW w:w="0" w:type="dxa"/>
            <w:tcMar>
              <w:top w:w="60" w:type="dxa"/>
              <w:left w:w="120" w:type="dxa"/>
              <w:bottom w:w="30" w:type="dxa"/>
              <w:right w:w="120" w:type="dxa"/>
            </w:tcMar>
          </w:tcPr>
          <w:p w14:paraId="4B961F1A">
            <w:pPr>
              <w:spacing w:before="120" w:after="120" w:line="288" w:lineRule="auto"/>
              <w:ind w:left="0"/>
              <w:jc w:val="left"/>
            </w:pPr>
            <w:r>
              <w:rPr>
                <w:rFonts w:ascii="Arial" w:hAnsi="Arial" w:eastAsia="等线" w:cs="Arial"/>
                <w:sz w:val="22"/>
              </w:rPr>
              <w:t>Cyberport 3, Level 1</w:t>
            </w:r>
          </w:p>
        </w:tc>
      </w:tr>
    </w:tbl>
    <w:p w14:paraId="66706177">
      <w:pPr>
        <w:spacing w:before="300" w:after="120" w:line="288" w:lineRule="auto"/>
        <w:ind w:left="0"/>
        <w:jc w:val="left"/>
        <w:outlineLvl w:val="2"/>
      </w:pPr>
      <w:bookmarkStart w:id="24" w:name="heading_25"/>
      <w:r>
        <w:rPr>
          <w:rFonts w:ascii="Arial" w:hAnsi="Arial" w:eastAsia="等线" w:cs="Arial"/>
          <w:b/>
          <w:sz w:val="30"/>
        </w:rPr>
        <w:t>6.2 Supplementary Provisions</w:t>
      </w:r>
      <w:bookmarkEnd w:id="24"/>
    </w:p>
    <w:p w14:paraId="7223A8E2">
      <w:pPr>
        <w:numPr>
          <w:ilvl w:val="0"/>
          <w:numId w:val="64"/>
        </w:numPr>
        <w:spacing w:before="120" w:after="120" w:line="288" w:lineRule="auto"/>
        <w:ind w:left="0"/>
        <w:jc w:val="left"/>
      </w:pPr>
      <w:r>
        <w:rPr>
          <w:rFonts w:ascii="Arial" w:hAnsi="Arial" w:eastAsia="等线" w:cs="Arial"/>
          <w:sz w:val="22"/>
        </w:rPr>
        <w:t>For matters not covered in this handbook, the latest policies and notices published on HKU's official website shall prevail.</w:t>
      </w:r>
    </w:p>
    <w:p w14:paraId="1BF94D6A">
      <w:pPr>
        <w:numPr>
          <w:ilvl w:val="0"/>
          <w:numId w:val="65"/>
        </w:numPr>
        <w:spacing w:before="120" w:after="120" w:line="288" w:lineRule="auto"/>
        <w:ind w:left="0"/>
        <w:jc w:val="left"/>
      </w:pPr>
      <w:r>
        <w:rPr>
          <w:rFonts w:ascii="Arial" w:hAnsi="Arial" w:eastAsia="等线" w:cs="Arial"/>
          <w:sz w:val="22"/>
        </w:rPr>
        <w:t>The University reserves the right to revise the content of this handbook in accordance with changes in laws and regulations, educational policies, and actual circumstances. Students will be notified of revisions through the official website.</w:t>
      </w:r>
    </w:p>
    <w:p w14:paraId="543193B4">
      <w:pPr>
        <w:numPr>
          <w:ilvl w:val="0"/>
          <w:numId w:val="66"/>
        </w:numPr>
        <w:spacing w:before="120" w:after="120" w:line="288" w:lineRule="auto"/>
        <w:ind w:left="0"/>
        <w:jc w:val="left"/>
      </w:pPr>
      <w:r>
        <w:rPr>
          <w:rFonts w:ascii="Arial" w:hAnsi="Arial" w:eastAsia="等线" w:cs="Arial"/>
          <w:sz w:val="22"/>
        </w:rPr>
        <w:t>This handbook shall be jointly interpreted by HKU's Senate and Committee of Student Affairs.</w:t>
      </w:r>
      <w:bookmarkStart w:id="25" w:name="_GoBack"/>
      <w:bookmarkEnd w:id="2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0B23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9B57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3F3350"/>
    <w:multiLevelType w:val="singleLevel"/>
    <w:tmpl w:val="B53F3350"/>
    <w:lvl w:ilvl="0" w:tentative="0">
      <w:start w:val="5"/>
      <w:numFmt w:val="decimal"/>
      <w:lvlText w:val="%1."/>
      <w:lvlJc w:val="left"/>
      <w:rPr>
        <w:color w:val="3370FF"/>
      </w:rPr>
    </w:lvl>
  </w:abstractNum>
  <w:abstractNum w:abstractNumId="10">
    <w:nsid w:val="B5E306ED"/>
    <w:multiLevelType w:val="singleLevel"/>
    <w:tmpl w:val="B5E306ED"/>
    <w:lvl w:ilvl="0" w:tentative="0">
      <w:start w:val="0"/>
      <w:numFmt w:val="bullet"/>
      <w:lvlText w:val="•"/>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BF205925"/>
    <w:multiLevelType w:val="singleLevel"/>
    <w:tmpl w:val="BF205925"/>
    <w:lvl w:ilvl="0" w:tentative="0">
      <w:start w:val="0"/>
      <w:numFmt w:val="bullet"/>
      <w:lvlText w:val="•"/>
      <w:lvlJc w:val="left"/>
      <w:rPr>
        <w:color w:val="3370FF"/>
      </w:rPr>
    </w:lvl>
  </w:abstractNum>
  <w:abstractNum w:abstractNumId="15">
    <w:nsid w:val="C0915F4F"/>
    <w:multiLevelType w:val="singleLevel"/>
    <w:tmpl w:val="C0915F4F"/>
    <w:lvl w:ilvl="0" w:tentative="0">
      <w:start w:val="0"/>
      <w:numFmt w:val="bullet"/>
      <w:lvlText w:val="•"/>
      <w:lvlJc w:val="left"/>
      <w:rPr>
        <w:color w:val="3370FF"/>
      </w:rPr>
    </w:lvl>
  </w:abstractNum>
  <w:abstractNum w:abstractNumId="16">
    <w:nsid w:val="C8879AEF"/>
    <w:multiLevelType w:val="singleLevel"/>
    <w:tmpl w:val="C8879AEF"/>
    <w:lvl w:ilvl="0" w:tentative="0">
      <w:start w:val="0"/>
      <w:numFmt w:val="bullet"/>
      <w:lvlText w:val="•"/>
      <w:lvlJc w:val="left"/>
      <w:rPr>
        <w:color w:val="3370FF"/>
      </w:rPr>
    </w:lvl>
  </w:abstractNum>
  <w:abstractNum w:abstractNumId="17">
    <w:nsid w:val="CF092B84"/>
    <w:multiLevelType w:val="singleLevel"/>
    <w:tmpl w:val="CF092B84"/>
    <w:lvl w:ilvl="0" w:tentative="0">
      <w:start w:val="0"/>
      <w:numFmt w:val="bullet"/>
      <w:lvlText w:val="•"/>
      <w:lvlJc w:val="left"/>
      <w:rPr>
        <w:color w:val="3370FF"/>
      </w:rPr>
    </w:lvl>
  </w:abstractNum>
  <w:abstractNum w:abstractNumId="18">
    <w:nsid w:val="D7D140E4"/>
    <w:multiLevelType w:val="singleLevel"/>
    <w:tmpl w:val="D7D140E4"/>
    <w:lvl w:ilvl="0" w:tentative="0">
      <w:start w:val="0"/>
      <w:numFmt w:val="bullet"/>
      <w:lvlText w:val="•"/>
      <w:lvlJc w:val="left"/>
      <w:rPr>
        <w:color w:val="3370FF"/>
      </w:rPr>
    </w:lvl>
  </w:abstractNum>
  <w:abstractNum w:abstractNumId="19">
    <w:nsid w:val="D7F9FE59"/>
    <w:multiLevelType w:val="singleLevel"/>
    <w:tmpl w:val="D7F9FE59"/>
    <w:lvl w:ilvl="0" w:tentative="0">
      <w:start w:val="0"/>
      <w:numFmt w:val="bullet"/>
      <w:lvlText w:val="•"/>
      <w:lvlJc w:val="left"/>
      <w:rPr>
        <w:color w:val="3370FF"/>
      </w:rPr>
    </w:lvl>
  </w:abstractNum>
  <w:abstractNum w:abstractNumId="20">
    <w:nsid w:val="DCBA6B53"/>
    <w:multiLevelType w:val="singleLevel"/>
    <w:tmpl w:val="DCBA6B53"/>
    <w:lvl w:ilvl="0" w:tentative="0">
      <w:start w:val="0"/>
      <w:numFmt w:val="bullet"/>
      <w:lvlText w:val="•"/>
      <w:lvlJc w:val="left"/>
      <w:rPr>
        <w:color w:val="3370FF"/>
      </w:rPr>
    </w:lvl>
  </w:abstractNum>
  <w:abstractNum w:abstractNumId="21">
    <w:nsid w:val="E093A4B0"/>
    <w:multiLevelType w:val="singleLevel"/>
    <w:tmpl w:val="E093A4B0"/>
    <w:lvl w:ilvl="0" w:tentative="0">
      <w:start w:val="0"/>
      <w:numFmt w:val="bullet"/>
      <w:lvlText w:val="•"/>
      <w:lvlJc w:val="left"/>
      <w:rPr>
        <w:color w:val="3370FF"/>
      </w:rPr>
    </w:lvl>
  </w:abstractNum>
  <w:abstractNum w:abstractNumId="22">
    <w:nsid w:val="F0E89278"/>
    <w:multiLevelType w:val="singleLevel"/>
    <w:tmpl w:val="F0E89278"/>
    <w:lvl w:ilvl="0" w:tentative="0">
      <w:start w:val="3"/>
      <w:numFmt w:val="decimal"/>
      <w:lvlText w:val="%1."/>
      <w:lvlJc w:val="left"/>
      <w:rPr>
        <w:color w:val="3370FF"/>
      </w:rPr>
    </w:lvl>
  </w:abstractNum>
  <w:abstractNum w:abstractNumId="23">
    <w:nsid w:val="F4B5D9F5"/>
    <w:multiLevelType w:val="singleLevel"/>
    <w:tmpl w:val="F4B5D9F5"/>
    <w:lvl w:ilvl="0" w:tentative="0">
      <w:start w:val="0"/>
      <w:numFmt w:val="bullet"/>
      <w:lvlText w:val="•"/>
      <w:lvlJc w:val="left"/>
      <w:rPr>
        <w:color w:val="3370FF"/>
      </w:rPr>
    </w:lvl>
  </w:abstractNum>
  <w:abstractNum w:abstractNumId="24">
    <w:nsid w:val="F7735DC9"/>
    <w:multiLevelType w:val="singleLevel"/>
    <w:tmpl w:val="F7735DC9"/>
    <w:lvl w:ilvl="0" w:tentative="0">
      <w:start w:val="0"/>
      <w:numFmt w:val="bullet"/>
      <w:lvlText w:val="•"/>
      <w:lvlJc w:val="left"/>
      <w:rPr>
        <w:color w:val="3370FF"/>
      </w:rPr>
    </w:lvl>
  </w:abstractNum>
  <w:abstractNum w:abstractNumId="25">
    <w:nsid w:val="0053208E"/>
    <w:multiLevelType w:val="singleLevel"/>
    <w:tmpl w:val="0053208E"/>
    <w:lvl w:ilvl="0" w:tentative="0">
      <w:start w:val="0"/>
      <w:numFmt w:val="bullet"/>
      <w:lvlText w:val="•"/>
      <w:lvlJc w:val="left"/>
      <w:rPr>
        <w:color w:val="3370FF"/>
      </w:rPr>
    </w:lvl>
  </w:abstractNum>
  <w:abstractNum w:abstractNumId="26">
    <w:nsid w:val="0248C179"/>
    <w:multiLevelType w:val="singleLevel"/>
    <w:tmpl w:val="0248C179"/>
    <w:lvl w:ilvl="0" w:tentative="0">
      <w:start w:val="0"/>
      <w:numFmt w:val="bullet"/>
      <w:lvlText w:val="•"/>
      <w:lvlJc w:val="left"/>
      <w:rPr>
        <w:color w:val="3370FF"/>
      </w:rPr>
    </w:lvl>
  </w:abstractNum>
  <w:abstractNum w:abstractNumId="27">
    <w:nsid w:val="03A63A41"/>
    <w:multiLevelType w:val="singleLevel"/>
    <w:tmpl w:val="03A63A41"/>
    <w:lvl w:ilvl="0" w:tentative="0">
      <w:start w:val="0"/>
      <w:numFmt w:val="bullet"/>
      <w:lvlText w:val="•"/>
      <w:lvlJc w:val="left"/>
      <w:rPr>
        <w:color w:val="3370FF"/>
      </w:rPr>
    </w:lvl>
  </w:abstractNum>
  <w:abstractNum w:abstractNumId="28">
    <w:nsid w:val="03D62ECE"/>
    <w:multiLevelType w:val="singleLevel"/>
    <w:tmpl w:val="03D62ECE"/>
    <w:lvl w:ilvl="0" w:tentative="0">
      <w:start w:val="0"/>
      <w:numFmt w:val="bullet"/>
      <w:lvlText w:val="•"/>
      <w:lvlJc w:val="left"/>
      <w:rPr>
        <w:color w:val="3370FF"/>
      </w:rPr>
    </w:lvl>
  </w:abstractNum>
  <w:abstractNum w:abstractNumId="29">
    <w:nsid w:val="0709FD3E"/>
    <w:multiLevelType w:val="singleLevel"/>
    <w:tmpl w:val="0709FD3E"/>
    <w:lvl w:ilvl="0" w:tentative="0">
      <w:start w:val="0"/>
      <w:numFmt w:val="bullet"/>
      <w:lvlText w:val="•"/>
      <w:lvlJc w:val="left"/>
      <w:rPr>
        <w:color w:val="3370FF"/>
      </w:rPr>
    </w:lvl>
  </w:abstractNum>
  <w:abstractNum w:abstractNumId="30">
    <w:nsid w:val="0CEF100B"/>
    <w:multiLevelType w:val="singleLevel"/>
    <w:tmpl w:val="0CEF100B"/>
    <w:lvl w:ilvl="0" w:tentative="0">
      <w:start w:val="0"/>
      <w:numFmt w:val="bullet"/>
      <w:lvlText w:val="•"/>
      <w:lvlJc w:val="left"/>
      <w:rPr>
        <w:color w:val="3370FF"/>
      </w:rPr>
    </w:lvl>
  </w:abstractNum>
  <w:abstractNum w:abstractNumId="31">
    <w:nsid w:val="0E640482"/>
    <w:multiLevelType w:val="singleLevel"/>
    <w:tmpl w:val="0E640482"/>
    <w:lvl w:ilvl="0" w:tentative="0">
      <w:start w:val="0"/>
      <w:numFmt w:val="bullet"/>
      <w:lvlText w:val="•"/>
      <w:lvlJc w:val="left"/>
      <w:rPr>
        <w:color w:val="3370FF"/>
      </w:rPr>
    </w:lvl>
  </w:abstractNum>
  <w:abstractNum w:abstractNumId="32">
    <w:nsid w:val="0F9F9CCA"/>
    <w:multiLevelType w:val="singleLevel"/>
    <w:tmpl w:val="0F9F9CCA"/>
    <w:lvl w:ilvl="0" w:tentative="0">
      <w:start w:val="0"/>
      <w:numFmt w:val="bullet"/>
      <w:lvlText w:val="•"/>
      <w:lvlJc w:val="left"/>
      <w:rPr>
        <w:color w:val="3370FF"/>
      </w:rPr>
    </w:lvl>
  </w:abstractNum>
  <w:abstractNum w:abstractNumId="33">
    <w:nsid w:val="12EADF99"/>
    <w:multiLevelType w:val="singleLevel"/>
    <w:tmpl w:val="12EADF99"/>
    <w:lvl w:ilvl="0" w:tentative="0">
      <w:start w:val="0"/>
      <w:numFmt w:val="bullet"/>
      <w:lvlText w:val="•"/>
      <w:lvlJc w:val="left"/>
      <w:rPr>
        <w:color w:val="3370FF"/>
      </w:rPr>
    </w:lvl>
  </w:abstractNum>
  <w:abstractNum w:abstractNumId="34">
    <w:nsid w:val="1ACDE60F"/>
    <w:multiLevelType w:val="singleLevel"/>
    <w:tmpl w:val="1ACDE60F"/>
    <w:lvl w:ilvl="0" w:tentative="0">
      <w:start w:val="0"/>
      <w:numFmt w:val="bullet"/>
      <w:lvlText w:val="•"/>
      <w:lvlJc w:val="left"/>
      <w:rPr>
        <w:color w:val="3370FF"/>
      </w:rPr>
    </w:lvl>
  </w:abstractNum>
  <w:abstractNum w:abstractNumId="35">
    <w:nsid w:val="1C257C7B"/>
    <w:multiLevelType w:val="singleLevel"/>
    <w:tmpl w:val="1C257C7B"/>
    <w:lvl w:ilvl="0" w:tentative="0">
      <w:start w:val="2"/>
      <w:numFmt w:val="decimal"/>
      <w:lvlText w:val="%1."/>
      <w:lvlJc w:val="left"/>
      <w:rPr>
        <w:color w:val="3370FF"/>
      </w:rPr>
    </w:lvl>
  </w:abstractNum>
  <w:abstractNum w:abstractNumId="36">
    <w:nsid w:val="23E97754"/>
    <w:multiLevelType w:val="singleLevel"/>
    <w:tmpl w:val="23E97754"/>
    <w:lvl w:ilvl="0" w:tentative="0">
      <w:start w:val="4"/>
      <w:numFmt w:val="decimal"/>
      <w:lvlText w:val="%1."/>
      <w:lvlJc w:val="left"/>
      <w:rPr>
        <w:color w:val="3370FF"/>
      </w:rPr>
    </w:lvl>
  </w:abstractNum>
  <w:abstractNum w:abstractNumId="37">
    <w:nsid w:val="243FCF68"/>
    <w:multiLevelType w:val="singleLevel"/>
    <w:tmpl w:val="243FCF68"/>
    <w:lvl w:ilvl="0" w:tentative="0">
      <w:start w:val="0"/>
      <w:numFmt w:val="bullet"/>
      <w:lvlText w:val="•"/>
      <w:lvlJc w:val="left"/>
      <w:rPr>
        <w:color w:val="3370FF"/>
      </w:rPr>
    </w:lvl>
  </w:abstractNum>
  <w:abstractNum w:abstractNumId="38">
    <w:nsid w:val="2470EC97"/>
    <w:multiLevelType w:val="singleLevel"/>
    <w:tmpl w:val="2470EC97"/>
    <w:lvl w:ilvl="0" w:tentative="0">
      <w:start w:val="0"/>
      <w:numFmt w:val="bullet"/>
      <w:lvlText w:val="•"/>
      <w:lvlJc w:val="left"/>
      <w:rPr>
        <w:color w:val="3370FF"/>
      </w:rPr>
    </w:lvl>
  </w:abstractNum>
  <w:abstractNum w:abstractNumId="39">
    <w:nsid w:val="25B654F3"/>
    <w:multiLevelType w:val="singleLevel"/>
    <w:tmpl w:val="25B654F3"/>
    <w:lvl w:ilvl="0" w:tentative="0">
      <w:start w:val="0"/>
      <w:numFmt w:val="bullet"/>
      <w:lvlText w:val="•"/>
      <w:lvlJc w:val="left"/>
      <w:rPr>
        <w:color w:val="3370FF"/>
      </w:rPr>
    </w:lvl>
  </w:abstractNum>
  <w:abstractNum w:abstractNumId="40">
    <w:nsid w:val="2A8F537B"/>
    <w:multiLevelType w:val="singleLevel"/>
    <w:tmpl w:val="2A8F537B"/>
    <w:lvl w:ilvl="0" w:tentative="0">
      <w:start w:val="0"/>
      <w:numFmt w:val="bullet"/>
      <w:lvlText w:val="•"/>
      <w:lvlJc w:val="left"/>
      <w:rPr>
        <w:color w:val="3370FF"/>
      </w:rPr>
    </w:lvl>
  </w:abstractNum>
  <w:abstractNum w:abstractNumId="41">
    <w:nsid w:val="30FC5B15"/>
    <w:multiLevelType w:val="singleLevel"/>
    <w:tmpl w:val="30FC5B15"/>
    <w:lvl w:ilvl="0" w:tentative="0">
      <w:start w:val="0"/>
      <w:numFmt w:val="bullet"/>
      <w:lvlText w:val="•"/>
      <w:lvlJc w:val="left"/>
      <w:rPr>
        <w:color w:val="3370FF"/>
      </w:rPr>
    </w:lvl>
  </w:abstractNum>
  <w:abstractNum w:abstractNumId="42">
    <w:nsid w:val="322D85CA"/>
    <w:multiLevelType w:val="singleLevel"/>
    <w:tmpl w:val="322D85CA"/>
    <w:lvl w:ilvl="0" w:tentative="0">
      <w:start w:val="0"/>
      <w:numFmt w:val="bullet"/>
      <w:lvlText w:val="•"/>
      <w:lvlJc w:val="left"/>
      <w:rPr>
        <w:color w:val="3370FF"/>
      </w:rPr>
    </w:lvl>
  </w:abstractNum>
  <w:abstractNum w:abstractNumId="43">
    <w:nsid w:val="32A7AF2D"/>
    <w:multiLevelType w:val="singleLevel"/>
    <w:tmpl w:val="32A7AF2D"/>
    <w:lvl w:ilvl="0" w:tentative="0">
      <w:start w:val="1"/>
      <w:numFmt w:val="decimal"/>
      <w:lvlText w:val="%1."/>
      <w:lvlJc w:val="left"/>
      <w:rPr>
        <w:color w:val="3370FF"/>
      </w:rPr>
    </w:lvl>
  </w:abstractNum>
  <w:abstractNum w:abstractNumId="44">
    <w:nsid w:val="35E83B33"/>
    <w:multiLevelType w:val="singleLevel"/>
    <w:tmpl w:val="35E83B33"/>
    <w:lvl w:ilvl="0" w:tentative="0">
      <w:start w:val="0"/>
      <w:numFmt w:val="bullet"/>
      <w:lvlText w:val="•"/>
      <w:lvlJc w:val="left"/>
      <w:rPr>
        <w:color w:val="3370FF"/>
      </w:rPr>
    </w:lvl>
  </w:abstractNum>
  <w:abstractNum w:abstractNumId="45">
    <w:nsid w:val="39A0D9AC"/>
    <w:multiLevelType w:val="singleLevel"/>
    <w:tmpl w:val="39A0D9AC"/>
    <w:lvl w:ilvl="0" w:tentative="0">
      <w:start w:val="0"/>
      <w:numFmt w:val="bullet"/>
      <w:lvlText w:val="•"/>
      <w:lvlJc w:val="left"/>
      <w:rPr>
        <w:color w:val="3370FF"/>
      </w:rPr>
    </w:lvl>
  </w:abstractNum>
  <w:abstractNum w:abstractNumId="46">
    <w:nsid w:val="40B249F9"/>
    <w:multiLevelType w:val="singleLevel"/>
    <w:tmpl w:val="40B249F9"/>
    <w:lvl w:ilvl="0" w:tentative="0">
      <w:start w:val="0"/>
      <w:numFmt w:val="bullet"/>
      <w:lvlText w:val="•"/>
      <w:lvlJc w:val="left"/>
      <w:rPr>
        <w:color w:val="3370FF"/>
      </w:rPr>
    </w:lvl>
  </w:abstractNum>
  <w:abstractNum w:abstractNumId="47">
    <w:nsid w:val="46A08BB8"/>
    <w:multiLevelType w:val="singleLevel"/>
    <w:tmpl w:val="46A08BB8"/>
    <w:lvl w:ilvl="0" w:tentative="0">
      <w:start w:val="0"/>
      <w:numFmt w:val="bullet"/>
      <w:lvlText w:val="•"/>
      <w:lvlJc w:val="left"/>
      <w:rPr>
        <w:color w:val="3370FF"/>
      </w:rPr>
    </w:lvl>
  </w:abstractNum>
  <w:abstractNum w:abstractNumId="48">
    <w:nsid w:val="4C1BAE26"/>
    <w:multiLevelType w:val="singleLevel"/>
    <w:tmpl w:val="4C1BAE26"/>
    <w:lvl w:ilvl="0" w:tentative="0">
      <w:start w:val="0"/>
      <w:numFmt w:val="bullet"/>
      <w:lvlText w:val="•"/>
      <w:lvlJc w:val="left"/>
      <w:rPr>
        <w:color w:val="3370FF"/>
      </w:rPr>
    </w:lvl>
  </w:abstractNum>
  <w:abstractNum w:abstractNumId="49">
    <w:nsid w:val="4C3D7A74"/>
    <w:multiLevelType w:val="singleLevel"/>
    <w:tmpl w:val="4C3D7A74"/>
    <w:lvl w:ilvl="0" w:tentative="0">
      <w:start w:val="0"/>
      <w:numFmt w:val="bullet"/>
      <w:lvlText w:val="•"/>
      <w:lvlJc w:val="left"/>
      <w:rPr>
        <w:color w:val="3370FF"/>
      </w:rPr>
    </w:lvl>
  </w:abstractNum>
  <w:abstractNum w:abstractNumId="50">
    <w:nsid w:val="4D4DC07F"/>
    <w:multiLevelType w:val="singleLevel"/>
    <w:tmpl w:val="4D4DC07F"/>
    <w:lvl w:ilvl="0" w:tentative="0">
      <w:start w:val="0"/>
      <w:numFmt w:val="bullet"/>
      <w:lvlText w:val="•"/>
      <w:lvlJc w:val="left"/>
      <w:rPr>
        <w:color w:val="3370FF"/>
      </w:rPr>
    </w:lvl>
  </w:abstractNum>
  <w:abstractNum w:abstractNumId="51">
    <w:nsid w:val="4D94DA66"/>
    <w:multiLevelType w:val="singleLevel"/>
    <w:tmpl w:val="4D94DA66"/>
    <w:lvl w:ilvl="0" w:tentative="0">
      <w:start w:val="0"/>
      <w:numFmt w:val="bullet"/>
      <w:lvlText w:val="•"/>
      <w:lvlJc w:val="left"/>
      <w:rPr>
        <w:color w:val="3370FF"/>
      </w:rPr>
    </w:lvl>
  </w:abstractNum>
  <w:abstractNum w:abstractNumId="52">
    <w:nsid w:val="58765686"/>
    <w:multiLevelType w:val="singleLevel"/>
    <w:tmpl w:val="58765686"/>
    <w:lvl w:ilvl="0" w:tentative="0">
      <w:start w:val="0"/>
      <w:numFmt w:val="bullet"/>
      <w:lvlText w:val="•"/>
      <w:lvlJc w:val="left"/>
      <w:rPr>
        <w:color w:val="3370FF"/>
      </w:rPr>
    </w:lvl>
  </w:abstractNum>
  <w:abstractNum w:abstractNumId="53">
    <w:nsid w:val="59ADCABA"/>
    <w:multiLevelType w:val="singleLevel"/>
    <w:tmpl w:val="59ADCABA"/>
    <w:lvl w:ilvl="0" w:tentative="0">
      <w:start w:val="0"/>
      <w:numFmt w:val="bullet"/>
      <w:lvlText w:val="•"/>
      <w:lvlJc w:val="left"/>
      <w:rPr>
        <w:color w:val="3370FF"/>
      </w:rPr>
    </w:lvl>
  </w:abstractNum>
  <w:abstractNum w:abstractNumId="54">
    <w:nsid w:val="5A241D34"/>
    <w:multiLevelType w:val="singleLevel"/>
    <w:tmpl w:val="5A241D34"/>
    <w:lvl w:ilvl="0" w:tentative="0">
      <w:start w:val="0"/>
      <w:numFmt w:val="bullet"/>
      <w:lvlText w:val="•"/>
      <w:lvlJc w:val="left"/>
      <w:rPr>
        <w:color w:val="3370FF"/>
      </w:rPr>
    </w:lvl>
  </w:abstractNum>
  <w:abstractNum w:abstractNumId="55">
    <w:nsid w:val="5E29AB5A"/>
    <w:multiLevelType w:val="singleLevel"/>
    <w:tmpl w:val="5E29AB5A"/>
    <w:lvl w:ilvl="0" w:tentative="0">
      <w:start w:val="0"/>
      <w:numFmt w:val="bullet"/>
      <w:lvlText w:val="•"/>
      <w:lvlJc w:val="left"/>
      <w:rPr>
        <w:color w:val="3370FF"/>
      </w:rPr>
    </w:lvl>
  </w:abstractNum>
  <w:abstractNum w:abstractNumId="56">
    <w:nsid w:val="5FFFB1A7"/>
    <w:multiLevelType w:val="singleLevel"/>
    <w:tmpl w:val="5FFFB1A7"/>
    <w:lvl w:ilvl="0" w:tentative="0">
      <w:start w:val="0"/>
      <w:numFmt w:val="bullet"/>
      <w:lvlText w:val="•"/>
      <w:lvlJc w:val="left"/>
      <w:rPr>
        <w:color w:val="3370FF"/>
      </w:rPr>
    </w:lvl>
  </w:abstractNum>
  <w:abstractNum w:abstractNumId="57">
    <w:nsid w:val="60382F6E"/>
    <w:multiLevelType w:val="singleLevel"/>
    <w:tmpl w:val="60382F6E"/>
    <w:lvl w:ilvl="0" w:tentative="0">
      <w:start w:val="0"/>
      <w:numFmt w:val="bullet"/>
      <w:lvlText w:val="•"/>
      <w:lvlJc w:val="left"/>
      <w:rPr>
        <w:color w:val="3370FF"/>
      </w:rPr>
    </w:lvl>
  </w:abstractNum>
  <w:abstractNum w:abstractNumId="58">
    <w:nsid w:val="629F7852"/>
    <w:multiLevelType w:val="singleLevel"/>
    <w:tmpl w:val="629F7852"/>
    <w:lvl w:ilvl="0" w:tentative="0">
      <w:start w:val="0"/>
      <w:numFmt w:val="bullet"/>
      <w:lvlText w:val="•"/>
      <w:lvlJc w:val="left"/>
      <w:rPr>
        <w:color w:val="3370FF"/>
      </w:rPr>
    </w:lvl>
  </w:abstractNum>
  <w:abstractNum w:abstractNumId="59">
    <w:nsid w:val="65CD0074"/>
    <w:multiLevelType w:val="singleLevel"/>
    <w:tmpl w:val="65CD0074"/>
    <w:lvl w:ilvl="0" w:tentative="0">
      <w:start w:val="0"/>
      <w:numFmt w:val="bullet"/>
      <w:lvlText w:val="•"/>
      <w:lvlJc w:val="left"/>
      <w:rPr>
        <w:color w:val="3370FF"/>
      </w:rPr>
    </w:lvl>
  </w:abstractNum>
  <w:abstractNum w:abstractNumId="60">
    <w:nsid w:val="72183CF9"/>
    <w:multiLevelType w:val="singleLevel"/>
    <w:tmpl w:val="72183CF9"/>
    <w:lvl w:ilvl="0" w:tentative="0">
      <w:start w:val="0"/>
      <w:numFmt w:val="bullet"/>
      <w:lvlText w:val="•"/>
      <w:lvlJc w:val="left"/>
      <w:rPr>
        <w:color w:val="3370FF"/>
      </w:rPr>
    </w:lvl>
  </w:abstractNum>
  <w:abstractNum w:abstractNumId="61">
    <w:nsid w:val="74C28B35"/>
    <w:multiLevelType w:val="singleLevel"/>
    <w:tmpl w:val="74C28B35"/>
    <w:lvl w:ilvl="0" w:tentative="0">
      <w:start w:val="0"/>
      <w:numFmt w:val="bullet"/>
      <w:lvlText w:val="•"/>
      <w:lvlJc w:val="left"/>
      <w:rPr>
        <w:color w:val="3370FF"/>
      </w:rPr>
    </w:lvl>
  </w:abstractNum>
  <w:abstractNum w:abstractNumId="62">
    <w:nsid w:val="77ECEA79"/>
    <w:multiLevelType w:val="singleLevel"/>
    <w:tmpl w:val="77ECEA79"/>
    <w:lvl w:ilvl="0" w:tentative="0">
      <w:start w:val="0"/>
      <w:numFmt w:val="bullet"/>
      <w:lvlText w:val="•"/>
      <w:lvlJc w:val="left"/>
      <w:rPr>
        <w:color w:val="3370FF"/>
      </w:rPr>
    </w:lvl>
  </w:abstractNum>
  <w:abstractNum w:abstractNumId="63">
    <w:nsid w:val="79AA4FA4"/>
    <w:multiLevelType w:val="singleLevel"/>
    <w:tmpl w:val="79AA4FA4"/>
    <w:lvl w:ilvl="0" w:tentative="0">
      <w:start w:val="0"/>
      <w:numFmt w:val="bullet"/>
      <w:lvlText w:val="•"/>
      <w:lvlJc w:val="left"/>
      <w:rPr>
        <w:color w:val="3370FF"/>
      </w:rPr>
    </w:lvl>
  </w:abstractNum>
  <w:abstractNum w:abstractNumId="64">
    <w:nsid w:val="7C246926"/>
    <w:multiLevelType w:val="singleLevel"/>
    <w:tmpl w:val="7C246926"/>
    <w:lvl w:ilvl="0" w:tentative="0">
      <w:start w:val="0"/>
      <w:numFmt w:val="bullet"/>
      <w:lvlText w:val="•"/>
      <w:lvlJc w:val="left"/>
      <w:rPr>
        <w:color w:val="3370FF"/>
      </w:rPr>
    </w:lvl>
  </w:abstractNum>
  <w:abstractNum w:abstractNumId="65">
    <w:nsid w:val="7DEC2089"/>
    <w:multiLevelType w:val="singleLevel"/>
    <w:tmpl w:val="7DEC2089"/>
    <w:lvl w:ilvl="0" w:tentative="0">
      <w:start w:val="0"/>
      <w:numFmt w:val="bullet"/>
      <w:lvlText w:val="•"/>
      <w:lvlJc w:val="left"/>
      <w:rPr>
        <w:color w:val="3370FF"/>
      </w:rPr>
    </w:lvl>
  </w:abstractNum>
  <w:num w:numId="1">
    <w:abstractNumId w:val="25"/>
  </w:num>
  <w:num w:numId="2">
    <w:abstractNumId w:val="17"/>
  </w:num>
  <w:num w:numId="3">
    <w:abstractNumId w:val="53"/>
  </w:num>
  <w:num w:numId="4">
    <w:abstractNumId w:val="14"/>
  </w:num>
  <w:num w:numId="5">
    <w:abstractNumId w:val="10"/>
  </w:num>
  <w:num w:numId="6">
    <w:abstractNumId w:val="28"/>
  </w:num>
  <w:num w:numId="7">
    <w:abstractNumId w:val="39"/>
  </w:num>
  <w:num w:numId="8">
    <w:abstractNumId w:val="60"/>
  </w:num>
  <w:num w:numId="9">
    <w:abstractNumId w:val="26"/>
  </w:num>
  <w:num w:numId="10">
    <w:abstractNumId w:val="5"/>
  </w:num>
  <w:num w:numId="11">
    <w:abstractNumId w:val="40"/>
  </w:num>
  <w:num w:numId="12">
    <w:abstractNumId w:val="54"/>
  </w:num>
  <w:num w:numId="13">
    <w:abstractNumId w:val="16"/>
  </w:num>
  <w:num w:numId="14">
    <w:abstractNumId w:val="50"/>
  </w:num>
  <w:num w:numId="15">
    <w:abstractNumId w:val="23"/>
  </w:num>
  <w:num w:numId="16">
    <w:abstractNumId w:val="38"/>
  </w:num>
  <w:num w:numId="17">
    <w:abstractNumId w:val="20"/>
  </w:num>
  <w:num w:numId="18">
    <w:abstractNumId w:val="19"/>
  </w:num>
  <w:num w:numId="19">
    <w:abstractNumId w:val="7"/>
  </w:num>
  <w:num w:numId="20">
    <w:abstractNumId w:val="48"/>
  </w:num>
  <w:num w:numId="21">
    <w:abstractNumId w:val="57"/>
  </w:num>
  <w:num w:numId="22">
    <w:abstractNumId w:val="31"/>
  </w:num>
  <w:num w:numId="23">
    <w:abstractNumId w:val="47"/>
  </w:num>
  <w:num w:numId="24">
    <w:abstractNumId w:val="8"/>
  </w:num>
  <w:num w:numId="25">
    <w:abstractNumId w:val="64"/>
  </w:num>
  <w:num w:numId="26">
    <w:abstractNumId w:val="62"/>
  </w:num>
  <w:num w:numId="27">
    <w:abstractNumId w:val="13"/>
  </w:num>
  <w:num w:numId="28">
    <w:abstractNumId w:val="58"/>
  </w:num>
  <w:num w:numId="29">
    <w:abstractNumId w:val="6"/>
  </w:num>
  <w:num w:numId="30">
    <w:abstractNumId w:val="45"/>
  </w:num>
  <w:num w:numId="31">
    <w:abstractNumId w:val="2"/>
  </w:num>
  <w:num w:numId="32">
    <w:abstractNumId w:val="52"/>
  </w:num>
  <w:num w:numId="33">
    <w:abstractNumId w:val="65"/>
  </w:num>
  <w:num w:numId="34">
    <w:abstractNumId w:val="0"/>
  </w:num>
  <w:num w:numId="35">
    <w:abstractNumId w:val="37"/>
  </w:num>
  <w:num w:numId="36">
    <w:abstractNumId w:val="51"/>
  </w:num>
  <w:num w:numId="37">
    <w:abstractNumId w:val="24"/>
  </w:num>
  <w:num w:numId="38">
    <w:abstractNumId w:val="21"/>
  </w:num>
  <w:num w:numId="39">
    <w:abstractNumId w:val="41"/>
  </w:num>
  <w:num w:numId="40">
    <w:abstractNumId w:val="63"/>
  </w:num>
  <w:num w:numId="41">
    <w:abstractNumId w:val="12"/>
  </w:num>
  <w:num w:numId="42">
    <w:abstractNumId w:val="4"/>
  </w:num>
  <w:num w:numId="43">
    <w:abstractNumId w:val="11"/>
  </w:num>
  <w:num w:numId="44">
    <w:abstractNumId w:val="55"/>
  </w:num>
  <w:num w:numId="45">
    <w:abstractNumId w:val="1"/>
  </w:num>
  <w:num w:numId="46">
    <w:abstractNumId w:val="34"/>
  </w:num>
  <w:num w:numId="47">
    <w:abstractNumId w:val="3"/>
  </w:num>
  <w:num w:numId="48">
    <w:abstractNumId w:val="56"/>
  </w:num>
  <w:num w:numId="49">
    <w:abstractNumId w:val="61"/>
  </w:num>
  <w:num w:numId="50">
    <w:abstractNumId w:val="49"/>
  </w:num>
  <w:num w:numId="51">
    <w:abstractNumId w:val="42"/>
  </w:num>
  <w:num w:numId="52">
    <w:abstractNumId w:val="59"/>
  </w:num>
  <w:num w:numId="53">
    <w:abstractNumId w:val="29"/>
  </w:num>
  <w:num w:numId="54">
    <w:abstractNumId w:val="30"/>
  </w:num>
  <w:num w:numId="55">
    <w:abstractNumId w:val="18"/>
  </w:num>
  <w:num w:numId="56">
    <w:abstractNumId w:val="43"/>
  </w:num>
  <w:num w:numId="57">
    <w:abstractNumId w:val="35"/>
  </w:num>
  <w:num w:numId="58">
    <w:abstractNumId w:val="22"/>
  </w:num>
  <w:num w:numId="59">
    <w:abstractNumId w:val="36"/>
  </w:num>
  <w:num w:numId="60">
    <w:abstractNumId w:val="9"/>
  </w:num>
  <w:num w:numId="61">
    <w:abstractNumId w:val="46"/>
  </w:num>
  <w:num w:numId="62">
    <w:abstractNumId w:val="32"/>
  </w:num>
  <w:num w:numId="63">
    <w:abstractNumId w:val="44"/>
  </w:num>
  <w:num w:numId="64">
    <w:abstractNumId w:val="27"/>
  </w:num>
  <w:num w:numId="65">
    <w:abstractNumId w:val="15"/>
  </w:num>
  <w:num w:numId="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67D86A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2681</Words>
  <Characters>16141</Characters>
  <TotalTime>0</TotalTime>
  <ScaleCrop>false</ScaleCrop>
  <LinksUpToDate>false</LinksUpToDate>
  <CharactersWithSpaces>18680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2025-11-20T15:50:00Z</dcterms:created>
  <dc:creator>Apache POI</dc:creator>
  <cp:lastModifiedBy>Timmy</cp:lastModifiedBy>
  <dcterms:modified xsi:type="dcterms:W3CDTF">2025-11-24T02:50:34Z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eyJoZGlkIjoiNWJiZDA5MWUzZmJjNzcxOWU2MDhjOGE4NjM2NmIxNTQiLCJ1c2VySWQiOiIxNDQ0NTM0OTA1In0=</vt:lpwstr>
  </property>
  <property fmtid="{D5CDD505-2E9C-101B-9397-08002B2CF9AE}" pid="3" name="KSOProductBuildVer">
    <vt:lpwstr>2052-12.1.0.23542</vt:lpwstr>
  </property>
  <property fmtid="{D5CDD505-2E9C-101B-9397-08002B2CF9AE}" pid="4" name="ICV">
    <vt:lpwstr>94CFB2F2C97C43AAAC5A9F677B1467E0_12</vt:lpwstr>
  </property>
</Properties>
</file>