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90"/>
            </w:pPr>
            <w:r>
              <w:rPr>
                <w:rFonts w:ascii="Arial" w:cs="Arial" w:eastAsia="Arial" w:hAnsi="Arial"/>
                <w:color w:val="454C57"/>
                <w:sz w:val="21"/>
                <w:szCs w:val="21"/>
              </w:rPr>
              <w:t xml:space="preserve">Experimental and computational biomedical scientist: multiplexed molecular imaging, single-cell and spatial biology, quantitative image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Bathe Lab, MIT Department of Biological Engineering</w:t>
            </w:r>
          </w:p>
        </w:tc>
        <w:tc>
          <w:tcPr>
            <w:tcW w:type="dxa" w:w="3200"/>
            <w:tcBorders>
              <w:top w:val="none" w:color="FFFFFF" w:sz="0"/>
              <w:left w:val="none" w:color="FFFFFF" w:sz="0"/>
              <w:bottom w:val="none" w:color="FFFFFF" w:sz="0"/>
              <w:right w:val="none" w:color="FFFFFF" w:sz="0"/>
            </w:tcBorders>
          </w:tcPr>
          <w:p>
            <w:pPr>
              <w:spacing w:after="0" w:before="0" w:line="264"/>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40" w:before="0" w:line="324"/>
      </w:pPr>
      <w:r>
        <w:rPr>
          <w:rFonts w:ascii="Arial" w:cs="Arial" w:eastAsia="Arial" w:hAnsi="Arial"/>
          <w:color w:val="454C57"/>
          <w:sz w:val="21"/>
          <w:szCs w:val="21"/>
        </w:rPr>
        <w:t xml:space="preserve">I am an immunologist working with primary mammalian cells, multiplexed protein and RNA measurements, and quantitative imaging. My hands-on experience includes end-to-end GeoMx DSP, MACSima cyclic immunofluorescence, confocal microscopy, and automated single-cell library preparation. I would apply donor-aware analysis and held-out evaluation to PRISM assay validation, imaging automation, and drug-response studies in human iPSC-derived neurons.</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90" w:before="0" w:line="300"/>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90" w:before="0" w:line="300"/>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90" w:before="0" w:line="300"/>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90" w:before="0" w:line="300"/>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90" w:before="0" w:line="300"/>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300"/>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90" w:before="0" w:line="280"/>
      </w:pPr>
      <w:hyperlink w:history="1" r:id="rIdokn__kbcbeszzccj6ogrn">
        <w:r>
          <w:rPr>
            <w:rFonts w:ascii="Arial" w:cs="Arial" w:eastAsia="Arial" w:hAnsi="Arial"/>
            <w:color w:val="2F5FE0"/>
            <w:sz w:val="18"/>
            <w:szCs w:val="18"/>
            <w:u w:val="single"/>
          </w:rPr>
          <w:t xml:space="preserve">Google Scholar · Full Profile, Citations &amp; h-index ↗</w:t>
        </w:r>
      </w:hyperlink>
    </w:p>
    <w:p>
      <w:pPr>
        <w:keepNext/>
        <w:spacing w:after="70" w:before="160" w:line="300"/>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2026</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jwa6gcm3mxquzzp5sjdpo">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j4bnrx8j__luzuwe_3t8b">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2024</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6l3ltpmqfdpou8wm1pe8o">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2022</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n70tlh_bdoe0xteoc4e1f">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2019</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tf22eyplxythdfl_6_9id">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70" w:before="160" w:line="300"/>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6two9jvr7kef6k7p7i24j">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7kxsgogsfhutzrhev7ehu">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2023</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2022</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2021</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mmlrcbkflpcodclgje2rz">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2020</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2019</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70" w:before="160" w:line="300"/>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Multiplexed in situ</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detection and imaging</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 slide preparation, oligonucleotide-barcoded probe hybridisation, immunofluorescence staining, fluorescence-guided ROI selection, instrument operation, UV cleavage and barcode collection.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 iterative stain–image–erase rounds on one section.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spatial transcriptomics. High-parameter fluorescence panel design up to 24 markers. </w:t>
            </w:r>
            <w:r>
              <w:rPr>
                <w:rFonts w:ascii="Arial" w:cs="Arial" w:eastAsia="Arial" w:hAnsi="Arial"/>
                <w:b/>
                <w:bCs/>
                <w:color w:val="1C2128"/>
                <w:sz w:val="20"/>
                <w:szCs w:val="20"/>
              </w:rPr>
              <w:t xml:space="preserve">Spinning-disk confocal (Nikon CSU-W1 SORA)</w:t>
            </w:r>
            <w:r>
              <w:rPr>
                <w:rFonts w:ascii="Arial" w:cs="Arial" w:eastAsia="Arial" w:hAnsi="Arial"/>
                <w:color w:val="1C2128"/>
                <w:sz w:val="20"/>
                <w:szCs w:val="20"/>
              </w:rPr>
              <w:t xml:space="preserve"> with quantitative image analysis.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High-content image</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data analysis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Segmentation, feature extraction and model scoring on public iPSC-neuron imaging screens. Batch- and donor-aware modelling, held-out evaluation, calibrated confidence. Automated library preparation on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90" w:before="0" w:line="300"/>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jc5qzzrzaeqjpnnmh5gzr">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70" w:before="160" w:line="300"/>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70" w:before="160" w:line="300"/>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70" w:before="160" w:line="300"/>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70" w:before="160" w:line="300"/>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~$571,000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2022–2024</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~$321,000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Scale-up Funding for Tech Commercialization</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~$222,000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2021–2022</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~$74,000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NAVER Corporation</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2023–2026</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~$128,000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Proposal &amp; study design (~50%)</w:t>
            </w:r>
          </w:p>
        </w:tc>
      </w:tr>
    </w:tbl>
    <w:p>
      <w:pPr>
        <w:keepNext/>
        <w:spacing w:after="70" w:before="160" w:line="300"/>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2022–2028 (3+3)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~$1.6M</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2020–2021</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~$40,000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Grant writing, experimental design &amp; technical validation</w:t>
            </w:r>
          </w:p>
        </w:tc>
      </w:tr>
    </w:tbl>
    <w:p>
      <w:pPr>
        <w:spacing w:after="90" w:before="0" w:line="28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Year</w:t>
            </w:r>
          </w:p>
        </w:tc>
        <w:tc>
          <w:tcPr>
            <w:tcW w:type="dxa" w:w="205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Mentee / role at time</w:t>
            </w:r>
          </w:p>
        </w:tc>
        <w:tc>
          <w:tcPr>
            <w:tcW w:type="dxa" w:w="421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Current affiliation</w:t>
            </w:r>
          </w:p>
        </w:tc>
        <w:tc>
          <w:tcPr>
            <w:tcW w:type="dxa" w:w="3564"/>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Research training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2016</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Bathe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kn__kbcbeszzccj6ogrn" Type="http://schemas.openxmlformats.org/officeDocument/2006/relationships/hyperlink" Target="https://scholar.google.com/citations?hl=ko&amp;user=tMsQgs8AAAAJ" TargetMode="External"/><Relationship Id="rIdjwa6gcm3mxquzzp5sjdpo" Type="http://schemas.openxmlformats.org/officeDocument/2006/relationships/hyperlink" Target="file:///Users/kang/CC/PostDoc-apply/02_CV/%ED%98%84%EC%9E%AC/Seong-Jun-CV/papers/2025_JNI_Alzheimer_scRNAseq.pdf" TargetMode="External"/><Relationship Id="rIdj4bnrx8j__luzuwe_3t8b" Type="http://schemas.openxmlformats.org/officeDocument/2006/relationships/hyperlink" Target="file:///Users/kang/CC/PostDoc-apply/02_CV/%ED%98%84%EC%9E%AC/Seong-Jun-CV/papers/2025_Allergy_AD_Treg.pdf" TargetMode="External"/><Relationship Id="rId6l3ltpmqfdpou8wm1pe8o" Type="http://schemas.openxmlformats.org/officeDocument/2006/relationships/hyperlink" Target="file:///Users/kang/CC/PostDoc-apply/02_CV/%ED%98%84%EC%9E%AC/Seong-Jun-CV/papers/2024_Xenotransplantation_tofacitinib.pdf" TargetMode="External"/><Relationship Id="rIdn70tlh_bdoe0xteoc4e1f" Type="http://schemas.openxmlformats.org/officeDocument/2006/relationships/hyperlink" Target="file:///Users/kang/CC/PostDoc-apply/02_CV/%ED%98%84%EC%9E%AC/Seong-Jun-CV/papers/2022_JEADV_melanoma_spatial.pdf" TargetMode="External"/><Relationship Id="rIdtf22eyplxythdfl_6_9id" Type="http://schemas.openxmlformats.org/officeDocument/2006/relationships/hyperlink" Target="file:///Users/kang/CC/PostDoc-apply/02_CV/%ED%98%84%EC%9E%AC/Seong-Jun-CV/papers/2019_Islets_JAK3_isletTx.pdf" TargetMode="External"/><Relationship Id="rId6two9jvr7kef6k7p7i24j" Type="http://schemas.openxmlformats.org/officeDocument/2006/relationships/hyperlink" Target="file:///Users/kang/CC/PostDoc-apply/02_CV/%ED%98%84%EC%9E%AC/Seong-Jun-CV/papers/2024_eBioMedicine_psoriasis_Treg.pdf" TargetMode="External"/><Relationship Id="rId7kxsgogsfhutzrhev7ehu" Type="http://schemas.openxmlformats.org/officeDocument/2006/relationships/hyperlink" Target="file:///Users/kang/CC/PostDoc-apply/02_CV/%ED%98%84%EC%9E%AC/Seong-Jun-CV/papers/2024_JEADV_melanoma_immune.pdf" TargetMode="External"/><Relationship Id="rIdmmlrcbkflpcodclgje2rz" Type="http://schemas.openxmlformats.org/officeDocument/2006/relationships/hyperlink" Target="file:///Users/kang/CC/PostDoc-apply/02_CV/%ED%98%84%EC%9E%AC/Seong-Jun-CV/papers/2021_CurrDiabRep_xeno_review.pdf" TargetMode="External"/><Relationship Id="rIdjc5qzzrzaeqjpnnmh5gzr"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2026-09-24T18:43:44.317Z</dcterms:created>
  <dcterms:modified xsi:type="dcterms:W3CDTF">2026-09-24T18:43:44.317Z</dcterms:modified>
</cp:coreProperties>
</file>

<file path=docProps/custom.xml><?xml version="1.0" encoding="utf-8"?>
<Properties xmlns="http://schemas.openxmlformats.org/officeDocument/2006/custom-properties" xmlns:vt="http://schemas.openxmlformats.org/officeDocument/2006/docPropsVTypes"/>
</file>