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90"/>
            </w:pPr>
            <w:r>
              <w:rPr>
                <w:rFonts w:ascii="Arial" w:cs="Arial" w:eastAsia="Arial" w:hAnsi="Arial"/>
                <w:color w:val="454C57"/>
                <w:sz w:val="21"/>
                <w:szCs w:val="21"/>
              </w:rPr>
              <w:t xml:space="preserve">Computational immunologist working in single-cell and spatial multi-omics of the immune system</w:t>
            </w:r>
            <w:r>
              <w:rPr>
                <w:rFonts w:ascii="Arial" w:cs="Arial" w:eastAsia="Arial" w:hAnsi="Arial"/>
                <w:color w:val="454C57"/>
                <w:sz w:val="21"/>
                <w:szCs w:val="21"/>
              </w:rPr>
              <w:br/>
              <w:t xml:space="preserve"/>
            </w:r>
            <w:r>
              <w:rPr>
                <w:rFonts w:ascii="Arial" w:cs="Arial" w:eastAsia="Arial" w:hAnsi="Arial"/>
                <w:color w:val="454C57"/>
                <w:sz w:val="21"/>
                <w:szCs w:val="21"/>
              </w:rPr>
              <w:t xml:space="preserve">Research Scientist applicant · Hyman Lab, MassGeneral Institute for Neurodegenerative Disease · transcriptomics and neurodegeneration</w:t>
            </w:r>
          </w:p>
        </w:tc>
        <w:tc>
          <w:tcPr>
            <w:tcW w:type="dxa" w:w="3200"/>
            <w:tcBorders>
              <w:top w:val="none" w:color="FFFFFF" w:sz="0"/>
              <w:left w:val="none" w:color="FFFFFF" w:sz="0"/>
              <w:bottom w:val="none" w:color="FFFFFF" w:sz="0"/>
              <w:right w:val="none" w:color="FFFFFF" w:sz="0"/>
            </w:tcBorders>
          </w:tcPr>
          <w:p>
            <w:pPr>
              <w:spacing w:after="0" w:before="0" w:line="264"/>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40" w:before="0" w:line="324"/>
      </w:pPr>
      <w:r>
        <w:rPr>
          <w:rFonts w:ascii="Arial" w:cs="Arial" w:eastAsia="Arial" w:hAnsi="Arial"/>
          <w:color w:val="454C57"/>
          <w:sz w:val="21"/>
          <w:szCs w:val="21"/>
        </w:rPr>
        <w:t xml:space="preserve">I am an immunologist specializing in computational single-cell analysis. I built a brain-immune workflow from tissue preparation through 10x sequencing and analysis in a 5xFAD mouse model, and I analyze disease-associated cell states across large human immune atlases. I would contribute an immune-cell perspective and donor-aware evaluation to human brain transcriptomics.</w:t>
      </w:r>
    </w:p>
    <w:p>
      <w:pPr>
        <w:keepNext/>
        <w:pBdr>
          <w:bottom w:val="single" w:color="0F1115" w:sz="12"/>
        </w:pBdr>
        <w:spacing w:after="95" w:before="180"/>
      </w:pPr>
      <w:r>
        <w:rPr>
          <w:rFonts w:ascii="Arial" w:cs="Arial" w:eastAsia="Arial" w:hAnsi="Arial"/>
          <w:b/>
          <w:bCs/>
          <w:color w:val="0F1115"/>
          <w:sz w:val="27"/>
          <w:szCs w:val="27"/>
        </w:rPr>
        <w:t xml:space="preserve">RESEARCH &amp; TECHNICAL EXPERTISE</w:t>
      </w:r>
    </w:p>
    <w:p>
      <w:pPr>
        <w:pStyle w:val="ListParagraph"/>
        <w:numPr>
          <w:ilvl w:val="0"/>
          <w:numId w:val="2"/>
        </w:numPr>
        <w:spacing w:after="90" w:before="0" w:line="300"/>
      </w:pPr>
      <w:r>
        <w:rPr>
          <w:rFonts w:ascii="Arial" w:cs="Arial" w:eastAsia="Arial" w:hAnsi="Arial"/>
          <w:b/>
          <w:bCs/>
          <w:color w:val="1C2128"/>
          <w:sz w:val="19"/>
          <w:szCs w:val="19"/>
        </w:rPr>
        <w:t xml:space="preserve">Single-cell and multimodal profiling.</w:t>
      </w:r>
      <w:r>
        <w:rPr>
          <w:rFonts w:ascii="Arial" w:cs="Arial" w:eastAsia="Arial" w:hAnsi="Arial"/>
          <w:color w:val="1C2128"/>
          <w:sz w:val="19"/>
          <w:szCs w:val="19"/>
        </w:rPr>
        <w:t xml:space="preserve"> 10x single-cell workflows, end-to-end GeoMx DSP, Visium spatial transcriptomics, MACSima multiplexed imaging, high-parameter flow cytometry, and Olink targeted proteomics.</w:t>
      </w:r>
    </w:p>
    <w:p>
      <w:pPr>
        <w:pStyle w:val="ListParagraph"/>
        <w:numPr>
          <w:ilvl w:val="0"/>
          <w:numId w:val="2"/>
        </w:numPr>
        <w:spacing w:after="90" w:before="0" w:line="300"/>
      </w:pPr>
      <w:r>
        <w:rPr>
          <w:rFonts w:ascii="Arial" w:cs="Arial" w:eastAsia="Arial" w:hAnsi="Arial"/>
          <w:b/>
          <w:bCs/>
          <w:color w:val="1C2128"/>
          <w:sz w:val="19"/>
          <w:szCs w:val="19"/>
        </w:rPr>
        <w:t xml:space="preserve">Computational analysis and AI-driven drug discovery.</w:t>
      </w:r>
      <w:r>
        <w:rPr>
          <w:rFonts w:ascii="Arial" w:cs="Arial" w:eastAsia="Arial" w:hAnsi="Arial"/>
          <w:color w:val="1C2128"/>
          <w:sz w:val="19"/>
          <w:szCs w:val="19"/>
        </w:rPr>
        <w:t xml:space="preserve"> Sequencing-data analysis in Python and R using statistical and machine-learning tools; multimodal integration and donor- or case-level evaluation. AI-driven drug discovery workflows spanning target discovery, binding prediction, virtual screening, and lead optimization.</w:t>
      </w:r>
    </w:p>
    <w:p>
      <w:pPr>
        <w:pStyle w:val="ListParagraph"/>
        <w:numPr>
          <w:ilvl w:val="0"/>
          <w:numId w:val="2"/>
        </w:numPr>
        <w:spacing w:after="90" w:before="0" w:line="300"/>
      </w:pPr>
      <w:r>
        <w:rPr>
          <w:rFonts w:ascii="Arial" w:cs="Arial" w:eastAsia="Arial" w:hAnsi="Arial"/>
          <w:b/>
          <w:bCs/>
          <w:color w:val="1C2128"/>
          <w:sz w:val="19"/>
          <w:szCs w:val="19"/>
        </w:rPr>
        <w:t xml:space="preserve">Cellular and molecular assays.</w:t>
      </w:r>
      <w:r>
        <w:rPr>
          <w:rFonts w:ascii="Arial" w:cs="Arial" w:eastAsia="Arial" w:hAnsi="Arial"/>
          <w:color w:val="1C2128"/>
          <w:sz w:val="19"/>
          <w:szCs w:val="19"/>
        </w:rPr>
        <w:t xml:space="preserve"> Primary-cell culture and immune-cell functional assays; DNA, RNA, and protein workflows, including qRT-PCR, cloning, and Western blotting; Biacore SPR and ELISA binding assays.</w:t>
      </w:r>
    </w:p>
    <w:p>
      <w:pPr>
        <w:pStyle w:val="ListParagraph"/>
        <w:numPr>
          <w:ilvl w:val="0"/>
          <w:numId w:val="2"/>
        </w:numPr>
        <w:spacing w:after="90" w:before="0" w:line="300"/>
      </w:pPr>
      <w:r>
        <w:rPr>
          <w:rFonts w:ascii="Arial" w:cs="Arial" w:eastAsia="Arial" w:hAnsi="Arial"/>
          <w:b/>
          <w:bCs/>
          <w:color w:val="1C2128"/>
          <w:sz w:val="19"/>
          <w:szCs w:val="19"/>
        </w:rPr>
        <w:t xml:space="preserve">Animal models and immune monitoring.</w:t>
      </w:r>
      <w:r>
        <w:rPr>
          <w:rFonts w:ascii="Arial" w:cs="Arial" w:eastAsia="Arial" w:hAnsi="Arial"/>
          <w:color w:val="1C2128"/>
          <w:sz w:val="19"/>
          <w:szCs w:val="19"/>
        </w:rPr>
        <w:t xml:space="preserve"> EAE and Alzheimer's disease models; skin- and islet-transplantation studies; animal breeding, non-human-primate sampling, and longitudinal immune monitoring.</w:t>
      </w:r>
    </w:p>
    <w:p>
      <w:pPr>
        <w:pStyle w:val="ListParagraph"/>
        <w:numPr>
          <w:ilvl w:val="0"/>
          <w:numId w:val="2"/>
        </w:numPr>
        <w:spacing w:after="90" w:before="0" w:line="300"/>
      </w:pPr>
      <w:r>
        <w:rPr>
          <w:rFonts w:ascii="Arial" w:cs="Arial" w:eastAsia="Arial" w:hAnsi="Arial"/>
          <w:b/>
          <w:bCs/>
          <w:color w:val="1C2128"/>
          <w:sz w:val="19"/>
          <w:szCs w:val="19"/>
        </w:rPr>
        <w:t xml:space="preserve">Research coordination and grant writing.</w:t>
      </w:r>
      <w:r>
        <w:rPr>
          <w:rFonts w:ascii="Arial" w:cs="Arial" w:eastAsia="Arial" w:hAnsi="Arial"/>
          <w:color w:val="1C2128"/>
          <w:sz w:val="19"/>
          <w:szCs w:val="19"/>
        </w:rPr>
        <w:t xml:space="preserve"> Multi-site sample QC, project coordination across academia and industry, and contributions to grant proposals for programs with combined budgets of approximately $3 million.</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300"/>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90" w:before="0" w:line="280"/>
      </w:pPr>
      <w:hyperlink w:history="1" r:id="rIdxgzt64av7rpyjdfrvjj3q">
        <w:r>
          <w:rPr>
            <w:rFonts w:ascii="Arial" w:cs="Arial" w:eastAsia="Arial" w:hAnsi="Arial"/>
            <w:color w:val="2F5FE0"/>
            <w:sz w:val="18"/>
            <w:szCs w:val="18"/>
            <w:u w:val="single"/>
          </w:rPr>
          <w:t xml:space="preserve">Google Scholar · Full Profile, Citations &amp; h-index ↗</w:t>
        </w:r>
      </w:hyperlink>
    </w:p>
    <w:p>
      <w:pPr>
        <w:keepNext/>
        <w:spacing w:after="70" w:before="160" w:line="300"/>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820"/>
        <w:gridCol w:w="9980"/>
      </w:tblGrid>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2026</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2025</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buejfllh081_dbna3yrdw">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2025</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bka0-dc0m6bigoom4pqrv">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Single-cell and functional dissection of skin-homing regulatory T cells in atopic dermatitis, with OX40 up-regulated alongside impaired suppressive function.</w:t>
            </w:r>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2024</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m2l-_vqqph3iytjwzzdpb">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Long-term diabetes control with a tofacitinib-based regimen after allo-islet transplantation in rhesus macaques, with longitudinal immune monitoring.</w:t>
            </w:r>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2022</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2e479j-ibjoxhokpqo0ek">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2019</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7y0fpeajwjythxw1pi06n">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one of four authors contributing equally. JAK3-inhibitor-based immunosuppression in allogeneic islet transplantation in cynomolgus macaques.</w:t>
            </w:r>
          </w:p>
        </w:tc>
      </w:tr>
    </w:tbl>
    <w:p>
      <w:pPr>
        <w:keepNext/>
        <w:spacing w:after="70" w:before="160" w:line="300"/>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820"/>
        <w:gridCol w:w="9980"/>
      </w:tblGrid>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2026</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2024</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yh_gltuge9uqzq79mg2xm">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2024</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xvpmrb_pgjyvl-cn0krwf">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2023</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2022</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2021</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hro_p9rbce6hvalce0m9v">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2020</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2019</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p>
        </w:tc>
      </w:tr>
    </w:tbl>
    <w:p>
      <w:pPr>
        <w:keepNext/>
        <w:spacing w:after="70" w:before="160" w:line="300"/>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820"/>
        <w:gridCol w:w="9980"/>
      </w:tblGrid>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2026</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(immunology). Ran the Olink plasma proteomics across 12 patients and 6 controls and the flow-cytometry immunophenotyping of lymph-node leukocytes.</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2026</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Brain and CNS</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tissue</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Mouse brain immune profiling run end to end: whole-brain harvest, enzymatic digestion, Percoll enrichment, CD45⁺ FACS, 10x library generation, and the analysis (</w:t>
            </w:r>
            <w:r>
              <w:rPr>
                <w:rFonts w:ascii="Arial" w:cs="Arial" w:eastAsia="Arial" w:hAnsi="Arial"/>
                <w:i/>
                <w:iCs/>
                <w:color w:val="1C2128"/>
                <w:sz w:val="20"/>
                <w:szCs w:val="20"/>
              </w:rPr>
              <w:t xml:space="preserve">J Neuroimmunol</w:t>
            </w:r>
            <w:r>
              <w:rPr>
                <w:rFonts w:ascii="Arial" w:cs="Arial" w:eastAsia="Arial" w:hAnsi="Arial"/>
                <w:color w:val="1C2128"/>
                <w:sz w:val="20"/>
                <w:szCs w:val="20"/>
              </w:rPr>
              <w:t xml:space="preserve"> 2025, first author; 5xFAD model, 11,587 cells, 10 immune populations). Neuro-immune analysis of choroid plexus epithelium and infiltrating CD8⁺ resident-memory T cells at the blood–CSF barrier. Non-human-primate CNS tissue, brain and spinal cord, across rhesus, cynomolgus and marmoset studies, including EAE models of multiple sclerosis.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Cell-state calling</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and its checks</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0"/>
                <w:szCs w:val="20"/>
              </w:rPr>
              <w:t xml:space="preserve">Consensus NMF</w:t>
            </w:r>
            <w:r>
              <w:rPr>
                <w:rFonts w:ascii="Arial" w:cs="Arial" w:eastAsia="Arial" w:hAnsi="Arial"/>
                <w:color w:val="1C2128"/>
                <w:sz w:val="20"/>
                <w:szCs w:val="20"/>
              </w:rPr>
              <w:t xml:space="preserve"> gene programs (k = 14 → 12 reproducible programs across 251,055 memory CD4⁺ T cells). Custom UMI-aware, BAM-level isoform code (Python) resolving PDE4D short- versus long-isoform identity from 5′ reads, which a count matrix cannot separate. </w:t>
            </w:r>
            <w:r>
              <w:rPr>
                <w:rFonts w:ascii="Arial" w:cs="Arial" w:eastAsia="Arial" w:hAnsi="Arial"/>
                <w:b/>
                <w:bCs/>
                <w:color w:val="1C2128"/>
                <w:sz w:val="20"/>
                <w:szCs w:val="20"/>
              </w:rPr>
              <w:t xml:space="preserve">Milo</w:t>
            </w:r>
            <w:r>
              <w:rPr>
                <w:rFonts w:ascii="Arial" w:cs="Arial" w:eastAsia="Arial" w:hAnsi="Arial"/>
                <w:color w:val="1C2128"/>
                <w:sz w:val="20"/>
                <w:szCs w:val="20"/>
              </w:rPr>
              <w:t xml:space="preserve"> KNN-graph differential abundance; </w:t>
            </w:r>
            <w:r>
              <w:rPr>
                <w:rFonts w:ascii="Arial" w:cs="Arial" w:eastAsia="Arial" w:hAnsi="Arial"/>
                <w:b/>
                <w:bCs/>
                <w:color w:val="1C2128"/>
                <w:sz w:val="20"/>
                <w:szCs w:val="20"/>
              </w:rPr>
              <w:t xml:space="preserve">scVI/scANVI</w:t>
            </w:r>
            <w:r>
              <w:rPr>
                <w:rFonts w:ascii="Arial" w:cs="Arial" w:eastAsia="Arial" w:hAnsi="Arial"/>
                <w:color w:val="1C2128"/>
                <w:sz w:val="20"/>
                <w:szCs w:val="20"/>
              </w:rPr>
              <w:t xml:space="preserve"> integration; condition classifiers reported with held-out AUC and confidence intervals. Multi-site sample QC, milestone tracking and multi-PI coordination across a 700-donor, 8-organ atlas (SCAID).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Binding &amp; protein</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interaction</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0"/>
                <w:szCs w:val="20"/>
              </w:rPr>
              <w:t xml:space="preserve">Biacore SPR</w:t>
            </w:r>
            <w:r>
              <w:rPr>
                <w:rFonts w:ascii="Arial" w:cs="Arial" w:eastAsia="Arial" w:hAnsi="Arial"/>
                <w:color w:val="1C2128"/>
                <w:sz w:val="20"/>
                <w:szCs w:val="20"/>
              </w:rPr>
              <w:t xml:space="preserve"> and ELISA for affinity, kinetics, competition binding, receptor blockade, and cross-species comparison; functional validation in primary human T cells.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Study execution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collaboration</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Study design, external-study coordination, multi-site sample QC, milestone tracking, regulatory documentation, and data review.</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90" w:before="0" w:line="300"/>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ewgq_y1jkpk4ovukendre">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70" w:before="160" w:line="300"/>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70" w:before="160" w:line="300"/>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70" w:before="160" w:line="300"/>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70" w:before="160" w:line="300"/>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Funding Agency / Sponsor</w:t>
            </w:r>
          </w:p>
        </w:tc>
        <w:tc>
          <w:tcPr>
            <w:tcW w:type="dxa" w:w="31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Project</w:t>
            </w:r>
          </w:p>
        </w:tc>
        <w:tc>
          <w:tcPr>
            <w:tcW w:type="dxa" w:w="12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Period</w:t>
            </w:r>
          </w:p>
        </w:tc>
        <w:tc>
          <w:tcPr>
            <w:tcW w:type="dxa" w:w="12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Budget (USD)</w:t>
            </w:r>
          </w:p>
        </w:tc>
        <w:tc>
          <w:tcPr>
            <w:tcW w:type="dxa" w:w="34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Role / Contribution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Korea Drug Development Fund (KDDF)</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2021–2023</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~$571,000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Korea Drug Development Fund (KDDF)</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2022–2024</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~$321,000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SMEs and Startups (MSS)</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Scale-up Funding for Tech Commercialization</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2022–2023</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~$222,000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SMEs and Startups (MSS)</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2021–2022</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~$74,000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NAVER Corporation</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2023–2026</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~$128,000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Proposal &amp; study design (~50%)</w:t>
            </w:r>
          </w:p>
        </w:tc>
      </w:tr>
    </w:tbl>
    <w:p>
      <w:pPr>
        <w:keepNext/>
        <w:spacing w:after="70" w:before="160" w:line="300"/>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Funding Agency / Sponsor</w:t>
            </w:r>
          </w:p>
        </w:tc>
        <w:tc>
          <w:tcPr>
            <w:tcW w:type="dxa" w:w="31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Project</w:t>
            </w:r>
          </w:p>
        </w:tc>
        <w:tc>
          <w:tcPr>
            <w:tcW w:type="dxa" w:w="12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Period</w:t>
            </w:r>
          </w:p>
        </w:tc>
        <w:tc>
          <w:tcPr>
            <w:tcW w:type="dxa" w:w="12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Budget (USD)</w:t>
            </w:r>
          </w:p>
        </w:tc>
        <w:tc>
          <w:tcPr>
            <w:tcW w:type="dxa" w:w="34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Role / Contribution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Science and ICT (MSIT)</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2022–2028 (3+3)</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~$1.6M</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2020–2021</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~$40,000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Grant writing, experimental design &amp; technical validation</w:t>
            </w:r>
          </w:p>
        </w:tc>
      </w:tr>
    </w:tbl>
    <w:p>
      <w:pPr>
        <w:spacing w:after="90" w:before="0" w:line="280"/>
      </w:pPr>
      <w:r>
        <w:rPr>
          <w:rFonts w:ascii="Arial" w:cs="Arial" w:eastAsia="Arial" w:hAnsi="Arial"/>
          <w:color w:val="454C57"/>
          <w:sz w:val="18"/>
          <w:szCs w:val="18"/>
        </w:rPr>
        <w:t xml:space="preserve">All grants were held by the institutional Principal Investigator (Ph.D. advisor at SNU; company CEO/CSO at PB Immune Therapeutics); the listed roles reflect the applicant's contribution to proposal writing and project execution, </w:t>
      </w:r>
      <w:r>
        <w:rPr>
          <w:rFonts w:ascii="Arial" w:cs="Arial" w:eastAsia="Arial" w:hAnsi="Arial"/>
          <w:b/>
          <w:bCs/>
          <w:color w:val="454C57"/>
          <w:sz w:val="18"/>
          <w:szCs w:val="18"/>
        </w:rPr>
        <w:t xml:space="preserve">not as PI</w:t>
      </w:r>
      <w:r>
        <w:rPr>
          <w:rFonts w:ascii="Arial" w:cs="Arial" w:eastAsia="Arial" w:hAnsi="Arial"/>
          <w:color w:val="454C57"/>
          <w:sz w:val="18"/>
          <w:szCs w:val="18"/>
        </w:rPr>
        <w:t xml:space="preserve">. Budgets converted at ≈ ₩1,400 / USD.</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Year</w:t>
            </w:r>
          </w:p>
        </w:tc>
        <w:tc>
          <w:tcPr>
            <w:tcW w:type="dxa" w:w="2052"/>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Mentee / role at time</w:t>
            </w:r>
          </w:p>
        </w:tc>
        <w:tc>
          <w:tcPr>
            <w:tcW w:type="dxa" w:w="4212"/>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Current affiliation</w:t>
            </w:r>
          </w:p>
        </w:tc>
        <w:tc>
          <w:tcPr>
            <w:tcW w:type="dxa" w:w="3564"/>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Research training</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2013</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2014</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2016</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2023</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2023</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2024</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2024</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300"/>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300"/>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300"/>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300"/>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 · Hyman Lab</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gzt64av7rpyjdfrvjj3q" Type="http://schemas.openxmlformats.org/officeDocument/2006/relationships/hyperlink" Target="https://scholar.google.com/citations?hl=ko&amp;user=tMsQgs8AAAAJ" TargetMode="External"/><Relationship Id="rIdbuejfllh081_dbna3yrdw" Type="http://schemas.openxmlformats.org/officeDocument/2006/relationships/hyperlink" Target="file:///Users/kang/CC/PostDoc-apply/02_CV/%ED%98%84%EC%9E%AC/Seong-Jun-CV/papers/2025_JNI_Alzheimer_scRNAseq.pdf" TargetMode="External"/><Relationship Id="rIdbka0-dc0m6bigoom4pqrv" Type="http://schemas.openxmlformats.org/officeDocument/2006/relationships/hyperlink" Target="file:///Users/kang/CC/PostDoc-apply/02_CV/%ED%98%84%EC%9E%AC/Seong-Jun-CV/papers/2025_Allergy_AD_Treg.pdf" TargetMode="External"/><Relationship Id="rIdm2l-_vqqph3iytjwzzdpb" Type="http://schemas.openxmlformats.org/officeDocument/2006/relationships/hyperlink" Target="file:///Users/kang/CC/PostDoc-apply/02_CV/%ED%98%84%EC%9E%AC/Seong-Jun-CV/papers/2024_Xenotransplantation_tofacitinib.pdf" TargetMode="External"/><Relationship Id="rId2e479j-ibjoxhokpqo0ek" Type="http://schemas.openxmlformats.org/officeDocument/2006/relationships/hyperlink" Target="file:///Users/kang/CC/PostDoc-apply/02_CV/%ED%98%84%EC%9E%AC/Seong-Jun-CV/papers/2022_JEADV_melanoma_spatial.pdf" TargetMode="External"/><Relationship Id="rId7y0fpeajwjythxw1pi06n" Type="http://schemas.openxmlformats.org/officeDocument/2006/relationships/hyperlink" Target="file:///Users/kang/CC/PostDoc-apply/02_CV/%ED%98%84%EC%9E%AC/Seong-Jun-CV/papers/2019_Islets_JAK3_isletTx.pdf" TargetMode="External"/><Relationship Id="rIdyh_gltuge9uqzq79mg2xm" Type="http://schemas.openxmlformats.org/officeDocument/2006/relationships/hyperlink" Target="file:///Users/kang/CC/PostDoc-apply/02_CV/%ED%98%84%EC%9E%AC/Seong-Jun-CV/papers/2024_eBioMedicine_psoriasis_Treg.pdf" TargetMode="External"/><Relationship Id="rIdxvpmrb_pgjyvl-cn0krwf" Type="http://schemas.openxmlformats.org/officeDocument/2006/relationships/hyperlink" Target="file:///Users/kang/CC/PostDoc-apply/02_CV/%ED%98%84%EC%9E%AC/Seong-Jun-CV/papers/2024_JEADV_melanoma_immune.pdf" TargetMode="External"/><Relationship Id="rIdhro_p9rbce6hvalce0m9v" Type="http://schemas.openxmlformats.org/officeDocument/2006/relationships/hyperlink" Target="file:///Users/kang/CC/PostDoc-apply/02_CV/%ED%98%84%EC%9E%AC/Seong-Jun-CV/papers/2021_CurrDiabRep_xeno_review.pdf" TargetMode="External"/><Relationship Id="rIdewgq_y1jkpk4ovukendre"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2026-09-24T18:43:47.546Z</dcterms:created>
  <dcterms:modified xsi:type="dcterms:W3CDTF">2026-09-24T18:43:47.546Z</dcterms:modified>
</cp:coreProperties>
</file>

<file path=docProps/custom.xml><?xml version="1.0" encoding="utf-8"?>
<Properties xmlns="http://schemas.openxmlformats.org/officeDocument/2006/custom-properties" xmlns:vt="http://schemas.openxmlformats.org/officeDocument/2006/docPropsVTypes"/>
</file>