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90"/>
            </w:pPr>
            <w:r>
              <w:rPr>
                <w:rFonts w:ascii="Arial" w:cs="Arial" w:eastAsia="Arial" w:hAnsi="Arial"/>
                <w:color w:val="454C57"/>
                <w:sz w:val="21"/>
                <w:szCs w:val="21"/>
              </w:rPr>
              <w:t xml:space="preserve">Experimental and computational biomedical scientist: human skin biology, single-cell and spatial profiling, machine-learning phenotyping</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Associate applicant · MIT Jameel Clinic · Yilmaz Lab (Koch Institute) and Barzilay Group (CSAIL)</w:t>
            </w:r>
          </w:p>
        </w:tc>
        <w:tc>
          <w:tcPr>
            <w:tcW w:type="dxa" w:w="3200"/>
            <w:tcBorders>
              <w:top w:val="none" w:color="FFFFFF" w:sz="0"/>
              <w:left w:val="none" w:color="FFFFFF" w:sz="0"/>
              <w:bottom w:val="none" w:color="FFFFFF" w:sz="0"/>
              <w:right w:val="none" w:color="FFFFFF" w:sz="0"/>
            </w:tcBorders>
          </w:tcPr>
          <w:p>
            <w:pPr>
              <w:spacing w:after="0" w:before="0" w:line="264"/>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40" w:before="0" w:line="324"/>
      </w:pPr>
      <w:r>
        <w:rPr>
          <w:rFonts w:ascii="Arial" w:cs="Arial" w:eastAsia="Arial" w:hAnsi="Arial"/>
          <w:color w:val="454C57"/>
          <w:sz w:val="21"/>
          <w:szCs w:val="21"/>
        </w:rPr>
        <w:t xml:space="preserve">I study human immune and tissue states using primary-cell experiments, spatial measurements, single-cell sequencing, and quantitative analysis. My work includes functional studies of skin-homing regulatory T cells and end-to-end GeoMx profiling of melanoma. I would apply donor-aware molecular analysis and experimental follow-up to hair-cycle and pigmentation phenotyping, target discovery, and biological validation.</w:t>
      </w:r>
    </w:p>
    <w:p>
      <w:pPr>
        <w:keepNext/>
        <w:pBdr>
          <w:bottom w:val="single" w:color="0F1115" w:sz="12"/>
        </w:pBdr>
        <w:spacing w:after="95" w:before="180"/>
      </w:pPr>
      <w:r>
        <w:rPr>
          <w:rFonts w:ascii="Arial" w:cs="Arial" w:eastAsia="Arial" w:hAnsi="Arial"/>
          <w:b/>
          <w:bCs/>
          <w:color w:val="0F1115"/>
          <w:sz w:val="27"/>
          <w:szCs w:val="27"/>
        </w:rPr>
        <w:t xml:space="preserve">RESEARCH &amp; TECHNICAL EXPERTISE</w:t>
      </w:r>
    </w:p>
    <w:p>
      <w:pPr>
        <w:pStyle w:val="ListParagraph"/>
        <w:numPr>
          <w:ilvl w:val="0"/>
          <w:numId w:val="2"/>
        </w:numPr>
        <w:spacing w:after="90" w:before="0" w:line="300"/>
      </w:pPr>
      <w:r>
        <w:rPr>
          <w:rFonts w:ascii="Arial" w:cs="Arial" w:eastAsia="Arial" w:hAnsi="Arial"/>
          <w:b/>
          <w:bCs/>
          <w:color w:val="1C2128"/>
          <w:sz w:val="19"/>
          <w:szCs w:val="19"/>
        </w:rPr>
        <w:t xml:space="preserve">Single-cell and multimodal profiling.</w:t>
      </w:r>
      <w:r>
        <w:rPr>
          <w:rFonts w:ascii="Arial" w:cs="Arial" w:eastAsia="Arial" w:hAnsi="Arial"/>
          <w:color w:val="1C2128"/>
          <w:sz w:val="19"/>
          <w:szCs w:val="19"/>
        </w:rPr>
        <w:t xml:space="preserve"> 10x single-cell workflows, end-to-end GeoMx DSP, Visium spatial transcriptomics, MACSima multiplexed imaging, high-parameter flow cytometry, and Olink targeted proteomics.</w:t>
      </w:r>
    </w:p>
    <w:p>
      <w:pPr>
        <w:pStyle w:val="ListParagraph"/>
        <w:numPr>
          <w:ilvl w:val="0"/>
          <w:numId w:val="2"/>
        </w:numPr>
        <w:spacing w:after="90" w:before="0" w:line="300"/>
      </w:pPr>
      <w:r>
        <w:rPr>
          <w:rFonts w:ascii="Arial" w:cs="Arial" w:eastAsia="Arial" w:hAnsi="Arial"/>
          <w:b/>
          <w:bCs/>
          <w:color w:val="1C2128"/>
          <w:sz w:val="19"/>
          <w:szCs w:val="19"/>
        </w:rPr>
        <w:t xml:space="preserve">Computational analysis and AI-driven drug discovery.</w:t>
      </w:r>
      <w:r>
        <w:rPr>
          <w:rFonts w:ascii="Arial" w:cs="Arial" w:eastAsia="Arial" w:hAnsi="Arial"/>
          <w:color w:val="1C2128"/>
          <w:sz w:val="19"/>
          <w:szCs w:val="19"/>
        </w:rPr>
        <w:t xml:space="preserve"> Sequencing-data analysis in Python and R using statistical and machine-learning tools; multimodal integration and donor- or case-level evaluation. AI-driven drug discovery workflows spanning target discovery, binding prediction, virtual screening, and lead optimization.</w:t>
      </w:r>
    </w:p>
    <w:p>
      <w:pPr>
        <w:pStyle w:val="ListParagraph"/>
        <w:numPr>
          <w:ilvl w:val="0"/>
          <w:numId w:val="2"/>
        </w:numPr>
        <w:spacing w:after="90" w:before="0" w:line="300"/>
      </w:pPr>
      <w:r>
        <w:rPr>
          <w:rFonts w:ascii="Arial" w:cs="Arial" w:eastAsia="Arial" w:hAnsi="Arial"/>
          <w:b/>
          <w:bCs/>
          <w:color w:val="1C2128"/>
          <w:sz w:val="19"/>
          <w:szCs w:val="19"/>
        </w:rPr>
        <w:t xml:space="preserve">Cellular and molecular assays.</w:t>
      </w:r>
      <w:r>
        <w:rPr>
          <w:rFonts w:ascii="Arial" w:cs="Arial" w:eastAsia="Arial" w:hAnsi="Arial"/>
          <w:color w:val="1C2128"/>
          <w:sz w:val="19"/>
          <w:szCs w:val="19"/>
        </w:rPr>
        <w:t xml:space="preserve"> Primary-cell culture and immune-cell functional assays; DNA, RNA, and protein workflows, including qRT-PCR, cloning, and Western blotting; Biacore SPR and ELISA binding assays.</w:t>
      </w:r>
    </w:p>
    <w:p>
      <w:pPr>
        <w:pStyle w:val="ListParagraph"/>
        <w:numPr>
          <w:ilvl w:val="0"/>
          <w:numId w:val="2"/>
        </w:numPr>
        <w:spacing w:after="90" w:before="0" w:line="300"/>
      </w:pPr>
      <w:r>
        <w:rPr>
          <w:rFonts w:ascii="Arial" w:cs="Arial" w:eastAsia="Arial" w:hAnsi="Arial"/>
          <w:b/>
          <w:bCs/>
          <w:color w:val="1C2128"/>
          <w:sz w:val="19"/>
          <w:szCs w:val="19"/>
        </w:rPr>
        <w:t xml:space="preserve">Animal models and immune monitoring.</w:t>
      </w:r>
      <w:r>
        <w:rPr>
          <w:rFonts w:ascii="Arial" w:cs="Arial" w:eastAsia="Arial" w:hAnsi="Arial"/>
          <w:color w:val="1C2128"/>
          <w:sz w:val="19"/>
          <w:szCs w:val="19"/>
        </w:rPr>
        <w:t xml:space="preserve"> EAE and Alzheimer's disease models; skin- and islet-transplantation studies; animal breeding, non-human-primate sampling, and longitudinal immune monitoring.</w:t>
      </w:r>
    </w:p>
    <w:p>
      <w:pPr>
        <w:pStyle w:val="ListParagraph"/>
        <w:numPr>
          <w:ilvl w:val="0"/>
          <w:numId w:val="2"/>
        </w:numPr>
        <w:spacing w:after="90" w:before="0" w:line="300"/>
      </w:pPr>
      <w:r>
        <w:rPr>
          <w:rFonts w:ascii="Arial" w:cs="Arial" w:eastAsia="Arial" w:hAnsi="Arial"/>
          <w:b/>
          <w:bCs/>
          <w:color w:val="1C2128"/>
          <w:sz w:val="19"/>
          <w:szCs w:val="19"/>
        </w:rPr>
        <w:t xml:space="preserve">Research coordination and grant writing.</w:t>
      </w:r>
      <w:r>
        <w:rPr>
          <w:rFonts w:ascii="Arial" w:cs="Arial" w:eastAsia="Arial" w:hAnsi="Arial"/>
          <w:color w:val="1C2128"/>
          <w:sz w:val="19"/>
          <w:szCs w:val="19"/>
        </w:rPr>
        <w:t xml:space="preserve"> Multi-site sample QC, project coordination across academia and industry, and contributions to grant proposals for programs with combined budgets of approximately $3 million.</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300"/>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90" w:before="0" w:line="280"/>
      </w:pPr>
      <w:hyperlink w:history="1" r:id="rIdx_mjxflh7uusfcpufx6d1">
        <w:r>
          <w:rPr>
            <w:rFonts w:ascii="Arial" w:cs="Arial" w:eastAsia="Arial" w:hAnsi="Arial"/>
            <w:color w:val="2F5FE0"/>
            <w:sz w:val="18"/>
            <w:szCs w:val="18"/>
            <w:u w:val="single"/>
          </w:rPr>
          <w:t xml:space="preserve">Google Scholar · Full Profile, Citations &amp; h-index ↗</w:t>
        </w:r>
      </w:hyperlink>
    </w:p>
    <w:p>
      <w:pPr>
        <w:keepNext/>
        <w:spacing w:after="70" w:before="160" w:line="300"/>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2026</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2025</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2xrrzp_by7zicowvfzlen">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Built the brain-to-single-cell path from whole-brain harvest through enzymatic digestion, Percoll enrichment and FACS to 10x; identified exhausted CD8⁺ tissue-resident memory T cells engaging choroid-plexus epithelium at the blood–CSF barrier.</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2025</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f7enctfgnuethxufgbvox">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2024</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7t40h_uczk1d3ob75vet">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Long-term diabetes control with a tofacitinib-based regimen after allo-islet transplantation in rhesus macaques, with longitudinal immune monitoring.</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2022</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kh1wovhj6dscv4jqfg3tb">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2019</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eoc4frvswpurd6kyahatv">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70" w:before="160" w:line="300"/>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2024</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f3zfznseczmr7tts4b4ab">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2024</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ca63ntykztqugdwxmsie5">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2023</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2022</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2021</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lt6v0hqxu9evin-4fxaad">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2020</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2019</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70" w:before="160" w:line="300"/>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Machine-learning</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phenotyping</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Current work at Yonsei is </w:t>
            </w:r>
            <w:r>
              <w:rPr>
                <w:rFonts w:ascii="Arial" w:cs="Arial" w:eastAsia="Arial" w:hAnsi="Arial"/>
                <w:b/>
                <w:bCs/>
                <w:color w:val="1C2128"/>
                <w:sz w:val="20"/>
                <w:szCs w:val="20"/>
              </w:rPr>
              <w:t xml:space="preserve">deep-learning multimodal integration</w:t>
            </w:r>
            <w:r>
              <w:rPr>
                <w:rFonts w:ascii="Arial" w:cs="Arial" w:eastAsia="Arial" w:hAnsi="Arial"/>
                <w:color w:val="1C2128"/>
                <w:sz w:val="20"/>
                <w:szCs w:val="20"/>
              </w:rPr>
              <w:t xml:space="preserve">, fusing imaging, transcriptomic and clinical data into single predictive models. Cell-state programs defined by </w:t>
            </w:r>
            <w:r>
              <w:rPr>
                <w:rFonts w:ascii="Arial" w:cs="Arial" w:eastAsia="Arial" w:hAnsi="Arial"/>
                <w:b/>
                <w:bCs/>
                <w:color w:val="1C2128"/>
                <w:sz w:val="20"/>
                <w:szCs w:val="20"/>
              </w:rPr>
              <w:t xml:space="preserve">consensus NMF</w:t>
            </w:r>
            <w:r>
              <w:rPr>
                <w:rFonts w:ascii="Arial" w:cs="Arial" w:eastAsia="Arial" w:hAnsi="Arial"/>
                <w:color w:val="1C2128"/>
                <w:sz w:val="20"/>
                <w:szCs w:val="20"/>
              </w:rPr>
              <w:t xml:space="preserve"> (k = 14 → 12 reproducible programs across 251,055 cells), then a condition classifier on subset composition reported with held-out AUC and 95% confidence intervals (arthritis 0.780, healthy control 0.771, psoriasis 0.806). </w:t>
            </w:r>
            <w:r>
              <w:rPr>
                <w:rFonts w:ascii="Arial" w:cs="Arial" w:eastAsia="Arial" w:hAnsi="Arial"/>
                <w:b/>
                <w:bCs/>
                <w:color w:val="1C2128"/>
                <w:sz w:val="20"/>
                <w:szCs w:val="20"/>
              </w:rPr>
              <w:t xml:space="preserve">PyTorch</w:t>
            </w:r>
            <w:r>
              <w:rPr>
                <w:rFonts w:ascii="Arial" w:cs="Arial" w:eastAsia="Arial" w:hAnsi="Arial"/>
                <w:color w:val="1C2128"/>
                <w:sz w:val="20"/>
                <w:szCs w:val="20"/>
              </w:rPr>
              <w:t xml:space="preserve">, scikit-learn, XGBoost/LightGBM/CatBoost. Quantitative image analysis on IHC/IF, frozen and FFPE.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Skin and pigmented</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tissue</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Five human-skin papers: atopic dermatitis (</w:t>
            </w:r>
            <w:r>
              <w:rPr>
                <w:rFonts w:ascii="Arial" w:cs="Arial" w:eastAsia="Arial" w:hAnsi="Arial"/>
                <w:i/>
                <w:iCs/>
                <w:color w:val="1C2128"/>
                <w:sz w:val="20"/>
                <w:szCs w:val="20"/>
              </w:rPr>
              <w:t xml:space="preserve">Allergy</w:t>
            </w:r>
            <w:r>
              <w:rPr>
                <w:rFonts w:ascii="Arial" w:cs="Arial" w:eastAsia="Arial" w:hAnsi="Arial"/>
                <w:color w:val="1C2128"/>
                <w:sz w:val="20"/>
                <w:szCs w:val="20"/>
              </w:rPr>
              <w:t xml:space="preserve"> 2025, co-first), psoriasis (</w:t>
            </w:r>
            <w:r>
              <w:rPr>
                <w:rFonts w:ascii="Arial" w:cs="Arial" w:eastAsia="Arial" w:hAnsi="Arial"/>
                <w:i/>
                <w:iCs/>
                <w:color w:val="1C2128"/>
                <w:sz w:val="20"/>
                <w:szCs w:val="20"/>
              </w:rPr>
              <w:t xml:space="preserve">eBioMedicine</w:t>
            </w:r>
            <w:r>
              <w:rPr>
                <w:rFonts w:ascii="Arial" w:cs="Arial" w:eastAsia="Arial" w:hAnsi="Arial"/>
                <w:color w:val="1C2128"/>
                <w:sz w:val="20"/>
                <w:szCs w:val="20"/>
              </w:rPr>
              <w:t xml:space="preserve"> 2024), mycosis-fungoides-like AD (</w:t>
            </w:r>
            <w:r>
              <w:rPr>
                <w:rFonts w:ascii="Arial" w:cs="Arial" w:eastAsia="Arial" w:hAnsi="Arial"/>
                <w:i/>
                <w:iCs/>
                <w:color w:val="1C2128"/>
                <w:sz w:val="20"/>
                <w:szCs w:val="20"/>
              </w:rPr>
              <w:t xml:space="preserve">Allergy</w:t>
            </w:r>
            <w:r>
              <w:rPr>
                <w:rFonts w:ascii="Arial" w:cs="Arial" w:eastAsia="Arial" w:hAnsi="Arial"/>
                <w:color w:val="1C2128"/>
                <w:sz w:val="20"/>
                <w:szCs w:val="20"/>
              </w:rPr>
              <w:t xml:space="preserve"> 2026), and two on melanoma arising from congenital melanocytic nevus (</w:t>
            </w:r>
            <w:r>
              <w:rPr>
                <w:rFonts w:ascii="Arial" w:cs="Arial" w:eastAsia="Arial" w:hAnsi="Arial"/>
                <w:i/>
                <w:iCs/>
                <w:color w:val="1C2128"/>
                <w:sz w:val="20"/>
                <w:szCs w:val="20"/>
              </w:rPr>
              <w:t xml:space="preserve">JEADV</w:t>
            </w:r>
            <w:r>
              <w:rPr>
                <w:rFonts w:ascii="Arial" w:cs="Arial" w:eastAsia="Arial" w:hAnsi="Arial"/>
                <w:color w:val="1C2128"/>
                <w:sz w:val="20"/>
                <w:szCs w:val="20"/>
              </w:rPr>
              <w:t xml:space="preserve"> 2022 co-first, 2024).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on the nevus melanoma, including S100B melanocyte-marker immunofluorescence stained by hand, depth-segmented sampling, and 16 whole-transcriptome ROIs. Skin tissue dissociation, frozen and FFPE IHC/IF.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90" w:before="0" w:line="300"/>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am2xbxplb03srf8vprq3c">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70" w:before="160" w:line="300"/>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70" w:before="160" w:line="300"/>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70" w:before="160" w:line="300"/>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70" w:before="160" w:line="300"/>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Funding Agency / Sponsor</w:t>
            </w:r>
          </w:p>
        </w:tc>
        <w:tc>
          <w:tcPr>
            <w:tcW w:type="dxa" w:w="31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Project</w:t>
            </w:r>
          </w:p>
        </w:tc>
        <w:tc>
          <w:tcPr>
            <w:tcW w:type="dxa" w:w="12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Period</w:t>
            </w:r>
          </w:p>
        </w:tc>
        <w:tc>
          <w:tcPr>
            <w:tcW w:type="dxa" w:w="12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Budget (USD)</w:t>
            </w:r>
          </w:p>
        </w:tc>
        <w:tc>
          <w:tcPr>
            <w:tcW w:type="dxa" w:w="34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Role / Contribution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Korea Drug Development Fund (KDDF)</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2021–2023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~$571,000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Korea Drug Development Fund (KDDF)</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2022–2024</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~$321,000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SMEs and Startups (MSS)</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Scale-up Funding for Tech Commercialization</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~$222,000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SMEs and Startups (MSS)</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2021–2022</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~$74,000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NAVER Corporation</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2023–2026</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~$128,000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Proposal &amp; study design (~50%)</w:t>
            </w:r>
          </w:p>
        </w:tc>
      </w:tr>
    </w:tbl>
    <w:p>
      <w:pPr>
        <w:keepNext/>
        <w:spacing w:after="70" w:before="160" w:line="300"/>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Funding Agency / Sponsor</w:t>
            </w:r>
          </w:p>
        </w:tc>
        <w:tc>
          <w:tcPr>
            <w:tcW w:type="dxa" w:w="31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Project</w:t>
            </w:r>
          </w:p>
        </w:tc>
        <w:tc>
          <w:tcPr>
            <w:tcW w:type="dxa" w:w="12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Period</w:t>
            </w:r>
          </w:p>
        </w:tc>
        <w:tc>
          <w:tcPr>
            <w:tcW w:type="dxa" w:w="12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Budget (USD)</w:t>
            </w:r>
          </w:p>
        </w:tc>
        <w:tc>
          <w:tcPr>
            <w:tcW w:type="dxa" w:w="34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Role / Contribution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Science and ICT (MSIT)</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2022–2028 (3+3)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~$1.6M</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2020–2021</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~$40,000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Grant writing, experimental design &amp; technical validation</w:t>
            </w:r>
          </w:p>
        </w:tc>
      </w:tr>
    </w:tbl>
    <w:p>
      <w:pPr>
        <w:spacing w:after="90" w:before="0" w:line="28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Year</w:t>
            </w:r>
          </w:p>
        </w:tc>
        <w:tc>
          <w:tcPr>
            <w:tcW w:type="dxa" w:w="205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Mentee / role at time</w:t>
            </w:r>
          </w:p>
        </w:tc>
        <w:tc>
          <w:tcPr>
            <w:tcW w:type="dxa" w:w="421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Current affiliation</w:t>
            </w:r>
          </w:p>
        </w:tc>
        <w:tc>
          <w:tcPr>
            <w:tcW w:type="dxa" w:w="3564"/>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Research training</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2016</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300"/>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300"/>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300"/>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300"/>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MIT Jameel Clinic</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_mjxflh7uusfcpufx6d1" Type="http://schemas.openxmlformats.org/officeDocument/2006/relationships/hyperlink" Target="https://scholar.google.com/citations?hl=ko&amp;user=tMsQgs8AAAAJ" TargetMode="External"/><Relationship Id="rId2xrrzp_by7zicowvfzlen" Type="http://schemas.openxmlformats.org/officeDocument/2006/relationships/hyperlink" Target="file:///Users/kang/CC/PostDoc-apply/02_CV/%ED%98%84%EC%9E%AC/Seong-Jun-CV/papers/2025_JNI_Alzheimer_scRNAseq.pdf" TargetMode="External"/><Relationship Id="rIdf7enctfgnuethxufgbvox" Type="http://schemas.openxmlformats.org/officeDocument/2006/relationships/hyperlink" Target="file:///Users/kang/CC/PostDoc-apply/02_CV/%ED%98%84%EC%9E%AC/Seong-Jun-CV/papers/2025_Allergy_AD_Treg.pdf" TargetMode="External"/><Relationship Id="rId-7t40h_uczk1d3ob75vet" Type="http://schemas.openxmlformats.org/officeDocument/2006/relationships/hyperlink" Target="file:///Users/kang/CC/PostDoc-apply/02_CV/%ED%98%84%EC%9E%AC/Seong-Jun-CV/papers/2024_Xenotransplantation_tofacitinib.pdf" TargetMode="External"/><Relationship Id="rIdkh1wovhj6dscv4jqfg3tb" Type="http://schemas.openxmlformats.org/officeDocument/2006/relationships/hyperlink" Target="file:///Users/kang/CC/PostDoc-apply/02_CV/%ED%98%84%EC%9E%AC/Seong-Jun-CV/papers/2022_JEADV_melanoma_spatial.pdf" TargetMode="External"/><Relationship Id="rIdeoc4frvswpurd6kyahatv" Type="http://schemas.openxmlformats.org/officeDocument/2006/relationships/hyperlink" Target="file:///Users/kang/CC/PostDoc-apply/02_CV/%ED%98%84%EC%9E%AC/Seong-Jun-CV/papers/2019_Islets_JAK3_isletTx.pdf" TargetMode="External"/><Relationship Id="rIdf3zfznseczmr7tts4b4ab" Type="http://schemas.openxmlformats.org/officeDocument/2006/relationships/hyperlink" Target="file:///Users/kang/CC/PostDoc-apply/02_CV/%ED%98%84%EC%9E%AC/Seong-Jun-CV/papers/2024_eBioMedicine_psoriasis_Treg.pdf" TargetMode="External"/><Relationship Id="rIdca63ntykztqugdwxmsie5" Type="http://schemas.openxmlformats.org/officeDocument/2006/relationships/hyperlink" Target="file:///Users/kang/CC/PostDoc-apply/02_CV/%ED%98%84%EC%9E%AC/Seong-Jun-CV/papers/2024_JEADV_melanoma_immune.pdf" TargetMode="External"/><Relationship Id="rIdlt6v0hqxu9evin-4fxaad" Type="http://schemas.openxmlformats.org/officeDocument/2006/relationships/hyperlink" Target="file:///Users/kang/CC/PostDoc-apply/02_CV/%ED%98%84%EC%9E%AC/Seong-Jun-CV/papers/2021_CurrDiabRep_xeno_review.pdf" TargetMode="External"/><Relationship Id="rIdam2xbxplb03srf8vprq3c"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2026-09-24T18:43:50.872Z</dcterms:created>
  <dcterms:modified xsi:type="dcterms:W3CDTF">2026-09-24T18:43:50.872Z</dcterms:modified>
</cp:coreProperties>
</file>

<file path=docProps/custom.xml><?xml version="1.0" encoding="utf-8"?>
<Properties xmlns="http://schemas.openxmlformats.org/officeDocument/2006/custom-properties" xmlns:vt="http://schemas.openxmlformats.org/officeDocument/2006/docPropsVTypes"/>
</file>