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90"/>
            </w:pPr>
            <w:r>
              <w:rPr>
                <w:rFonts w:ascii="Arial" w:cs="Arial" w:eastAsia="Arial" w:hAnsi="Arial"/>
                <w:color w:val="454C57"/>
                <w:sz w:val="21"/>
                <w:szCs w:val="21"/>
              </w:rPr>
              <w:t xml:space="preserve">Experimental immunology, binding assays, and single-cell analysis</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Keating Lab, MIT Department of Biology</w:t>
            </w:r>
          </w:p>
        </w:tc>
        <w:tc>
          <w:tcPr>
            <w:tcW w:type="dxa" w:w="3200"/>
            <w:tcBorders>
              <w:top w:val="none" w:color="FFFFFF" w:sz="0"/>
              <w:left w:val="none" w:color="FFFFFF" w:sz="0"/>
              <w:bottom w:val="none" w:color="FFFFFF" w:sz="0"/>
              <w:right w:val="none" w:color="FFFFFF" w:sz="0"/>
            </w:tcBorders>
          </w:tcPr>
          <w:p>
            <w:pPr>
              <w:spacing w:after="0" w:before="0" w:line="264"/>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40" w:before="0" w:line="324"/>
      </w:pPr>
      <w:r>
        <w:rPr>
          <w:rFonts w:ascii="Arial" w:cs="Arial" w:eastAsia="Arial" w:hAnsi="Arial"/>
          <w:color w:val="454C57"/>
          <w:sz w:val="21"/>
          <w:szCs w:val="21"/>
        </w:rPr>
        <w:t xml:space="preserve">I am an immunologist with hands-on experience in Biacore SPR, ELISA, therapeutic antibody evaluation, and primary-cell functional assays. At PB Immune Therapeutics, I led anti-CD40 candidate evaluation and coordinated external studies from assay specification through data review and advancement decisions. I would bring binding measurements, experimental troubleshooting, and synthesis-and-testing coordination to the Keating Lab's peptide design campaign.</w:t>
      </w:r>
    </w:p>
    <w:p>
      <w:pPr>
        <w:keepNext/>
        <w:pBdr>
          <w:bottom w:val="single" w:color="0F1115" w:sz="12"/>
        </w:pBdr>
        <w:spacing w:after="95" w:before="180"/>
      </w:pPr>
      <w:r>
        <w:rPr>
          <w:rFonts w:ascii="Arial" w:cs="Arial" w:eastAsia="Arial" w:hAnsi="Arial"/>
          <w:b/>
          <w:bCs/>
          <w:color w:val="0F1115"/>
          <w:sz w:val="27"/>
          <w:szCs w:val="27"/>
        </w:rPr>
        <w:t xml:space="preserve">RESEARCH &amp; TECHNICAL EXPERTISE</w:t>
      </w:r>
    </w:p>
    <w:p>
      <w:pPr>
        <w:pStyle w:val="ListParagraph"/>
        <w:numPr>
          <w:ilvl w:val="0"/>
          <w:numId w:val="2"/>
        </w:numPr>
        <w:spacing w:after="90" w:before="0" w:line="300"/>
      </w:pPr>
      <w:r>
        <w:rPr>
          <w:rFonts w:ascii="Arial" w:cs="Arial" w:eastAsia="Arial" w:hAnsi="Arial"/>
          <w:b/>
          <w:bCs/>
          <w:color w:val="1C2128"/>
          <w:sz w:val="19"/>
          <w:szCs w:val="19"/>
        </w:rPr>
        <w:t xml:space="preserve">Single-cell and multimodal profiling.</w:t>
      </w:r>
      <w:r>
        <w:rPr>
          <w:rFonts w:ascii="Arial" w:cs="Arial" w:eastAsia="Arial" w:hAnsi="Arial"/>
          <w:color w:val="1C2128"/>
          <w:sz w:val="19"/>
          <w:szCs w:val="19"/>
        </w:rPr>
        <w:t xml:space="preserve"> 10x single-cell workflows, end-to-end GeoMx DSP, Visium spatial transcriptomics, MACSima multiplexed imaging, high-parameter flow cytometry, and Olink targeted proteomics.</w:t>
      </w:r>
    </w:p>
    <w:p>
      <w:pPr>
        <w:pStyle w:val="ListParagraph"/>
        <w:numPr>
          <w:ilvl w:val="0"/>
          <w:numId w:val="2"/>
        </w:numPr>
        <w:spacing w:after="90" w:before="0" w:line="300"/>
      </w:pPr>
      <w:r>
        <w:rPr>
          <w:rFonts w:ascii="Arial" w:cs="Arial" w:eastAsia="Arial" w:hAnsi="Arial"/>
          <w:b/>
          <w:bCs/>
          <w:color w:val="1C2128"/>
          <w:sz w:val="19"/>
          <w:szCs w:val="19"/>
        </w:rPr>
        <w:t xml:space="preserve">Computational analysis and AI-driven drug discovery.</w:t>
      </w:r>
      <w:r>
        <w:rPr>
          <w:rFonts w:ascii="Arial" w:cs="Arial" w:eastAsia="Arial" w:hAnsi="Arial"/>
          <w:color w:val="1C2128"/>
          <w:sz w:val="19"/>
          <w:szCs w:val="19"/>
        </w:rPr>
        <w:t xml:space="preserve"> Sequencing-data analysis in Python and R using statistical and machine-learning tools; multimodal integration and donor- or case-level evaluation. AI-driven drug discovery workflows spanning target discovery, binding prediction, virtual screening, and lead optimization.</w:t>
      </w:r>
    </w:p>
    <w:p>
      <w:pPr>
        <w:pStyle w:val="ListParagraph"/>
        <w:numPr>
          <w:ilvl w:val="0"/>
          <w:numId w:val="2"/>
        </w:numPr>
        <w:spacing w:after="90" w:before="0" w:line="300"/>
      </w:pPr>
      <w:r>
        <w:rPr>
          <w:rFonts w:ascii="Arial" w:cs="Arial" w:eastAsia="Arial" w:hAnsi="Arial"/>
          <w:b/>
          <w:bCs/>
          <w:color w:val="1C2128"/>
          <w:sz w:val="19"/>
          <w:szCs w:val="19"/>
        </w:rPr>
        <w:t xml:space="preserve">Cellular and molecular assays.</w:t>
      </w:r>
      <w:r>
        <w:rPr>
          <w:rFonts w:ascii="Arial" w:cs="Arial" w:eastAsia="Arial" w:hAnsi="Arial"/>
          <w:color w:val="1C2128"/>
          <w:sz w:val="19"/>
          <w:szCs w:val="19"/>
        </w:rPr>
        <w:t xml:space="preserve"> Primary-cell culture and immune-cell functional assays; DNA, RNA, and protein workflows, including qRT-PCR, cloning, and Western blotting; Biacore SPR and ELISA binding assays.</w:t>
      </w:r>
    </w:p>
    <w:p>
      <w:pPr>
        <w:pStyle w:val="ListParagraph"/>
        <w:numPr>
          <w:ilvl w:val="0"/>
          <w:numId w:val="2"/>
        </w:numPr>
        <w:spacing w:after="90" w:before="0" w:line="300"/>
      </w:pPr>
      <w:r>
        <w:rPr>
          <w:rFonts w:ascii="Arial" w:cs="Arial" w:eastAsia="Arial" w:hAnsi="Arial"/>
          <w:b/>
          <w:bCs/>
          <w:color w:val="1C2128"/>
          <w:sz w:val="19"/>
          <w:szCs w:val="19"/>
        </w:rPr>
        <w:t xml:space="preserve">Animal models and immune monitoring.</w:t>
      </w:r>
      <w:r>
        <w:rPr>
          <w:rFonts w:ascii="Arial" w:cs="Arial" w:eastAsia="Arial" w:hAnsi="Arial"/>
          <w:color w:val="1C2128"/>
          <w:sz w:val="19"/>
          <w:szCs w:val="19"/>
        </w:rPr>
        <w:t xml:space="preserve"> EAE and Alzheimer's disease models; skin- and islet-transplantation studies; animal breeding, non-human-primate sampling, and longitudinal immune monitoring.</w:t>
      </w:r>
    </w:p>
    <w:p>
      <w:pPr>
        <w:pStyle w:val="ListParagraph"/>
        <w:numPr>
          <w:ilvl w:val="0"/>
          <w:numId w:val="2"/>
        </w:numPr>
        <w:spacing w:after="90" w:before="0" w:line="300"/>
      </w:pPr>
      <w:r>
        <w:rPr>
          <w:rFonts w:ascii="Arial" w:cs="Arial" w:eastAsia="Arial" w:hAnsi="Arial"/>
          <w:b/>
          <w:bCs/>
          <w:color w:val="1C2128"/>
          <w:sz w:val="19"/>
          <w:szCs w:val="19"/>
        </w:rPr>
        <w:t xml:space="preserve">Research coordination and grant writing.</w:t>
      </w:r>
      <w:r>
        <w:rPr>
          <w:rFonts w:ascii="Arial" w:cs="Arial" w:eastAsia="Arial" w:hAnsi="Arial"/>
          <w:color w:val="1C2128"/>
          <w:sz w:val="19"/>
          <w:szCs w:val="19"/>
        </w:rPr>
        <w:t xml:space="preserve"> Multi-site sample QC, project coordination across academia and industry, and contributions to grant proposals for programs with combined budgets of approximately $3 million.</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300"/>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90" w:before="0" w:line="280"/>
      </w:pPr>
      <w:hyperlink w:history="1" r:id="rIdnpuu_stmdxt9uqeghm3hv">
        <w:r>
          <w:rPr>
            <w:rFonts w:ascii="Arial" w:cs="Arial" w:eastAsia="Arial" w:hAnsi="Arial"/>
            <w:color w:val="2F5FE0"/>
            <w:sz w:val="18"/>
            <w:szCs w:val="18"/>
            <w:u w:val="single"/>
          </w:rPr>
          <w:t xml:space="preserve">Google Scholar · Full Profile, Citations &amp; h-index ↗</w:t>
        </w:r>
      </w:hyperlink>
    </w:p>
    <w:p>
      <w:pPr>
        <w:keepNext/>
        <w:spacing w:after="70" w:before="160" w:line="300"/>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2026</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Isoform analysis of 251,055 memory CD4-positive T cells identified a PDE4D short-isoform bias in pathogenic Th1.17 cells. The study also tested selective inhibition.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rwze6paxfg8dpzu4tjnjs">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Immune-enriched single-cell analysis of 11,587 mouse brain cells examined CD8-positive resident memory T cells and their interactions with choroid plexus epithelium.</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2025</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g75brmmng1t3sfki3i-xi">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profiling and functional assays examined skin-homing regulatory T cells in atopic dermatitis. OX40 was increased alongside impaired suppressive function.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2024</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zz4tmy-hxb42wqaucd48w">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A tofacitinib-based regimen supported long-term diabetes control after islet allotransplantation in rhesus macaques. The work included longitudinal immune monitoring.</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2022</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hxep8sx3_s1xtnwgyfnqg">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GeoMx profiling across 16 regions examined melanoma heterogeneity by invasion depth. HLA class I and II expression decreased with greater invasion.</w:t>
            </w:r>
          </w:p>
        </w:tc>
      </w:tr>
      <w:tr>
        <w:trPr>
          <w:cantSplit/>
        </w:trPr>
        <w:tc>
          <w:tcPr>
            <w:tcW w:type="dxa" w:w="820"/>
            <w:tcBorders>
              <w:top w:val="none" w:color="FFFFFF" w:sz="0"/>
              <w:left w:val="single" w:color="34618C" w:sz="24"/>
              <w:bottom w:val="single" w:color="FFFFFF" w:sz="4"/>
              <w:right w:val="none" w:color="FFFFFF" w:sz="0"/>
            </w:tcBorders>
            <w:shd w:fill="EAF0F6" w:color="auto" w:val="clear"/>
            <w:tcMar>
              <w:top w:type="dxa" w:w="110"/>
              <w:left w:type="dxa" w:w="120"/>
              <w:bottom w:type="dxa" w:w="120"/>
              <w:right w:type="dxa" w:w="130"/>
            </w:tcMar>
          </w:tcPr>
          <w:p>
            <w:pPr>
              <w:spacing w:after="0" w:before="0" w:line="320"/>
              <w:jc w:val="right"/>
            </w:pPr>
            <w:r>
              <w:rPr>
                <w:rFonts w:ascii="Arial" w:cs="Arial" w:eastAsia="Arial" w:hAnsi="Arial"/>
                <w:b/>
                <w:bCs/>
                <w:color w:val="34618C"/>
                <w:sz w:val="18"/>
                <w:szCs w:val="18"/>
              </w:rPr>
              <w:t xml:space="preserve">2019</w:t>
            </w:r>
          </w:p>
        </w:tc>
        <w:tc>
          <w:tcPr>
            <w:tcW w:type="dxa" w:w="9980"/>
            <w:tcBorders>
              <w:top w:val="none" w:color="FFFFFF" w:sz="0"/>
              <w:left w:val="none" w:color="FFFFFF" w:sz="0"/>
              <w:bottom w:val="single" w:color="FFFFFF" w:sz="4"/>
              <w:right w:val="none" w:color="FFFFFF" w:sz="0"/>
            </w:tcBorders>
            <w:shd w:fill="EAF0F6" w:color="auto" w:val="clear"/>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iqj7ptkprxim61xtvo0az">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The study tested JAK3 inhibitor-based immunosuppression in cynomolgus macaques receiving allogeneic islet transplants, as an approach to controlling transplant rejection.</w:t>
            </w:r>
          </w:p>
        </w:tc>
      </w:tr>
    </w:tbl>
    <w:p>
      <w:pPr>
        <w:keepNext/>
        <w:spacing w:after="70" w:before="160" w:line="300"/>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Single-cell RNA and TCR analysis identified a reactive, oligoclonal Th22 endotype in mycosis fungoides-like atopic dermatitis. The study distinguished this inflammatory state from malignancy.</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q9hbveypyz0he7jufdbxw">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High-dimensional immune profiling examined regulatory T cells in psoriasis. The study identified an impaired skin-trafficking phenotype in this population.</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2024</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_bkjswia_yxwpezcfmbtz">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GeoMx spatial transcriptomics examined tumour–immune cell interactions in melanoma arising from congenital melanocytic nevus, retaining the tissue locations of the measured gene expression.</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2023</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extracellular vesicles suppressed Th17 cells. The study linked this effect to destabilization of RORγt through post-translational modification.</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2022</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An optimized peptide inhibited calcineurin-mediated T-cell activation. The study examined peptide-based suppression of T-cell responses.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2021</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hfshptmnkua_uwe7ssnsh">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This review examined immunomodulatory approaches for porcine islet xenotransplantation, with a focus on strategies for controlling immune responses to transplanted islets.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2020</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Mesenchymal stem cell-derived exosomes suppressed T-cell proliferation. The study linked this effect to cell-cycle arrest through p27kip1/Cdk2 signaling.</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2019</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Peripheral-blood RNA sequencing was used to investigate late graft loss after hyperglycemia in pig-to-primate islet transplantation, using bioinformatic analysis of blood gene expression.</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examined IL-6 blockade in a pig-to-primate islet transplantation model. Blocking IL-6 was associated with delayed revascularization of the transplanted islets.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Preclinical pig-to-primate islet transplantation was studied under an anti-CD40 antibody regimen using 2C10R4, examining this approach to immunosuppression in the transplant setting.</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evaluated a JAK inhibitor as a replacement for tacrolimus in cynomolgus macaques receiving allogeneic islet transplants.</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2018</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r>
              <w:rPr>
                <w:rFonts w:ascii="Arial" w:cs="Arial" w:eastAsia="Arial" w:hAnsi="Arial"/>
                <w:color w:val="1C2128"/>
                <w:sz w:val="19"/>
                <w:szCs w:val="19"/>
              </w:rPr>
              <w:br/>
              <w:t xml:space="preserve"/>
            </w:r>
            <w:r>
              <w:rPr>
                <w:rFonts w:ascii="Arial" w:cs="Arial" w:eastAsia="Arial" w:hAnsi="Arial"/>
                <w:color w:val="454C57"/>
                <w:sz w:val="19"/>
                <w:szCs w:val="19"/>
              </w:rPr>
              <w:t xml:space="preserve">The study constructed EMSC–islet composites for xenogeneic porcine islet transplantation. It examined a design that placed the two cell components together.</w:t>
            </w:r>
          </w:p>
        </w:tc>
      </w:tr>
    </w:tbl>
    <w:p>
      <w:pPr>
        <w:keepNext/>
        <w:spacing w:after="70" w:before="160" w:line="300"/>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820"/>
        <w:gridCol w:w="9980"/>
      </w:tblGrid>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Work in preparation examines ACTA2 base editing and lymphatic function in MSMDS. My contribution included Olink plasma proteomics and lymph-node immune-cell profiling.</w:t>
            </w:r>
          </w:p>
        </w:tc>
      </w:tr>
      <w:tr>
        <w:trPr>
          <w:cantSplit/>
        </w:trPr>
        <w:tc>
          <w:tcPr>
            <w:tcW w:type="dxa" w:w="820"/>
            <w:tcBorders>
              <w:top w:val="none" w:color="FFFFFF" w:sz="0"/>
              <w:left w:val="none" w:color="FFFFFF" w:sz="0"/>
              <w:bottom w:val="single" w:color="D9DDE3" w:sz="3"/>
              <w:right w:val="none" w:color="FFFFFF" w:sz="0"/>
            </w:tcBorders>
            <w:tcMar>
              <w:top w:type="dxa" w:w="110"/>
              <w:left w:type="dxa" w:w="120"/>
              <w:bottom w:type="dxa" w:w="120"/>
              <w:right w:type="dxa" w:w="130"/>
            </w:tcMar>
          </w:tcPr>
          <w:p>
            <w:pPr>
              <w:spacing w:after="0" w:before="0" w:line="320"/>
              <w:jc w:val="right"/>
            </w:pPr>
            <w:r>
              <w:rPr>
                <w:rFonts w:ascii="Arial" w:cs="Arial" w:eastAsia="Arial" w:hAnsi="Arial"/>
                <w:b/>
                <w:bCs/>
                <w:color w:val="646C78"/>
                <w:sz w:val="18"/>
                <w:szCs w:val="18"/>
              </w:rPr>
              <w:t xml:space="preserve">2026</w:t>
            </w:r>
          </w:p>
        </w:tc>
        <w:tc>
          <w:tcPr>
            <w:tcW w:type="dxa" w:w="9980"/>
            <w:tcBorders>
              <w:top w:val="none" w:color="FFFFFF" w:sz="0"/>
              <w:left w:val="none" w:color="FFFFFF" w:sz="0"/>
              <w:bottom w:val="single" w:color="D9DDE3" w:sz="3"/>
              <w:right w:val="none" w:color="FFFFFF" w:sz="0"/>
            </w:tcBorders>
            <w:tcMar>
              <w:top w:type="dxa" w:w="110"/>
              <w:left w:type="dxa" w:w="70"/>
              <w:bottom w:type="dxa" w:w="120"/>
              <w:right w:type="dxa" w:w="120"/>
            </w:tcMar>
          </w:tcPr>
          <w:p>
            <w:pPr>
              <w:spacing w:after="0" w:before="0" w:line="320"/>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Therapeutic lead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development</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Humanized </w:t>
            </w:r>
            <w:r>
              <w:rPr>
                <w:rFonts w:ascii="Arial" w:cs="Arial" w:eastAsia="Arial" w:hAnsi="Arial"/>
                <w:b/>
                <w:bCs/>
                <w:color w:val="1C2128"/>
                <w:sz w:val="20"/>
                <w:szCs w:val="20"/>
              </w:rPr>
              <w:t xml:space="preserve">anti-CD40</w:t>
            </w:r>
            <w:r>
              <w:rPr>
                <w:rFonts w:ascii="Arial" w:cs="Arial" w:eastAsia="Arial" w:hAnsi="Arial"/>
                <w:color w:val="1C2128"/>
                <w:sz w:val="20"/>
                <w:szCs w:val="20"/>
              </w:rPr>
              <w:t xml:space="preserve"> antibody program from candidate comparison through non-human-primate studies. Assay design, external study coordination, raw-data review, regulatory documentation, and candidate-advancement decisions.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External studies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collaboration</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CRO and core-facility study design, assay specifications, data review, and milestone tracking. Participation in outsourced antibody and AAV manufacturing collaborations involving Samsung Biologics and WuXi. Participation in early joint-development research with Merck, CSL, and Johnson &amp; Johnson.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Binding kinetics</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and affinity</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90" w:before="0" w:line="300"/>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72tph5kimkms-yowyfyjw">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70" w:before="160" w:line="300"/>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70" w:before="160" w:line="300"/>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70" w:before="160" w:line="300"/>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90"/>
              <w:left w:type="dxa" w:w="0"/>
              <w:bottom w:type="dxa" w:w="90"/>
              <w:right w:type="dxa" w:w="180"/>
            </w:tcMar>
          </w:tcPr>
          <w:p>
            <w:pPr>
              <w:spacing w:after="0" w:before="0" w:line="29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90"/>
              <w:left w:type="dxa" w:w="120"/>
              <w:bottom w:type="dxa" w:w="90"/>
              <w:right w:type="dxa" w:w="0"/>
            </w:tcMar>
          </w:tcPr>
          <w:p>
            <w:pPr>
              <w:spacing w:after="0" w:before="0" w:line="312"/>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70" w:before="160" w:line="300"/>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~$571,000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Korea Drug Development Fund (KDDF)</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2022–2024</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~$321,000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Scale-up Funding for Tech Commercialization</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~$222,000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SMEs and Startups (MSS)</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2021–2022</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~$74,000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NAVER Corporation</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2023–2026</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~$128,000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Proposal &amp; study design (~50%)</w:t>
            </w:r>
          </w:p>
        </w:tc>
      </w:tr>
    </w:tbl>
    <w:p>
      <w:pPr>
        <w:keepNext/>
        <w:spacing w:after="70" w:before="160" w:line="300"/>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Funding Agency / Sponsor</w:t>
            </w:r>
          </w:p>
        </w:tc>
        <w:tc>
          <w:tcPr>
            <w:tcW w:type="dxa" w:w="31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Project</w:t>
            </w:r>
          </w:p>
        </w:tc>
        <w:tc>
          <w:tcPr>
            <w:tcW w:type="dxa" w:w="12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Period</w:t>
            </w:r>
          </w:p>
        </w:tc>
        <w:tc>
          <w:tcPr>
            <w:tcW w:type="dxa" w:w="125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Budget (USD)</w:t>
            </w:r>
          </w:p>
        </w:tc>
        <w:tc>
          <w:tcPr>
            <w:tcW w:type="dxa" w:w="3400"/>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Role / Contribution</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2022–2028 (3+3)</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~$1.6M</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2020–2021</w:t>
            </w:r>
          </w:p>
        </w:tc>
        <w:tc>
          <w:tcPr>
            <w:tcW w:type="dxa" w:w="125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~$40,000</w:t>
            </w:r>
          </w:p>
        </w:tc>
        <w:tc>
          <w:tcPr>
            <w:tcW w:type="dxa" w:w="3400"/>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Grant writing, experimental design &amp; technical validation</w:t>
            </w:r>
          </w:p>
        </w:tc>
      </w:tr>
    </w:tbl>
    <w:p>
      <w:pPr>
        <w:spacing w:after="90" w:before="0" w:line="280"/>
      </w:pPr>
      <w:r>
        <w:rPr>
          <w:rFonts w:ascii="Arial" w:cs="Arial" w:eastAsia="Arial" w:hAnsi="Arial"/>
          <w:color w:val="454C57"/>
          <w:sz w:val="18"/>
          <w:szCs w:val="18"/>
        </w:rPr>
        <w:t xml:space="preserve">I participated in proposal writing and project execution for the awards listed above. Budgets are approximate conversions at KRW 1,400 per USD. Project periods are award periods, not appointment dates.</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Year</w:t>
            </w:r>
          </w:p>
        </w:tc>
        <w:tc>
          <w:tcPr>
            <w:tcW w:type="dxa" w:w="205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Mentee / role at time</w:t>
            </w:r>
          </w:p>
        </w:tc>
        <w:tc>
          <w:tcPr>
            <w:tcW w:type="dxa" w:w="4212"/>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Current affiliation</w:t>
            </w:r>
          </w:p>
        </w:tc>
        <w:tc>
          <w:tcPr>
            <w:tcW w:type="dxa" w:w="3564"/>
            <w:shd w:fill="0F1115" w:color="FFFFFF" w:val="clear"/>
            <w:tcMar>
              <w:top w:type="dxa" w:w="80"/>
              <w:left w:type="dxa" w:w="80"/>
              <w:bottom w:type="dxa" w:w="80"/>
              <w:right w:type="dxa" w:w="80"/>
            </w:tcMar>
          </w:tcPr>
          <w:p>
            <w:pPr>
              <w:spacing w:after="0" w:before="0" w:line="256"/>
            </w:pPr>
            <w:r>
              <w:rPr>
                <w:rFonts w:ascii="Arial" w:cs="Arial" w:eastAsia="Arial" w:hAnsi="Arial"/>
                <w:b/>
                <w:bCs/>
                <w:color w:val="FFFFFF"/>
                <w:sz w:val="17"/>
                <w:szCs w:val="17"/>
              </w:rPr>
              <w:t xml:space="preserve">Research training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2016</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2021</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2022</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2023</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80"/>
              <w:left w:type="dxa" w:w="80"/>
              <w:bottom w:type="dxa" w:w="80"/>
              <w:right w:type="dxa" w:w="80"/>
            </w:tcMar>
          </w:tcPr>
          <w:p>
            <w:pPr>
              <w:spacing w:after="0" w:before="0" w:line="256"/>
            </w:pPr>
            <w:r>
              <w:rPr>
                <w:rFonts w:ascii="Arial" w:cs="Arial" w:eastAsia="Arial" w:hAnsi="Arial"/>
                <w:b w:val="false"/>
                <w:bCs w:val="false"/>
                <w:color w:val="34618C"/>
                <w:sz w:val="17"/>
                <w:szCs w:val="17"/>
              </w:rPr>
              <w:t xml:space="preserve">2024</w:t>
            </w:r>
          </w:p>
        </w:tc>
        <w:tc>
          <w:tcPr>
            <w:tcW w:type="dxa" w:w="205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80"/>
              <w:left w:type="dxa" w:w="80"/>
              <w:bottom w:type="dxa" w:w="80"/>
              <w:right w:type="dxa" w:w="80"/>
            </w:tcMar>
          </w:tcPr>
          <w:p>
            <w:pPr>
              <w:spacing w:after="0" w:before="0" w:line="256"/>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300"/>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300"/>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Keating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puu_stmdxt9uqeghm3hv" Type="http://schemas.openxmlformats.org/officeDocument/2006/relationships/hyperlink" Target="https://scholar.google.com/citations?hl=ko&amp;user=tMsQgs8AAAAJ" TargetMode="External"/><Relationship Id="rIdrwze6paxfg8dpzu4tjnjs" Type="http://schemas.openxmlformats.org/officeDocument/2006/relationships/hyperlink" Target="file:///Users/kang/CC/PostDoc-apply/02_CV/%ED%98%84%EC%9E%AC/Seong-Jun-CV/papers/2025_JNI_Alzheimer_scRNAseq.pdf" TargetMode="External"/><Relationship Id="rIdg75brmmng1t3sfki3i-xi" Type="http://schemas.openxmlformats.org/officeDocument/2006/relationships/hyperlink" Target="file:///Users/kang/CC/PostDoc-apply/02_CV/%ED%98%84%EC%9E%AC/Seong-Jun-CV/papers/2025_Allergy_AD_Treg.pdf" TargetMode="External"/><Relationship Id="rIdzz4tmy-hxb42wqaucd48w" Type="http://schemas.openxmlformats.org/officeDocument/2006/relationships/hyperlink" Target="file:///Users/kang/CC/PostDoc-apply/02_CV/%ED%98%84%EC%9E%AC/Seong-Jun-CV/papers/2024_Xenotransplantation_tofacitinib.pdf" TargetMode="External"/><Relationship Id="rIdhxep8sx3_s1xtnwgyfnqg" Type="http://schemas.openxmlformats.org/officeDocument/2006/relationships/hyperlink" Target="file:///Users/kang/CC/PostDoc-apply/02_CV/%ED%98%84%EC%9E%AC/Seong-Jun-CV/papers/2022_JEADV_melanoma_spatial.pdf" TargetMode="External"/><Relationship Id="rIdiqj7ptkprxim61xtvo0az" Type="http://schemas.openxmlformats.org/officeDocument/2006/relationships/hyperlink" Target="file:///Users/kang/CC/PostDoc-apply/02_CV/%ED%98%84%EC%9E%AC/Seong-Jun-CV/papers/2019_Islets_JAK3_isletTx.pdf" TargetMode="External"/><Relationship Id="rIdq9hbveypyz0he7jufdbxw" Type="http://schemas.openxmlformats.org/officeDocument/2006/relationships/hyperlink" Target="file:///Users/kang/CC/PostDoc-apply/02_CV/%ED%98%84%EC%9E%AC/Seong-Jun-CV/papers/2024_eBioMedicine_psoriasis_Treg.pdf" TargetMode="External"/><Relationship Id="rId_bkjswia_yxwpezcfmbtz" Type="http://schemas.openxmlformats.org/officeDocument/2006/relationships/hyperlink" Target="file:///Users/kang/CC/PostDoc-apply/02_CV/%ED%98%84%EC%9E%AC/Seong-Jun-CV/papers/2024_JEADV_melanoma_immune.pdf" TargetMode="External"/><Relationship Id="rIdhfshptmnkua_uwe7ssnsh" Type="http://schemas.openxmlformats.org/officeDocument/2006/relationships/hyperlink" Target="file:///Users/kang/CC/PostDoc-apply/02_CV/%ED%98%84%EC%9E%AC/Seong-Jun-CV/papers/2021_CurrDiabRep_xeno_review.pdf" TargetMode="External"/><Relationship Id="rId72tph5kimkms-yowyfyjw"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2026-09-24T18:43:57.465Z</dcterms:created>
  <dcterms:modified xsi:type="dcterms:W3CDTF">2026-09-24T18:43:57.465Z</dcterms:modified>
</cp:coreProperties>
</file>

<file path=docProps/custom.xml><?xml version="1.0" encoding="utf-8"?>
<Properties xmlns="http://schemas.openxmlformats.org/officeDocument/2006/custom-properties" xmlns:vt="http://schemas.openxmlformats.org/officeDocument/2006/docPropsVTypes"/>
</file>