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and computational biomedical scientist: multiplexed molecular imaging, single-cell and spatial biology, quantitative image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Bathe Lab, MIT Department of Biological Engineering</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working with primary mammalian cells, multiplexed protein and RNA measurements, and quantitative imaging. My hands-on experience includes end-to-end GeoMx DSP, MACSima cyclic immunofluorescence, confocal microscopy, and automated single-cell library preparation. I would apply donor-aware analysis and held-out evaluation to PRISM assay validation, imaging automation, and drug-response studies in human iPSC-derived neurons.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DNA/RNA processing; 10x Chromium scRNA-seq and GeoMx DSP spatial workflows; SPR and ELISA binding assays; and Olink proteomics.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non-human-primate studies, and proposal writing and execution for approximately $1.3 million in industry awards.</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ec0ujrhivj_lwawe84aim">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ydk5_6soaewel7euwluxt">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ltyy6brofothwzmiqv19o">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wysgqdt3jucwdmfzpkdrm">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c35xvcnoqyaj3ujvkg1gr">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s791izheohskjpqlk8sdu">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gksgkodfqll-bsbquhq5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owh_qvqbpyxk79vb0cpfe">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1_ax1fzedjfbdlopaa9bq">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Multiplexed in situ</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detection and imaging</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 slide preparation, oligonucleotide-barcoded probe hybridisation, immunofluorescence staining, fluorescence-guided ROI selection, instrument operation, UV cleavage and barcode collection.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 iterative stain–image–erase rounds on one section.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spatial transcriptomics. High-parameter fluorescence panel design up to 24 markers. </w:t>
            </w:r>
            <w:r>
              <w:rPr>
                <w:rFonts w:ascii="Arial" w:cs="Arial" w:eastAsia="Arial" w:hAnsi="Arial"/>
                <w:b/>
                <w:bCs/>
                <w:color w:val="1C2128"/>
                <w:sz w:val="20"/>
                <w:szCs w:val="20"/>
              </w:rPr>
              <w:t xml:space="preserve">Spinning-disk confocal (Nikon CSU-W1 SORA)</w:t>
            </w:r>
            <w:r>
              <w:rPr>
                <w:rFonts w:ascii="Arial" w:cs="Arial" w:eastAsia="Arial" w:hAnsi="Arial"/>
                <w:color w:val="1C2128"/>
                <w:sz w:val="20"/>
                <w:szCs w:val="20"/>
              </w:rPr>
              <w:t xml:space="preserve"> with quantitative image analysis.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High-content image</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data analysis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Segmentation, feature extraction and model scoring on public iPSC-neuron imaging screens. Batch- and donor-aware modelling, held-out evaluation, calibrated confidence. Automated library preparation on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7hdojk3vjsodmjd7amgkx">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Bathe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c0ujrhivj_lwawe84aim" Type="http://schemas.openxmlformats.org/officeDocument/2006/relationships/hyperlink" Target="https://scholar.google.com/citations?hl=ko&amp;user=tMsQgs8AAAAJ" TargetMode="External"/><Relationship Id="rIdydk5_6soaewel7euwluxt" Type="http://schemas.openxmlformats.org/officeDocument/2006/relationships/hyperlink" Target="file:///Users/kang/CC/PostDoc-apply/Seong-Jun-CV/papers/2025_JNI_Alzheimer_scRNAseq.pdf" TargetMode="External"/><Relationship Id="rIdltyy6brofothwzmiqv19o" Type="http://schemas.openxmlformats.org/officeDocument/2006/relationships/hyperlink" Target="file:///Users/kang/CC/PostDoc-apply/Seong-Jun-CV/papers/2025_Allergy_AD_Treg.pdf" TargetMode="External"/><Relationship Id="rIdwysgqdt3jucwdmfzpkdrm" Type="http://schemas.openxmlformats.org/officeDocument/2006/relationships/hyperlink" Target="file:///Users/kang/CC/PostDoc-apply/Seong-Jun-CV/papers/2024_Xenotransplantation_tofacitinib.pdf" TargetMode="External"/><Relationship Id="rIdc35xvcnoqyaj3ujvkg1gr" Type="http://schemas.openxmlformats.org/officeDocument/2006/relationships/hyperlink" Target="file:///Users/kang/CC/PostDoc-apply/Seong-Jun-CV/papers/2022_JEADV_melanoma_spatial.pdf" TargetMode="External"/><Relationship Id="rIds791izheohskjpqlk8sdu" Type="http://schemas.openxmlformats.org/officeDocument/2006/relationships/hyperlink" Target="file:///Users/kang/CC/PostDoc-apply/Seong-Jun-CV/papers/2019_Islets_JAK3_isletTx.pdf" TargetMode="External"/><Relationship Id="rIdgksgkodfqll-bsbquhq5g" Type="http://schemas.openxmlformats.org/officeDocument/2006/relationships/hyperlink" Target="file:///Users/kang/CC/PostDoc-apply/Seong-Jun-CV/papers/2024_eBioMedicine_psoriasis_Treg.pdf" TargetMode="External"/><Relationship Id="rIdowh_qvqbpyxk79vb0cpfe" Type="http://schemas.openxmlformats.org/officeDocument/2006/relationships/hyperlink" Target="file:///Users/kang/CC/PostDoc-apply/Seong-Jun-CV/papers/2024_JEADV_melanoma_immune.pdf" TargetMode="External"/><Relationship Id="rId1_ax1fzedjfbdlopaa9bq" Type="http://schemas.openxmlformats.org/officeDocument/2006/relationships/hyperlink" Target="file:///Users/kang/CC/PostDoc-apply/Seong-Jun-CV/papers/2021_CurrDiabRep_xeno_review.pdf" TargetMode="External"/><Relationship Id="rId7hdojk3vjsodmjd7amgkx"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2026-09-23T14:18:10.400Z</dcterms:created>
  <dcterms:modified xsi:type="dcterms:W3CDTF">2026-09-23T14:18:10.400Z</dcterms:modified>
</cp:coreProperties>
</file>

<file path=docProps/custom.xml><?xml version="1.0" encoding="utf-8"?>
<Properties xmlns="http://schemas.openxmlformats.org/officeDocument/2006/custom-properties" xmlns:vt="http://schemas.openxmlformats.org/officeDocument/2006/docPropsVTypes"/>
</file>