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Computational immunologist working in single-cell and spatial multi-omics of the immune system</w:t>
            </w:r>
            <w:r>
              <w:rPr>
                <w:rFonts w:ascii="Arial" w:cs="Arial" w:eastAsia="Arial" w:hAnsi="Arial"/>
                <w:color w:val="454C57"/>
                <w:sz w:val="21"/>
                <w:szCs w:val="21"/>
              </w:rPr>
              <w:br/>
              <w:t xml:space="preserve"/>
            </w:r>
            <w:r>
              <w:rPr>
                <w:rFonts w:ascii="Arial" w:cs="Arial" w:eastAsia="Arial" w:hAnsi="Arial"/>
                <w:color w:val="454C57"/>
                <w:sz w:val="21"/>
                <w:szCs w:val="21"/>
              </w:rPr>
              <w:t xml:space="preserve">Research Scientist applicant · Hyman Lab, MassGeneral Institute for Neurodegenerative Disease · transcriptomics and neurodegeneration</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specializing in computational single-cell analysis. I built a brain-immune workflow from tissue preparation through 10x sequencing and analysis in a 5xFAD mouse model, and I analyze disease-associated cell states across large human immune atlases. I would contribute an immune-cell perspective and donor-aware evaluation to human brain transcriptomics.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DNA/RNA processing; 10x Chromium scRNA-seq and GeoMx DSP spatial workflows; SPR and ELISA binding assays; and Olink proteomics.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non-human-primate studies, and proposal writing and execution for approximately $1.3 million in industry awards.</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lomx2e7wgwmawluv0xt1g">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x1oufkjxixdpernemfqny">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dial3rh5emji_ajowzuwb">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k3ecutmvopwfb4y3p7kor">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73accmku1c_idybhvaro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6kbqb6fhorkh02yfz-lbs">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rmh4v7vmt3stz7g59qjoq">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shf9ushwt8vzaz63wncaw">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jt_pxb-9q8q8-ptlmnova">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Brain and CNS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Mouse brain immune profiling run end to end: whole-brain harvest, enzymatic digestion, Percoll enrichment, CD45⁺ FACS, 10x library generation, and the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first author; 5xFAD model, 11,587 cells, 10 immune populations). Neuro-immune analysis of choroid plexus epithelium and infiltrating CD8⁺ resident-memory T cells at the blood–CSF barrier. Non-human-primate CNS tissue, brain and spinal cord, across rhesus, cynomolgus and marmoset studies, including EAE models of multiple sclerosis.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Cell-state calling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its checks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gene programs (k = 14 → 12 reproducible programs across 251,055 memory CD4⁺ T cells). Custom UMI-aware, BAM-level isoform code (Python) resolving PDE4D short- versus long-isoform identity from 5′ reads, which a count matrix cannot separate. </w:t>
            </w:r>
            <w:r>
              <w:rPr>
                <w:rFonts w:ascii="Arial" w:cs="Arial" w:eastAsia="Arial" w:hAnsi="Arial"/>
                <w:b/>
                <w:bCs/>
                <w:color w:val="1C2128"/>
                <w:sz w:val="20"/>
                <w:szCs w:val="20"/>
              </w:rPr>
              <w:t xml:space="preserve">Milo</w:t>
            </w:r>
            <w:r>
              <w:rPr>
                <w:rFonts w:ascii="Arial" w:cs="Arial" w:eastAsia="Arial" w:hAnsi="Arial"/>
                <w:color w:val="1C2128"/>
                <w:sz w:val="20"/>
                <w:szCs w:val="20"/>
              </w:rPr>
              <w:t xml:space="preserve"> KNN-graph differential abundance; </w:t>
            </w:r>
            <w:r>
              <w:rPr>
                <w:rFonts w:ascii="Arial" w:cs="Arial" w:eastAsia="Arial" w:hAnsi="Arial"/>
                <w:b/>
                <w:bCs/>
                <w:color w:val="1C2128"/>
                <w:sz w:val="20"/>
                <w:szCs w:val="20"/>
              </w:rPr>
              <w:t xml:space="preserve">scVI/scANVI</w:t>
            </w:r>
            <w:r>
              <w:rPr>
                <w:rFonts w:ascii="Arial" w:cs="Arial" w:eastAsia="Arial" w:hAnsi="Arial"/>
                <w:color w:val="1C2128"/>
                <w:sz w:val="20"/>
                <w:szCs w:val="20"/>
              </w:rPr>
              <w:t xml:space="preserve"> integration; condition classifiers reported with held-out AUC and confidence intervals. Multi-site sample QC, milestone tracking and multi-PI coordination across a 700-donor, 8-organ atlas (SCAID).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kx2i4jn5ben31vj2a8weq">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Hyman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omx2e7wgwmawluv0xt1g" Type="http://schemas.openxmlformats.org/officeDocument/2006/relationships/hyperlink" Target="https://scholar.google.com/citations?hl=ko&amp;user=tMsQgs8AAAAJ" TargetMode="External"/><Relationship Id="rIdx1oufkjxixdpernemfqny" Type="http://schemas.openxmlformats.org/officeDocument/2006/relationships/hyperlink" Target="file:///Users/kang/CC/PostDoc-apply/Seong-Jun-CV/papers/2025_JNI_Alzheimer_scRNAseq.pdf" TargetMode="External"/><Relationship Id="rIddial3rh5emji_ajowzuwb" Type="http://schemas.openxmlformats.org/officeDocument/2006/relationships/hyperlink" Target="file:///Users/kang/CC/PostDoc-apply/Seong-Jun-CV/papers/2025_Allergy_AD_Treg.pdf" TargetMode="External"/><Relationship Id="rIdk3ecutmvopwfb4y3p7kor" Type="http://schemas.openxmlformats.org/officeDocument/2006/relationships/hyperlink" Target="file:///Users/kang/CC/PostDoc-apply/Seong-Jun-CV/papers/2024_Xenotransplantation_tofacitinib.pdf" TargetMode="External"/><Relationship Id="rId73accmku1c_idybhvarog" Type="http://schemas.openxmlformats.org/officeDocument/2006/relationships/hyperlink" Target="file:///Users/kang/CC/PostDoc-apply/Seong-Jun-CV/papers/2022_JEADV_melanoma_spatial.pdf" TargetMode="External"/><Relationship Id="rId6kbqb6fhorkh02yfz-lbs" Type="http://schemas.openxmlformats.org/officeDocument/2006/relationships/hyperlink" Target="file:///Users/kang/CC/PostDoc-apply/Seong-Jun-CV/papers/2019_Islets_JAK3_isletTx.pdf" TargetMode="External"/><Relationship Id="rIdrmh4v7vmt3stz7g59qjoq" Type="http://schemas.openxmlformats.org/officeDocument/2006/relationships/hyperlink" Target="file:///Users/kang/CC/PostDoc-apply/Seong-Jun-CV/papers/2024_eBioMedicine_psoriasis_Treg.pdf" TargetMode="External"/><Relationship Id="rIdshf9ushwt8vzaz63wncaw" Type="http://schemas.openxmlformats.org/officeDocument/2006/relationships/hyperlink" Target="file:///Users/kang/CC/PostDoc-apply/Seong-Jun-CV/papers/2024_JEADV_melanoma_immune.pdf" TargetMode="External"/><Relationship Id="rIdjt_pxb-9q8q8-ptlmnova" Type="http://schemas.openxmlformats.org/officeDocument/2006/relationships/hyperlink" Target="file:///Users/kang/CC/PostDoc-apply/Seong-Jun-CV/papers/2021_CurrDiabRep_xeno_review.pdf" TargetMode="External"/><Relationship Id="rIdkx2i4jn5ben31vj2a8weq"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2026-09-23T14:18:14.615Z</dcterms:created>
  <dcterms:modified xsi:type="dcterms:W3CDTF">2026-09-23T14:18:14.616Z</dcterms:modified>
</cp:coreProperties>
</file>

<file path=docProps/custom.xml><?xml version="1.0" encoding="utf-8"?>
<Properties xmlns="http://schemas.openxmlformats.org/officeDocument/2006/custom-properties" xmlns:vt="http://schemas.openxmlformats.org/officeDocument/2006/docPropsVTypes"/>
</file>