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immunology, binding assays, and single-cell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Keating Lab, MIT Department of Biology</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with hands-on experience in Biacore SPR, ELISA, therapeutic antibody evaluation, and primary-cell functional assays. At PB Immune Therapeutics, I led anti-CD40 candidate evaluation and coordinated external studies from assay specification through data review and advancement decisions. I would bring binding measurements, experimental troubleshooting, and synthesis-and-testing coordination to the Keating Lab's peptide design campaign.</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DNA/RNA processing; 10x Chromium scRNA-seq and GeoMx DSP spatial workflows; SPR and ELISA binding assays; and Olink proteomics.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non-human-primate studies, and proposal writing and execution for approximately $1.3 million in industry awards.</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jexawysmhxmchgebdqsgs">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Isoform analysis of 251,055 memory CD4-positive T cells identified a PDE4D short-isoform bias in pathogenic Th1.17 cells. The study also tested selective inhibition.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ertbmvsdhyjazvlozmsxk">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Immune-enriched single-cell analysis of 11,587 mouse brain cells examined CD8-positive resident memory T cells and their interactions with choroid plexus epithelium.</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8yjfmp-swdfhd7nnt2601">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profiling and functional assays examined skin-homing regulatory T cells in atopic dermatitis. OX40 was increased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_dmhsvyeadi4pkn0smjg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A tofacitinib-based regimen supported long-term diabetes control after islet allotransplantation in rhesus macaques. The work included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iyozv6s2xyyrsdqxaqrpn">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GeoMx profiling across 16 regions examined melanoma heterogeneity by invasion depth. HLA class I and II expression decreased with greater invasion.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xmvhgrl61dbgpp5uw1jew">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The study tested JAK3 inhibitor-based immunosuppression in cynomolgus macaques receiving allogeneic islet transplants, as an approach to controlling transplant rejection.</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Single-cell RNA and TCR analysis identified a reactive, oligoclonal Th22 endotype in mycosis fungoides-like atopic dermatitis. The study distinguished this inflammatory state from malignancy.</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ehob4wpm-t4l0piguktth">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High-dimensional immune profiling examined regulatory T cells in psoriasis. The study identified an impaired skin-trafficking phenotype in this population.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w5asusnnm_6srgld3usmx">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GeoMx spatial transcriptomics examined tumour–immune cell interactions in melanoma arising from congenital melanocytic nevus, retaining the tissue locations of the measured gene expression.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extracellular vesicles suppressed Th17 cells. The study linked this effect to destabilization of RORγt through post-translational modification.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An optimized peptide inhibited calcineurin-mediated T-cell activation. The study examined peptide-based suppression of T-cell responses.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4zwkbbkue7imppui-ou_i">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This review examined immunomodulatory approaches for porcine islet xenotransplantation, with a focus on strategies for controlling immune responses to transplanted islets.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exosomes suppressed T-cell proliferation. The study linked this effect to cell-cycle arrest through p27kip1/Cdk2 signaling.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Peripheral-blood RNA sequencing was used to investigate late graft loss after hyperglycemia in pig-to-primate islet transplantation, using bioinformatic analysis of blood gene expression.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examined IL-6 blockade in a pig-to-primate islet transplantation model. Blocking IL-6 was associated with delayed revascularization of the transplanted islets.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Preclinical pig-to-primate islet transplantation was studied under an anti-CD40 antibody regimen using 2C10R4, examining this approach to immunosuppression in the transplant setting.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evaluated a JAK inhibitor as a replacement for tacrolimus in cynomolgus macaques receiving allogeneic islet transplants.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constructed EMSC–islet composites for xenogeneic porcine islet transplantation. It examined a design that placed the two cell components together.</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Work in preparation examines ACTA2 base editing and lymphatic function in MSMDS. My contribution included Olink plasma proteomics and lymph-node immune-cell profiling.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Therapeutic lead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development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Humanized </w:t>
            </w:r>
            <w:r>
              <w:rPr>
                <w:rFonts w:ascii="Arial" w:cs="Arial" w:eastAsia="Arial" w:hAnsi="Arial"/>
                <w:b/>
                <w:bCs/>
                <w:color w:val="1C2128"/>
                <w:sz w:val="20"/>
                <w:szCs w:val="20"/>
              </w:rPr>
              <w:t xml:space="preserve">anti-CD40</w:t>
            </w:r>
            <w:r>
              <w:rPr>
                <w:rFonts w:ascii="Arial" w:cs="Arial" w:eastAsia="Arial" w:hAnsi="Arial"/>
                <w:color w:val="1C2128"/>
                <w:sz w:val="20"/>
                <w:szCs w:val="20"/>
              </w:rPr>
              <w:t xml:space="preserve"> antibody program from candidate comparison through non-human-primate studies. Assay design, external study coordination, raw-data review, regulatory documentation, and candidate-advancement decisions.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External studies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CRO and core-facility study design, assay specifications, data review, and milestone tracking. Participation in outsourced antibody and AAV manufacturing collaborations involving Samsung Biologics and WuXi. Participation in early joint-development research with Merck, CSL, and Johnson &amp; Johnson.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kinetics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affinity</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9wd_eo6uowl8rwjpz2kpp">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I participated in proposal writing and project execution for the awards listed above. Budgets are approximate conversions at KRW 1,400 per USD. Project periods are award periods, not appointment dates.</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Keating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exawysmhxmchgebdqsgs" Type="http://schemas.openxmlformats.org/officeDocument/2006/relationships/hyperlink" Target="https://scholar.google.com/citations?hl=ko&amp;user=tMsQgs8AAAAJ" TargetMode="External"/><Relationship Id="rIdertbmvsdhyjazvlozmsxk" Type="http://schemas.openxmlformats.org/officeDocument/2006/relationships/hyperlink" Target="file:///Users/kang/CC/PostDoc-apply/Seong-Jun-CV/papers/2025_JNI_Alzheimer_scRNAseq.pdf" TargetMode="External"/><Relationship Id="rId8yjfmp-swdfhd7nnt2601" Type="http://schemas.openxmlformats.org/officeDocument/2006/relationships/hyperlink" Target="file:///Users/kang/CC/PostDoc-apply/Seong-Jun-CV/papers/2025_Allergy_AD_Treg.pdf" TargetMode="External"/><Relationship Id="rId_dmhsvyeadi4pkn0smjgf" Type="http://schemas.openxmlformats.org/officeDocument/2006/relationships/hyperlink" Target="file:///Users/kang/CC/PostDoc-apply/Seong-Jun-CV/papers/2024_Xenotransplantation_tofacitinib.pdf" TargetMode="External"/><Relationship Id="rIdiyozv6s2xyyrsdqxaqrpn" Type="http://schemas.openxmlformats.org/officeDocument/2006/relationships/hyperlink" Target="file:///Users/kang/CC/PostDoc-apply/Seong-Jun-CV/papers/2022_JEADV_melanoma_spatial.pdf" TargetMode="External"/><Relationship Id="rIdxmvhgrl61dbgpp5uw1jew" Type="http://schemas.openxmlformats.org/officeDocument/2006/relationships/hyperlink" Target="file:///Users/kang/CC/PostDoc-apply/Seong-Jun-CV/papers/2019_Islets_JAK3_isletTx.pdf" TargetMode="External"/><Relationship Id="rIdehob4wpm-t4l0piguktth" Type="http://schemas.openxmlformats.org/officeDocument/2006/relationships/hyperlink" Target="file:///Users/kang/CC/PostDoc-apply/Seong-Jun-CV/papers/2024_eBioMedicine_psoriasis_Treg.pdf" TargetMode="External"/><Relationship Id="rIdw5asusnnm_6srgld3usmx" Type="http://schemas.openxmlformats.org/officeDocument/2006/relationships/hyperlink" Target="file:///Users/kang/CC/PostDoc-apply/Seong-Jun-CV/papers/2024_JEADV_melanoma_immune.pdf" TargetMode="External"/><Relationship Id="rId4zwkbbkue7imppui-ou_i" Type="http://schemas.openxmlformats.org/officeDocument/2006/relationships/hyperlink" Target="file:///Users/kang/CC/PostDoc-apply/Seong-Jun-CV/papers/2021_CurrDiabRep_xeno_review.pdf" TargetMode="External"/><Relationship Id="rId9wd_eo6uowl8rwjpz2kpp"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2026-09-23T14:18:27.206Z</dcterms:created>
  <dcterms:modified xsi:type="dcterms:W3CDTF">2026-09-23T14:18:27.206Z</dcterms:modified>
</cp:coreProperties>
</file>

<file path=docProps/custom.xml><?xml version="1.0" encoding="utf-8"?>
<Properties xmlns="http://schemas.openxmlformats.org/officeDocument/2006/custom-properties" xmlns:vt="http://schemas.openxmlformats.org/officeDocument/2006/docPropsVTypes"/>
</file>