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50"/>
            </w:pPr>
            <w:r>
              <w:rPr>
                <w:rFonts w:ascii="Arial" w:cs="Arial" w:eastAsia="Arial" w:hAnsi="Arial"/>
                <w:color w:val="454C57"/>
                <w:sz w:val="21"/>
                <w:szCs w:val="21"/>
              </w:rPr>
              <w:t xml:space="preserve">Experimental and computational biomedical scientist: multiplexed molecular imaging, single-cell and spatial biology, quantitative image analysis</w:t>
            </w:r>
            <w:r>
              <w:rPr>
                <w:rFonts w:ascii="Arial" w:cs="Arial" w:eastAsia="Arial" w:hAnsi="Arial"/>
                <w:color w:val="454C57"/>
                <w:sz w:val="21"/>
                <w:szCs w:val="21"/>
              </w:rPr>
              <w:br/>
              <w:t xml:space="preserve"/>
            </w:r>
            <w:r>
              <w:rPr>
                <w:rFonts w:ascii="Arial" w:cs="Arial" w:eastAsia="Arial" w:hAnsi="Arial"/>
                <w:color w:val="454C57"/>
                <w:sz w:val="21"/>
                <w:szCs w:val="21"/>
              </w:rPr>
              <w:t xml:space="preserve">Postdoctoral Associate applicant · Bathe Lab, MIT Department of Biological Engineering</w:t>
            </w:r>
          </w:p>
        </w:tc>
        <w:tc>
          <w:tcPr>
            <w:tcW w:type="dxa" w:w="3200"/>
            <w:tcBorders>
              <w:top w:val="none" w:color="FFFFFF" w:sz="0"/>
              <w:left w:val="none" w:color="FFFFFF" w:sz="0"/>
              <w:bottom w:val="none" w:color="FFFFFF" w:sz="0"/>
              <w:right w:val="none" w:color="FFFFFF" w:sz="0"/>
            </w:tcBorders>
          </w:tcPr>
          <w:p>
            <w:pPr>
              <w:spacing w:after="0" w:before="0" w:line="230"/>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20" w:before="0" w:line="286"/>
      </w:pPr>
      <w:r>
        <w:rPr>
          <w:rFonts w:ascii="Arial" w:cs="Arial" w:eastAsia="Arial" w:hAnsi="Arial"/>
          <w:color w:val="454C57"/>
          <w:sz w:val="21"/>
          <w:szCs w:val="21"/>
        </w:rPr>
        <w:t xml:space="preserve">I am an immunologist working with primary mammalian cells, multiplexed protein and RNA measurements, and quantitative imaging. My hands-on experience includes end-to-end GeoMx DSP, MACSima cyclic immunofluorescence, confocal microscopy, and automated single-cell library preparation. I would apply donor-aware analysis and held-out evaluation to PRISM assay validation, imaging automation, and drug-response studies in human iPSC-derived neurons.</w:t>
      </w:r>
    </w:p>
    <w:p>
      <w:pPr>
        <w:keepNext/>
        <w:pBdr>
          <w:bottom w:val="single" w:color="0F1115" w:sz="12"/>
        </w:pBdr>
        <w:spacing w:after="95" w:before="180"/>
      </w:pPr>
      <w:r>
        <w:rPr>
          <w:rFonts w:ascii="Arial" w:cs="Arial" w:eastAsia="Arial" w:hAnsi="Arial"/>
          <w:b/>
          <w:bCs/>
          <w:color w:val="0F1115"/>
          <w:sz w:val="27"/>
          <w:szCs w:val="27"/>
        </w:rPr>
        <w:t xml:space="preserve">RESEARCH &amp; TECHNICAL EXPERTISE</w:t>
      </w:r>
    </w:p>
    <w:p>
      <w:pPr>
        <w:pStyle w:val="ListParagraph"/>
        <w:numPr>
          <w:ilvl w:val="0"/>
          <w:numId w:val="2"/>
        </w:numPr>
        <w:spacing w:after="55" w:before="0" w:line="248"/>
      </w:pPr>
      <w:r>
        <w:rPr>
          <w:rFonts w:ascii="Arial" w:cs="Arial" w:eastAsia="Arial" w:hAnsi="Arial"/>
          <w:b/>
          <w:bCs/>
          <w:color w:val="1C2128"/>
          <w:sz w:val="19"/>
          <w:szCs w:val="19"/>
        </w:rPr>
        <w:t xml:space="preserve">Single-cell and multimodal profiling.</w:t>
      </w:r>
      <w:r>
        <w:rPr>
          <w:rFonts w:ascii="Arial" w:cs="Arial" w:eastAsia="Arial" w:hAnsi="Arial"/>
          <w:color w:val="1C2128"/>
          <w:sz w:val="19"/>
          <w:szCs w:val="19"/>
        </w:rPr>
        <w:t xml:space="preserve"> 10x single-cell workflows, end-to-end GeoMx DSP, Visium spatial transcriptomics, MACSima multiplexed imaging, high-parameter flow cytometry, and Olink targeted proteomics.</w:t>
      </w:r>
    </w:p>
    <w:p>
      <w:pPr>
        <w:pStyle w:val="ListParagraph"/>
        <w:numPr>
          <w:ilvl w:val="0"/>
          <w:numId w:val="2"/>
        </w:numPr>
        <w:spacing w:after="55" w:before="0" w:line="248"/>
      </w:pPr>
      <w:r>
        <w:rPr>
          <w:rFonts w:ascii="Arial" w:cs="Arial" w:eastAsia="Arial" w:hAnsi="Arial"/>
          <w:b/>
          <w:bCs/>
          <w:color w:val="1C2128"/>
          <w:sz w:val="19"/>
          <w:szCs w:val="19"/>
        </w:rPr>
        <w:t xml:space="preserve">Computational analysis and AI-driven drug discovery.</w:t>
      </w:r>
      <w:r>
        <w:rPr>
          <w:rFonts w:ascii="Arial" w:cs="Arial" w:eastAsia="Arial" w:hAnsi="Arial"/>
          <w:color w:val="1C2128"/>
          <w:sz w:val="19"/>
          <w:szCs w:val="19"/>
        </w:rPr>
        <w:t xml:space="preserve"> Sequencing-data analysis in Python and R using statistical and machine-learning tools; multimodal integration and donor- or case-level evaluation. AI-driven drug discovery workflows spanning target discovery, binding prediction, virtual screening, and lead optimization.</w:t>
      </w:r>
    </w:p>
    <w:p>
      <w:pPr>
        <w:pStyle w:val="ListParagraph"/>
        <w:numPr>
          <w:ilvl w:val="0"/>
          <w:numId w:val="2"/>
        </w:numPr>
        <w:spacing w:after="55" w:before="0" w:line="248"/>
      </w:pPr>
      <w:r>
        <w:rPr>
          <w:rFonts w:ascii="Arial" w:cs="Arial" w:eastAsia="Arial" w:hAnsi="Arial"/>
          <w:b/>
          <w:bCs/>
          <w:color w:val="1C2128"/>
          <w:sz w:val="19"/>
          <w:szCs w:val="19"/>
        </w:rPr>
        <w:t xml:space="preserve">Cellular and molecular assays.</w:t>
      </w:r>
      <w:r>
        <w:rPr>
          <w:rFonts w:ascii="Arial" w:cs="Arial" w:eastAsia="Arial" w:hAnsi="Arial"/>
          <w:color w:val="1C2128"/>
          <w:sz w:val="19"/>
          <w:szCs w:val="19"/>
        </w:rPr>
        <w:t xml:space="preserve"> Primary-cell culture and immune-cell functional assays; DNA, RNA, and protein workflows, including qRT-PCR, cloning, and Western blotting; Biacore SPR and ELISA binding assays.</w:t>
      </w:r>
    </w:p>
    <w:p>
      <w:pPr>
        <w:pStyle w:val="ListParagraph"/>
        <w:numPr>
          <w:ilvl w:val="0"/>
          <w:numId w:val="2"/>
        </w:numPr>
        <w:spacing w:after="55" w:before="0" w:line="248"/>
      </w:pPr>
      <w:r>
        <w:rPr>
          <w:rFonts w:ascii="Arial" w:cs="Arial" w:eastAsia="Arial" w:hAnsi="Arial"/>
          <w:b/>
          <w:bCs/>
          <w:color w:val="1C2128"/>
          <w:sz w:val="19"/>
          <w:szCs w:val="19"/>
        </w:rPr>
        <w:t xml:space="preserve">Animal models and immune monitoring.</w:t>
      </w:r>
      <w:r>
        <w:rPr>
          <w:rFonts w:ascii="Arial" w:cs="Arial" w:eastAsia="Arial" w:hAnsi="Arial"/>
          <w:color w:val="1C2128"/>
          <w:sz w:val="19"/>
          <w:szCs w:val="19"/>
        </w:rPr>
        <w:t xml:space="preserve"> EAE and Alzheimer's disease models; skin- and islet-transplantation studies; animal breeding, non-human-primate sampling, and longitudinal immune monitoring.</w:t>
      </w:r>
    </w:p>
    <w:p>
      <w:pPr>
        <w:pStyle w:val="ListParagraph"/>
        <w:numPr>
          <w:ilvl w:val="0"/>
          <w:numId w:val="2"/>
        </w:numPr>
        <w:spacing w:after="55" w:before="0" w:line="248"/>
      </w:pPr>
      <w:r>
        <w:rPr>
          <w:rFonts w:ascii="Arial" w:cs="Arial" w:eastAsia="Arial" w:hAnsi="Arial"/>
          <w:b/>
          <w:bCs/>
          <w:color w:val="1C2128"/>
          <w:sz w:val="19"/>
          <w:szCs w:val="19"/>
        </w:rPr>
        <w:t xml:space="preserve">Research coordination and grant writing.</w:t>
      </w:r>
      <w:r>
        <w:rPr>
          <w:rFonts w:ascii="Arial" w:cs="Arial" w:eastAsia="Arial" w:hAnsi="Arial"/>
          <w:color w:val="1C2128"/>
          <w:sz w:val="19"/>
          <w:szCs w:val="19"/>
        </w:rPr>
        <w:t xml:space="preserve"> Multi-site sample QC, project coordination across academia and industry, and contributions to grant proposals for programs with combined budgets of approximately $3 million.</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276"/>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70" w:before="0" w:line="240"/>
      </w:pPr>
      <w:hyperlink w:history="1" r:id="rIdxbmhbgrxlu39-f6wlws3s">
        <w:r>
          <w:rPr>
            <w:rFonts w:ascii="Arial" w:cs="Arial" w:eastAsia="Arial" w:hAnsi="Arial"/>
            <w:color w:val="2F5FE0"/>
            <w:sz w:val="18"/>
            <w:szCs w:val="18"/>
            <w:u w:val="single"/>
          </w:rPr>
          <w:t xml:space="preserve">Google Scholar · Full Profile, Citations &amp; h-index ↗</w:t>
        </w:r>
      </w:hyperlink>
    </w:p>
    <w:p>
      <w:pPr>
        <w:keepNext/>
        <w:spacing w:after="50" w:before="60" w:line="276"/>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frovw1o5nprb01xvp-kke">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9ouwqlydmswwbmmtthoxu">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Single-cell and functional dissection of skin-homing regulatory T cells in atopic dermatitis, with OX40 up-regulated alongside impaired suppressive function.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ecehuri6orrliixikfcva">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Long-term diabetes control with a tofacitinib-based regimen after allo-islet transplantation in rhesus macaques, with longitudinal immune monitoring.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7vxixeoj5wsuqqhnadq0o">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rfmmzuy7_phlugpwot7d1">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one of four authors contributing equally. JAK3-inhibitor-based immunosuppression in allogeneic islet transplantation in cynomolgus macaques.</w:t>
            </w:r>
          </w:p>
        </w:tc>
      </w:tr>
    </w:tbl>
    <w:p>
      <w:pPr>
        <w:keepNext/>
        <w:spacing w:after="50" w:before="60" w:line="276"/>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06lek7seslqtcrfxmqcft">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xqb_pscsxx_idip9on9uj">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2023</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2021</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ymfwmmn3jh1avwm9q91mt">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2020</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p>
        </w:tc>
      </w:tr>
    </w:tbl>
    <w:p>
      <w:pPr>
        <w:keepNext/>
        <w:spacing w:after="50" w:before="60" w:line="276"/>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(immunology). Ran the Olink plasma proteomics across 12 patients and 6 controls and the flow-cytometry immunophenotyping of lymph-node leukocytes.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Multiplexed in situ</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detection and imaging</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 slide preparation, oligonucleotide-barcoded probe hybridisation, immunofluorescence staining, fluorescence-guided ROI selection, instrument operation, UV cleavage and barcode collection.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 iterative stain–image–erase rounds on one section.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spatial transcriptomics. High-parameter fluorescence panel design up to 24 markers. </w:t>
            </w:r>
            <w:r>
              <w:rPr>
                <w:rFonts w:ascii="Arial" w:cs="Arial" w:eastAsia="Arial" w:hAnsi="Arial"/>
                <w:b/>
                <w:bCs/>
                <w:color w:val="1C2128"/>
                <w:sz w:val="20"/>
                <w:szCs w:val="20"/>
              </w:rPr>
              <w:t xml:space="preserve">Spinning-disk confocal (Nikon CSU-W1 SORA)</w:t>
            </w:r>
            <w:r>
              <w:rPr>
                <w:rFonts w:ascii="Arial" w:cs="Arial" w:eastAsia="Arial" w:hAnsi="Arial"/>
                <w:color w:val="1C2128"/>
                <w:sz w:val="20"/>
                <w:szCs w:val="20"/>
              </w:rPr>
              <w:t xml:space="preserve"> with quantitative image analysis.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High-content image</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and data analysis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Segmentation, feature extraction and model scoring on public iPSC-neuron imaging screens. Batch- and donor-aware modelling, held-out evaluation, calibrated confidence. Automated library preparation on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Study execution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collaboration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Study design, external-study coordination, multi-site sample QC, milestone tracking, regulatory documentation, and data review.</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55" w:before="0" w:line="248"/>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ktprs2gdez6m2rwthn0m">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50" w:before="60" w:line="276"/>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50" w:before="60" w:line="276"/>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50" w:before="60" w:line="276"/>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50" w:before="60" w:line="276"/>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~$571,000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2022–2024</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~$321,000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Scale-up Funding for Tech Commercialization</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~$222,000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2021–2022</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~$74,000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NAVER Corporation</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2023–2026</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~$128,000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Proposal &amp; study design (~50%)</w:t>
            </w:r>
          </w:p>
        </w:tc>
      </w:tr>
    </w:tbl>
    <w:p>
      <w:pPr>
        <w:keepNext/>
        <w:spacing w:after="50" w:before="60" w:line="276"/>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2022–2028 (3+3)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~$1.6M</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2020–2021</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~$40,000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Grant writing, experimental design &amp; technical validation</w:t>
            </w:r>
          </w:p>
        </w:tc>
      </w:tr>
    </w:tbl>
    <w:p>
      <w:pPr>
        <w:spacing w:after="70" w:before="0" w:line="240"/>
      </w:pPr>
      <w:r>
        <w:rPr>
          <w:rFonts w:ascii="Arial" w:cs="Arial" w:eastAsia="Arial" w:hAnsi="Arial"/>
          <w:color w:val="454C57"/>
          <w:sz w:val="18"/>
          <w:szCs w:val="18"/>
        </w:rPr>
        <w:t xml:space="preserve">All grants were held by the institutional Principal Investigator (Ph.D. advisor at SNU; company CEO/CSO at PB Immune Therapeutics); the listed roles reflect the applicant's contribution to proposal writing and project execution, </w:t>
      </w:r>
      <w:r>
        <w:rPr>
          <w:rFonts w:ascii="Arial" w:cs="Arial" w:eastAsia="Arial" w:hAnsi="Arial"/>
          <w:b/>
          <w:bCs/>
          <w:color w:val="454C57"/>
          <w:sz w:val="18"/>
          <w:szCs w:val="18"/>
        </w:rPr>
        <w:t xml:space="preserve">not as PI</w:t>
      </w:r>
      <w:r>
        <w:rPr>
          <w:rFonts w:ascii="Arial" w:cs="Arial" w:eastAsia="Arial" w:hAnsi="Arial"/>
          <w:color w:val="454C57"/>
          <w:sz w:val="18"/>
          <w:szCs w:val="18"/>
        </w:rPr>
        <w:t xml:space="preserve">. Budgets converted at ≈ ₩1,400 / USD.</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Year</w:t>
            </w:r>
          </w:p>
        </w:tc>
        <w:tc>
          <w:tcPr>
            <w:tcW w:type="dxa" w:w="205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Mentee / role at time</w:t>
            </w:r>
          </w:p>
        </w:tc>
        <w:tc>
          <w:tcPr>
            <w:tcW w:type="dxa" w:w="421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Current affiliation</w:t>
            </w:r>
          </w:p>
        </w:tc>
        <w:tc>
          <w:tcPr>
            <w:tcW w:type="dxa" w:w="3564"/>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Research training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2016</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 · Bathe Lab</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xbmhbgrxlu39-f6wlws3s" Type="http://schemas.openxmlformats.org/officeDocument/2006/relationships/hyperlink" Target="https://scholar.google.com/citations?hl=ko&amp;user=tMsQgs8AAAAJ" TargetMode="External"/><Relationship Id="rIdfrovw1o5nprb01xvp-kke" Type="http://schemas.openxmlformats.org/officeDocument/2006/relationships/hyperlink" Target="file:///Users/kang/CC/PostDoc-apply/Seong-Jun-CV/papers/2025_JNI_Alzheimer_scRNAseq.pdf" TargetMode="External"/><Relationship Id="rId9ouwqlydmswwbmmtthoxu" Type="http://schemas.openxmlformats.org/officeDocument/2006/relationships/hyperlink" Target="file:///Users/kang/CC/PostDoc-apply/Seong-Jun-CV/papers/2025_Allergy_AD_Treg.pdf" TargetMode="External"/><Relationship Id="rIdecehuri6orrliixikfcva" Type="http://schemas.openxmlformats.org/officeDocument/2006/relationships/hyperlink" Target="file:///Users/kang/CC/PostDoc-apply/Seong-Jun-CV/papers/2024_Xenotransplantation_tofacitinib.pdf" TargetMode="External"/><Relationship Id="rId7vxixeoj5wsuqqhnadq0o" Type="http://schemas.openxmlformats.org/officeDocument/2006/relationships/hyperlink" Target="file:///Users/kang/CC/PostDoc-apply/Seong-Jun-CV/papers/2022_JEADV_melanoma_spatial.pdf" TargetMode="External"/><Relationship Id="rIdrfmmzuy7_phlugpwot7d1" Type="http://schemas.openxmlformats.org/officeDocument/2006/relationships/hyperlink" Target="file:///Users/kang/CC/PostDoc-apply/Seong-Jun-CV/papers/2019_Islets_JAK3_isletTx.pdf" TargetMode="External"/><Relationship Id="rId06lek7seslqtcrfxmqcft" Type="http://schemas.openxmlformats.org/officeDocument/2006/relationships/hyperlink" Target="file:///Users/kang/CC/PostDoc-apply/Seong-Jun-CV/papers/2024_eBioMedicine_psoriasis_Treg.pdf" TargetMode="External"/><Relationship Id="rIdxqb_pscsxx_idip9on9uj" Type="http://schemas.openxmlformats.org/officeDocument/2006/relationships/hyperlink" Target="file:///Users/kang/CC/PostDoc-apply/Seong-Jun-CV/papers/2024_JEADV_melanoma_immune.pdf" TargetMode="External"/><Relationship Id="rIdymfwmmn3jh1avwm9q91mt" Type="http://schemas.openxmlformats.org/officeDocument/2006/relationships/hyperlink" Target="file:///Users/kang/CC/PostDoc-apply/Seong-Jun-CV/papers/2021_CurrDiabRep_xeno_review.pdf" TargetMode="External"/><Relationship Id="rId-ktprs2gdez6m2rwthn0m"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2026-09-23T18:17:01.875Z</dcterms:created>
  <dcterms:modified xsi:type="dcterms:W3CDTF">2026-09-23T18:17:01.875Z</dcterms:modified>
</cp:coreProperties>
</file>

<file path=docProps/custom.xml><?xml version="1.0" encoding="utf-8"?>
<Properties xmlns="http://schemas.openxmlformats.org/officeDocument/2006/custom-properties" xmlns:vt="http://schemas.openxmlformats.org/officeDocument/2006/docPropsVTypes"/>
</file>