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Computational immunologist working in single-cell and spatial multi-omics of the immune system</w:t>
            </w:r>
            <w:r>
              <w:rPr>
                <w:rFonts w:ascii="Arial" w:cs="Arial" w:eastAsia="Arial" w:hAnsi="Arial"/>
                <w:color w:val="454C57"/>
                <w:sz w:val="21"/>
                <w:szCs w:val="21"/>
              </w:rPr>
              <w:br/>
              <w:t xml:space="preserve"/>
            </w:r>
            <w:r>
              <w:rPr>
                <w:rFonts w:ascii="Arial" w:cs="Arial" w:eastAsia="Arial" w:hAnsi="Arial"/>
                <w:color w:val="454C57"/>
                <w:sz w:val="21"/>
                <w:szCs w:val="21"/>
              </w:rPr>
              <w:t xml:space="preserve">Research Scientist applicant · Hyman Lab, MassGeneral Institute for Neurodegenerative Disease · transcriptomics and neurodegeneration</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specializing in computational single-cell analysis. I built a brain-immune workflow from tissue preparation through 10x sequencing and analysis in a 5xFAD mouse model, and I analyze disease-associated cell states across large human immune atlases. I would contribute an immune-cell perspective and donor-aware evaluation to human brain transcriptomics.</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55" w:before="0" w:line="248"/>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pudwnqo2_wje6bgfawjav">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8zpmkfadg7cb_bewiw5lu">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kie8okw0zyvmttfcjfmqn">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rtpvmaab7c1cobrkpqrvc">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ry5fycpsoxhabqujhzjds">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9d-rfiwsudbbtr0ytua2i">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taqezzj8yoark8gr_bl0u">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yfkzpsa86ymubajruysge">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ili2ixicfu58dnulheo24">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Brain and CNS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tissue</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Mouse brain immune profiling run end to end: whole-brain harvest, enzymatic digestion, Percoll enrichment, CD45⁺ FACS, 10x library generation, and the analysis (</w:t>
            </w:r>
            <w:r>
              <w:rPr>
                <w:rFonts w:ascii="Arial" w:cs="Arial" w:eastAsia="Arial" w:hAnsi="Arial"/>
                <w:i/>
                <w:iCs/>
                <w:color w:val="1C2128"/>
                <w:sz w:val="20"/>
                <w:szCs w:val="20"/>
              </w:rPr>
              <w:t xml:space="preserve">J Neuroimmunol</w:t>
            </w:r>
            <w:r>
              <w:rPr>
                <w:rFonts w:ascii="Arial" w:cs="Arial" w:eastAsia="Arial" w:hAnsi="Arial"/>
                <w:color w:val="1C2128"/>
                <w:sz w:val="20"/>
                <w:szCs w:val="20"/>
              </w:rPr>
              <w:t xml:space="preserve"> 2025, first author; 5xFAD model, 11,587 cells, 10 immune populations). Neuro-immune analysis of choroid plexus epithelium and infiltrating CD8⁺ resident-memory T cells at the blood–CSF barrier. Non-human-primate CNS tissue, brain and spinal cord, across rhesus, cynomolgus and marmoset studies, including EAE models of multiple sclerosis.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Cell-state calling</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its checks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Consensus NMF</w:t>
            </w:r>
            <w:r>
              <w:rPr>
                <w:rFonts w:ascii="Arial" w:cs="Arial" w:eastAsia="Arial" w:hAnsi="Arial"/>
                <w:color w:val="1C2128"/>
                <w:sz w:val="20"/>
                <w:szCs w:val="20"/>
              </w:rPr>
              <w:t xml:space="preserve"> gene programs (k = 14 → 12 reproducible programs across 251,055 memory CD4⁺ T cells). Custom UMI-aware, BAM-level isoform code (Python) resolving PDE4D short- versus long-isoform identity from 5′ reads, which a count matrix cannot separate. </w:t>
            </w:r>
            <w:r>
              <w:rPr>
                <w:rFonts w:ascii="Arial" w:cs="Arial" w:eastAsia="Arial" w:hAnsi="Arial"/>
                <w:b/>
                <w:bCs/>
                <w:color w:val="1C2128"/>
                <w:sz w:val="20"/>
                <w:szCs w:val="20"/>
              </w:rPr>
              <w:t xml:space="preserve">Milo</w:t>
            </w:r>
            <w:r>
              <w:rPr>
                <w:rFonts w:ascii="Arial" w:cs="Arial" w:eastAsia="Arial" w:hAnsi="Arial"/>
                <w:color w:val="1C2128"/>
                <w:sz w:val="20"/>
                <w:szCs w:val="20"/>
              </w:rPr>
              <w:t xml:space="preserve"> KNN-graph differential abundance; </w:t>
            </w:r>
            <w:r>
              <w:rPr>
                <w:rFonts w:ascii="Arial" w:cs="Arial" w:eastAsia="Arial" w:hAnsi="Arial"/>
                <w:b/>
                <w:bCs/>
                <w:color w:val="1C2128"/>
                <w:sz w:val="20"/>
                <w:szCs w:val="20"/>
              </w:rPr>
              <w:t xml:space="preserve">scVI/scANVI</w:t>
            </w:r>
            <w:r>
              <w:rPr>
                <w:rFonts w:ascii="Arial" w:cs="Arial" w:eastAsia="Arial" w:hAnsi="Arial"/>
                <w:color w:val="1C2128"/>
                <w:sz w:val="20"/>
                <w:szCs w:val="20"/>
              </w:rPr>
              <w:t xml:space="preserve"> integration; condition classifiers reported with held-out AUC and confidence intervals. Multi-site sample QC, milestone tracking and multi-PI coordination across a 700-donor, 8-organ atlas (SCAID).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nf03w-wrxyrpeifywoswj">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Hyman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udwnqo2_wje6bgfawjav" Type="http://schemas.openxmlformats.org/officeDocument/2006/relationships/hyperlink" Target="https://scholar.google.com/citations?hl=ko&amp;user=tMsQgs8AAAAJ" TargetMode="External"/><Relationship Id="rId8zpmkfadg7cb_bewiw5lu" Type="http://schemas.openxmlformats.org/officeDocument/2006/relationships/hyperlink" Target="file:///Users/kang/CC/PostDoc-apply/Seong-Jun-CV/papers/2025_JNI_Alzheimer_scRNAseq.pdf" TargetMode="External"/><Relationship Id="rIdkie8okw0zyvmttfcjfmqn" Type="http://schemas.openxmlformats.org/officeDocument/2006/relationships/hyperlink" Target="file:///Users/kang/CC/PostDoc-apply/Seong-Jun-CV/papers/2025_Allergy_AD_Treg.pdf" TargetMode="External"/><Relationship Id="rIdrtpvmaab7c1cobrkpqrvc" Type="http://schemas.openxmlformats.org/officeDocument/2006/relationships/hyperlink" Target="file:///Users/kang/CC/PostDoc-apply/Seong-Jun-CV/papers/2024_Xenotransplantation_tofacitinib.pdf" TargetMode="External"/><Relationship Id="rIdry5fycpsoxhabqujhzjds" Type="http://schemas.openxmlformats.org/officeDocument/2006/relationships/hyperlink" Target="file:///Users/kang/CC/PostDoc-apply/Seong-Jun-CV/papers/2022_JEADV_melanoma_spatial.pdf" TargetMode="External"/><Relationship Id="rId9d-rfiwsudbbtr0ytua2i" Type="http://schemas.openxmlformats.org/officeDocument/2006/relationships/hyperlink" Target="file:///Users/kang/CC/PostDoc-apply/Seong-Jun-CV/papers/2019_Islets_JAK3_isletTx.pdf" TargetMode="External"/><Relationship Id="rIdtaqezzj8yoark8gr_bl0u" Type="http://schemas.openxmlformats.org/officeDocument/2006/relationships/hyperlink" Target="file:///Users/kang/CC/PostDoc-apply/Seong-Jun-CV/papers/2024_eBioMedicine_psoriasis_Treg.pdf" TargetMode="External"/><Relationship Id="rIdyfkzpsa86ymubajruysge" Type="http://schemas.openxmlformats.org/officeDocument/2006/relationships/hyperlink" Target="file:///Users/kang/CC/PostDoc-apply/Seong-Jun-CV/papers/2024_JEADV_melanoma_immune.pdf" TargetMode="External"/><Relationship Id="rIdili2ixicfu58dnulheo24" Type="http://schemas.openxmlformats.org/officeDocument/2006/relationships/hyperlink" Target="file:///Users/kang/CC/PostDoc-apply/Seong-Jun-CV/papers/2021_CurrDiabRep_xeno_review.pdf" TargetMode="External"/><Relationship Id="rIdnf03w-wrxyrpeifywoswj"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2026-09-23T18:17:08.766Z</dcterms:created>
  <dcterms:modified xsi:type="dcterms:W3CDTF">2026-09-23T18:17:08.766Z</dcterms:modified>
</cp:coreProperties>
</file>

<file path=docProps/custom.xml><?xml version="1.0" encoding="utf-8"?>
<Properties xmlns="http://schemas.openxmlformats.org/officeDocument/2006/custom-properties" xmlns:vt="http://schemas.openxmlformats.org/officeDocument/2006/docPropsVTypes"/>
</file>