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50"/>
            </w:pPr>
            <w:r>
              <w:rPr>
                <w:rFonts w:ascii="Arial" w:cs="Arial" w:eastAsia="Arial" w:hAnsi="Arial"/>
                <w:color w:val="454C57"/>
                <w:sz w:val="21"/>
                <w:szCs w:val="21"/>
              </w:rPr>
              <w:t xml:space="preserve">Immunologist working on single-cell and multiplexed measurement of immune responses, in transplantation, neuroinflammation, and inflammatory disease</w:t>
            </w:r>
            <w:r>
              <w:rPr>
                <w:rFonts w:ascii="Arial" w:cs="Arial" w:eastAsia="Arial" w:hAnsi="Arial"/>
                <w:color w:val="454C57"/>
                <w:sz w:val="21"/>
                <w:szCs w:val="21"/>
              </w:rPr>
              <w:br/>
              <w:t xml:space="preserve"/>
            </w:r>
            <w:r>
              <w:rPr>
                <w:rFonts w:ascii="Arial" w:cs="Arial" w:eastAsia="Arial" w:hAnsi="Arial"/>
                <w:color w:val="454C57"/>
                <w:sz w:val="21"/>
                <w:szCs w:val="21"/>
              </w:rPr>
              <w:t xml:space="preserve">Postdoctoral Fellow applicant · BioTranslation Lab, Center for Nanomedicine, Brigham and Women's Hospital and Harvard Medical School (Position 3: Immunology and Immunoengineering)</w:t>
            </w:r>
          </w:p>
        </w:tc>
        <w:tc>
          <w:tcPr>
            <w:tcW w:type="dxa" w:w="3200"/>
            <w:tcBorders>
              <w:top w:val="none" w:color="FFFFFF" w:sz="0"/>
              <w:left w:val="none" w:color="FFFFFF" w:sz="0"/>
              <w:bottom w:val="none" w:color="FFFFFF" w:sz="0"/>
              <w:right w:val="none" w:color="FFFFFF" w:sz="0"/>
            </w:tcBorders>
          </w:tcPr>
          <w:p>
            <w:pPr>
              <w:spacing w:after="0" w:before="0" w:line="230"/>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20" w:before="0" w:line="286"/>
      </w:pPr>
      <w:r>
        <w:rPr>
          <w:rFonts w:ascii="Arial" w:cs="Arial" w:eastAsia="Arial" w:hAnsi="Arial"/>
          <w:color w:val="454C57"/>
          <w:sz w:val="21"/>
          <w:szCs w:val="21"/>
        </w:rPr>
        <w:t xml:space="preserve">I am an immunologist studying immune responses after therapeutic intervention. My doctoral work included non-human-primate islet transplantation, and at PB Immune Therapeutics I led an anti-CD40 program and designed EAE studies in cynomolgus monkeys and marmosets. I would contribute longitudinal immune monitoring, single-cell analysis, and preclinical study execution to transplant-tolerance research.</w:t>
      </w:r>
    </w:p>
    <w:p>
      <w:pPr>
        <w:keepNext/>
        <w:pBdr>
          <w:bottom w:val="single" w:color="0F1115" w:sz="12"/>
        </w:pBdr>
        <w:spacing w:after="95" w:before="180"/>
      </w:pPr>
      <w:r>
        <w:rPr>
          <w:rFonts w:ascii="Arial" w:cs="Arial" w:eastAsia="Arial" w:hAnsi="Arial"/>
          <w:b/>
          <w:bCs/>
          <w:color w:val="0F1115"/>
          <w:sz w:val="27"/>
          <w:szCs w:val="27"/>
        </w:rPr>
        <w:t xml:space="preserve">RESEARCH &amp; TECHNICAL EXPERTISE</w:t>
      </w:r>
    </w:p>
    <w:p>
      <w:pPr>
        <w:pStyle w:val="ListParagraph"/>
        <w:numPr>
          <w:ilvl w:val="0"/>
          <w:numId w:val="2"/>
        </w:numPr>
        <w:spacing w:after="55" w:before="0" w:line="248"/>
      </w:pPr>
      <w:r>
        <w:rPr>
          <w:rFonts w:ascii="Arial" w:cs="Arial" w:eastAsia="Arial" w:hAnsi="Arial"/>
          <w:b/>
          <w:bCs/>
          <w:color w:val="1C2128"/>
          <w:sz w:val="19"/>
          <w:szCs w:val="19"/>
        </w:rPr>
        <w:t xml:space="preserve">Single-cell and multimodal profiling.</w:t>
      </w:r>
      <w:r>
        <w:rPr>
          <w:rFonts w:ascii="Arial" w:cs="Arial" w:eastAsia="Arial" w:hAnsi="Arial"/>
          <w:color w:val="1C2128"/>
          <w:sz w:val="19"/>
          <w:szCs w:val="19"/>
        </w:rPr>
        <w:t xml:space="preserve"> 10x single-cell workflows, end-to-end GeoMx DSP, Visium spatial transcriptomics, MACSima multiplexed imaging, high-parameter flow cytometry, and Olink targeted proteomics.</w:t>
      </w:r>
    </w:p>
    <w:p>
      <w:pPr>
        <w:pStyle w:val="ListParagraph"/>
        <w:numPr>
          <w:ilvl w:val="0"/>
          <w:numId w:val="2"/>
        </w:numPr>
        <w:spacing w:after="55" w:before="0" w:line="248"/>
      </w:pPr>
      <w:r>
        <w:rPr>
          <w:rFonts w:ascii="Arial" w:cs="Arial" w:eastAsia="Arial" w:hAnsi="Arial"/>
          <w:b/>
          <w:bCs/>
          <w:color w:val="1C2128"/>
          <w:sz w:val="19"/>
          <w:szCs w:val="19"/>
        </w:rPr>
        <w:t xml:space="preserve">Computational analysis and AI-driven drug discovery.</w:t>
      </w:r>
      <w:r>
        <w:rPr>
          <w:rFonts w:ascii="Arial" w:cs="Arial" w:eastAsia="Arial" w:hAnsi="Arial"/>
          <w:color w:val="1C2128"/>
          <w:sz w:val="19"/>
          <w:szCs w:val="19"/>
        </w:rPr>
        <w:t xml:space="preserve"> Sequencing-data analysis in Python and R using statistical and machine-learning tools; multimodal integration and donor- or case-level evaluation. AI-driven drug discovery workflows spanning target discovery, binding prediction, virtual screening, and lead optimization.</w:t>
      </w:r>
    </w:p>
    <w:p>
      <w:pPr>
        <w:pStyle w:val="ListParagraph"/>
        <w:numPr>
          <w:ilvl w:val="0"/>
          <w:numId w:val="2"/>
        </w:numPr>
        <w:spacing w:after="55" w:before="0" w:line="248"/>
      </w:pPr>
      <w:r>
        <w:rPr>
          <w:rFonts w:ascii="Arial" w:cs="Arial" w:eastAsia="Arial" w:hAnsi="Arial"/>
          <w:b/>
          <w:bCs/>
          <w:color w:val="1C2128"/>
          <w:sz w:val="19"/>
          <w:szCs w:val="19"/>
        </w:rPr>
        <w:t xml:space="preserve">Cellular and molecular assays.</w:t>
      </w:r>
      <w:r>
        <w:rPr>
          <w:rFonts w:ascii="Arial" w:cs="Arial" w:eastAsia="Arial" w:hAnsi="Arial"/>
          <w:color w:val="1C2128"/>
          <w:sz w:val="19"/>
          <w:szCs w:val="19"/>
        </w:rPr>
        <w:t xml:space="preserve"> Primary-cell culture and immune-cell functional assays; DNA, RNA, and protein workflows, including qRT-PCR, cloning, and Western blotting; Biacore SPR and ELISA binding assays.</w:t>
      </w:r>
    </w:p>
    <w:p>
      <w:pPr>
        <w:pStyle w:val="ListParagraph"/>
        <w:numPr>
          <w:ilvl w:val="0"/>
          <w:numId w:val="2"/>
        </w:numPr>
        <w:spacing w:after="55" w:before="0" w:line="248"/>
      </w:pPr>
      <w:r>
        <w:rPr>
          <w:rFonts w:ascii="Arial" w:cs="Arial" w:eastAsia="Arial" w:hAnsi="Arial"/>
          <w:b/>
          <w:bCs/>
          <w:color w:val="1C2128"/>
          <w:sz w:val="19"/>
          <w:szCs w:val="19"/>
        </w:rPr>
        <w:t xml:space="preserve">Animal models and immune monitoring.</w:t>
      </w:r>
      <w:r>
        <w:rPr>
          <w:rFonts w:ascii="Arial" w:cs="Arial" w:eastAsia="Arial" w:hAnsi="Arial"/>
          <w:color w:val="1C2128"/>
          <w:sz w:val="19"/>
          <w:szCs w:val="19"/>
        </w:rPr>
        <w:t xml:space="preserve"> EAE and Alzheimer's disease models; skin- and islet-transplantation studies; animal breeding, non-human-primate sampling, and longitudinal immune monitoring.</w:t>
      </w:r>
    </w:p>
    <w:p>
      <w:pPr>
        <w:pStyle w:val="ListParagraph"/>
        <w:numPr>
          <w:ilvl w:val="0"/>
          <w:numId w:val="2"/>
        </w:numPr>
        <w:spacing w:after="55" w:before="0" w:line="248"/>
      </w:pPr>
      <w:r>
        <w:rPr>
          <w:rFonts w:ascii="Arial" w:cs="Arial" w:eastAsia="Arial" w:hAnsi="Arial"/>
          <w:b/>
          <w:bCs/>
          <w:color w:val="1C2128"/>
          <w:sz w:val="19"/>
          <w:szCs w:val="19"/>
        </w:rPr>
        <w:t xml:space="preserve">Research coordination and grant writing.</w:t>
      </w:r>
      <w:r>
        <w:rPr>
          <w:rFonts w:ascii="Arial" w:cs="Arial" w:eastAsia="Arial" w:hAnsi="Arial"/>
          <w:color w:val="1C2128"/>
          <w:sz w:val="19"/>
          <w:szCs w:val="19"/>
        </w:rPr>
        <w:t xml:space="preserve"> Multi-site sample QC, project coordination across academia and industry, and contributions to grant proposals for programs with combined budgets of approximately $3 million.</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276"/>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70" w:before="0" w:line="240"/>
      </w:pPr>
      <w:hyperlink w:history="1" r:id="rIdf_qeto-ztfymhw-stkim3">
        <w:r>
          <w:rPr>
            <w:rFonts w:ascii="Arial" w:cs="Arial" w:eastAsia="Arial" w:hAnsi="Arial"/>
            <w:color w:val="2F5FE0"/>
            <w:sz w:val="18"/>
            <w:szCs w:val="18"/>
            <w:u w:val="single"/>
          </w:rPr>
          <w:t xml:space="preserve">Google Scholar · Full Profile, Citations &amp; h-index ↗</w:t>
        </w:r>
      </w:hyperlink>
    </w:p>
    <w:p>
      <w:pPr>
        <w:keepNext/>
        <w:spacing w:after="50" w:before="60" w:line="276"/>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_araeltvgh3yahati-_ff">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bqlsrxce_fexeyxsg9mr3">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Single-cell and functional dissection of skin-homing regulatory T cells in atopic dermatitis, with OX40 up-regulated alongside impaired suppressive function.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bon8jlgaqilkhrt7bznya">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hfgdgvhauxrygjv7ko0x9">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Ran GeoMx DSP end to end on a nevus-arising melanoma: immunofluorescence staining, fluorescence-guided ROI selection, instrument operation, and the spatial-transcriptomic analysis across 16 depth-segmented regions.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boq8bqyufhqyim2sjstal">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one of four authors contributing equally. JAK3-inhibitor-based immunosuppression in allogeneic islet transplantation in cynomolgus macaques.</w:t>
            </w:r>
          </w:p>
        </w:tc>
      </w:tr>
    </w:tbl>
    <w:p>
      <w:pPr>
        <w:keepNext/>
        <w:spacing w:after="50" w:before="60" w:line="276"/>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ftylqcegntx1pjoyyulcy">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wweexw10_pzq-u4eqia7m">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2023</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2021</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k0u-9eo0foahygai1ryjo">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2020</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p>
        </w:tc>
      </w:tr>
    </w:tbl>
    <w:p>
      <w:pPr>
        <w:keepNext/>
        <w:spacing w:after="50" w:before="60" w:line="276"/>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(immunology). Ran the Olink plasma proteomics across 12 patients and 6 controls and the flow-cytometry immunophenotyping of lymph-node leukocytes.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Transplantation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in vivo immunology</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Non-human-primate islet transplantation, systemic immunosuppression side: co-author on studies of </w:t>
            </w:r>
            <w:r>
              <w:rPr>
                <w:rFonts w:ascii="Arial" w:cs="Arial" w:eastAsia="Arial" w:hAnsi="Arial"/>
                <w:b/>
                <w:bCs/>
                <w:color w:val="1C2128"/>
                <w:sz w:val="20"/>
                <w:szCs w:val="20"/>
              </w:rPr>
              <w:t xml:space="preserve">anti-CD40 (2C10R4)</w:t>
            </w:r>
            <w:r>
              <w:rPr>
                <w:rFonts w:ascii="Arial" w:cs="Arial" w:eastAsia="Arial" w:hAnsi="Arial"/>
                <w:color w:val="1C2128"/>
                <w:sz w:val="20"/>
                <w:szCs w:val="20"/>
              </w:rPr>
              <w:t xml:space="preserve">, of a </w:t>
            </w:r>
            <w:r>
              <w:rPr>
                <w:rFonts w:ascii="Arial" w:cs="Arial" w:eastAsia="Arial" w:hAnsi="Arial"/>
                <w:b/>
                <w:bCs/>
                <w:color w:val="1C2128"/>
                <w:sz w:val="20"/>
                <w:szCs w:val="20"/>
              </w:rPr>
              <w:t xml:space="preserve">JAK inhibitor used in place of tacrolimus</w:t>
            </w:r>
            <w:r>
              <w:rPr>
                <w:rFonts w:ascii="Arial" w:cs="Arial" w:eastAsia="Arial" w:hAnsi="Arial"/>
                <w:color w:val="1C2128"/>
                <w:sz w:val="20"/>
                <w:szCs w:val="20"/>
              </w:rPr>
              <w:t xml:space="preserve">, and of </w:t>
            </w:r>
            <w:r>
              <w:rPr>
                <w:rFonts w:ascii="Arial" w:cs="Arial" w:eastAsia="Arial" w:hAnsi="Arial"/>
                <w:b/>
                <w:bCs/>
                <w:color w:val="1C2128"/>
                <w:sz w:val="20"/>
                <w:szCs w:val="20"/>
              </w:rPr>
              <w:t xml:space="preserve">IL-6 blockade</w:t>
            </w:r>
            <w:r>
              <w:rPr>
                <w:rFonts w:ascii="Arial" w:cs="Arial" w:eastAsia="Arial" w:hAnsi="Arial"/>
                <w:color w:val="1C2128"/>
                <w:sz w:val="20"/>
                <w:szCs w:val="20"/>
              </w:rPr>
              <w:t xml:space="preserve">; co-first author on long-term diabetes control with a tofacitinib-based regimen in rhesus monkeys (</w:t>
            </w:r>
            <w:r>
              <w:rPr>
                <w:rFonts w:ascii="Arial" w:cs="Arial" w:eastAsia="Arial" w:hAnsi="Arial"/>
                <w:i/>
                <w:iCs/>
                <w:color w:val="1C2128"/>
                <w:sz w:val="20"/>
                <w:szCs w:val="20"/>
              </w:rPr>
              <w:t xml:space="preserve">Xenotransplantation</w:t>
            </w:r>
            <w:r>
              <w:rPr>
                <w:rFonts w:ascii="Arial" w:cs="Arial" w:eastAsia="Arial" w:hAnsi="Arial"/>
                <w:color w:val="1C2128"/>
                <w:sz w:val="20"/>
                <w:szCs w:val="20"/>
              </w:rPr>
              <w:t xml:space="preserve"> 2024). Tissue processing, longitudinal immune monitoring, and brain and spinal cord harvest on those studies. </w:t>
            </w:r>
            <w:r>
              <w:rPr>
                <w:rFonts w:ascii="Arial" w:cs="Arial" w:eastAsia="Arial" w:hAnsi="Arial"/>
                <w:b/>
                <w:bCs/>
                <w:color w:val="1C2128"/>
                <w:sz w:val="20"/>
                <w:szCs w:val="20"/>
              </w:rPr>
              <w:t xml:space="preserve">EAE</w:t>
            </w:r>
            <w:r>
              <w:rPr>
                <w:rFonts w:ascii="Arial" w:cs="Arial" w:eastAsia="Arial" w:hAnsi="Arial"/>
                <w:color w:val="1C2128"/>
                <w:sz w:val="20"/>
                <w:szCs w:val="20"/>
              </w:rPr>
              <w:t xml:space="preserve"> studies in cynomolgus monkeys and marmosets designed and run for multiple sclerosis programs. Mouse </w:t>
            </w:r>
            <w:r>
              <w:rPr>
                <w:rFonts w:ascii="Arial" w:cs="Arial" w:eastAsia="Arial" w:hAnsi="Arial"/>
                <w:b/>
                <w:bCs/>
                <w:color w:val="1C2128"/>
                <w:sz w:val="20"/>
                <w:szCs w:val="20"/>
              </w:rPr>
              <w:t xml:space="preserve">Alzheimer's disease</w:t>
            </w:r>
            <w:r>
              <w:rPr>
                <w:rFonts w:ascii="Arial" w:cs="Arial" w:eastAsia="Arial" w:hAnsi="Arial"/>
                <w:color w:val="1C2128"/>
                <w:sz w:val="20"/>
                <w:szCs w:val="20"/>
              </w:rPr>
              <w:t xml:space="preserve"> neuroimmune profiling: whole-brain digestion, Percoll gradient, CD45⁺ FACS, 10x, analysis (</w:t>
            </w:r>
            <w:r>
              <w:rPr>
                <w:rFonts w:ascii="Arial" w:cs="Arial" w:eastAsia="Arial" w:hAnsi="Arial"/>
                <w:i/>
                <w:iCs/>
                <w:color w:val="1C2128"/>
                <w:sz w:val="20"/>
                <w:szCs w:val="20"/>
              </w:rPr>
              <w:t xml:space="preserve">J Neuroimmunol</w:t>
            </w:r>
            <w:r>
              <w:rPr>
                <w:rFonts w:ascii="Arial" w:cs="Arial" w:eastAsia="Arial" w:hAnsi="Arial"/>
                <w:color w:val="1C2128"/>
                <w:sz w:val="20"/>
                <w:szCs w:val="20"/>
              </w:rPr>
              <w:t xml:space="preserve"> 2025, co-first author).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Binding &amp; protein</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interaction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Biacore SPR</w:t>
            </w:r>
            <w:r>
              <w:rPr>
                <w:rFonts w:ascii="Arial" w:cs="Arial" w:eastAsia="Arial" w:hAnsi="Arial"/>
                <w:color w:val="1C2128"/>
                <w:sz w:val="20"/>
                <w:szCs w:val="20"/>
              </w:rPr>
              <w:t xml:space="preserve"> and ELISA for affinity, kinetics, competition binding, receptor blockade, and cross-species comparison; functional validation in primary human T cells.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Study execution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collaboration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Study design, external-study coordination, multi-site sample QC, milestone tracking, regulatory documentation, and data review.</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55" w:before="0" w:line="248"/>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tlfan99lcwemw2ivnurm">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50" w:before="60" w:line="276"/>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50" w:before="60" w:line="276"/>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50" w:before="60" w:line="276"/>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50" w:before="60" w:line="276"/>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~$571,000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2022–2024</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~$321,000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Scale-up Funding for Tech Commercialization</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~$222,000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2021–2022</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~$74,000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NAVER Corporation</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2023–2026</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~$128,000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Proposal &amp; study design (~50%)</w:t>
            </w:r>
          </w:p>
        </w:tc>
      </w:tr>
    </w:tbl>
    <w:p>
      <w:pPr>
        <w:keepNext/>
        <w:spacing w:after="50" w:before="60" w:line="276"/>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2022–2028 (3+3)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~$1.6M</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2020–2021</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~$40,000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Grant writing, experimental design &amp; technical validation</w:t>
            </w:r>
          </w:p>
        </w:tc>
      </w:tr>
    </w:tbl>
    <w:p>
      <w:pPr>
        <w:spacing w:after="70" w:before="0" w:line="240"/>
      </w:pPr>
      <w:r>
        <w:rPr>
          <w:rFonts w:ascii="Arial" w:cs="Arial" w:eastAsia="Arial" w:hAnsi="Arial"/>
          <w:color w:val="454C57"/>
          <w:sz w:val="18"/>
          <w:szCs w:val="18"/>
        </w:rPr>
        <w:t xml:space="preserve">All grants were held by the institutional Principal Investigator (Ph.D. advisor at SNU; company CEO/CSO at PB Immune Therapeutics); the listed roles reflect the applicant's contribution to proposal writing and project execution, </w:t>
      </w:r>
      <w:r>
        <w:rPr>
          <w:rFonts w:ascii="Arial" w:cs="Arial" w:eastAsia="Arial" w:hAnsi="Arial"/>
          <w:b/>
          <w:bCs/>
          <w:color w:val="454C57"/>
          <w:sz w:val="18"/>
          <w:szCs w:val="18"/>
        </w:rPr>
        <w:t xml:space="preserve">not as PI</w:t>
      </w:r>
      <w:r>
        <w:rPr>
          <w:rFonts w:ascii="Arial" w:cs="Arial" w:eastAsia="Arial" w:hAnsi="Arial"/>
          <w:color w:val="454C57"/>
          <w:sz w:val="18"/>
          <w:szCs w:val="18"/>
        </w:rPr>
        <w:t xml:space="preserve">. Budgets converted at ≈ ₩1,400 / USD.</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Year</w:t>
            </w:r>
          </w:p>
        </w:tc>
        <w:tc>
          <w:tcPr>
            <w:tcW w:type="dxa" w:w="205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Mentee / role at time</w:t>
            </w:r>
          </w:p>
        </w:tc>
        <w:tc>
          <w:tcPr>
            <w:tcW w:type="dxa" w:w="421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Current affiliation</w:t>
            </w:r>
          </w:p>
        </w:tc>
        <w:tc>
          <w:tcPr>
            <w:tcW w:type="dxa" w:w="3564"/>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Research training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2016</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 · BioTranslation Lab</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_qeto-ztfymhw-stkim3" Type="http://schemas.openxmlformats.org/officeDocument/2006/relationships/hyperlink" Target="https://scholar.google.com/citations?hl=ko&amp;user=tMsQgs8AAAAJ" TargetMode="External"/><Relationship Id="rId_araeltvgh3yahati-_ff" Type="http://schemas.openxmlformats.org/officeDocument/2006/relationships/hyperlink" Target="file:///Users/kang/CC/PostDoc-apply/Seong-Jun-CV/papers/2025_JNI_Alzheimer_scRNAseq.pdf" TargetMode="External"/><Relationship Id="rIdbqlsrxce_fexeyxsg9mr3" Type="http://schemas.openxmlformats.org/officeDocument/2006/relationships/hyperlink" Target="file:///Users/kang/CC/PostDoc-apply/Seong-Jun-CV/papers/2025_Allergy_AD_Treg.pdf" TargetMode="External"/><Relationship Id="rIdbon8jlgaqilkhrt7bznya" Type="http://schemas.openxmlformats.org/officeDocument/2006/relationships/hyperlink" Target="file:///Users/kang/CC/PostDoc-apply/Seong-Jun-CV/papers/2024_Xenotransplantation_tofacitinib.pdf" TargetMode="External"/><Relationship Id="rIdhfgdgvhauxrygjv7ko0x9" Type="http://schemas.openxmlformats.org/officeDocument/2006/relationships/hyperlink" Target="file:///Users/kang/CC/PostDoc-apply/Seong-Jun-CV/papers/2022_JEADV_melanoma_spatial.pdf" TargetMode="External"/><Relationship Id="rIdboq8bqyufhqyim2sjstal" Type="http://schemas.openxmlformats.org/officeDocument/2006/relationships/hyperlink" Target="file:///Users/kang/CC/PostDoc-apply/Seong-Jun-CV/papers/2019_Islets_JAK3_isletTx.pdf" TargetMode="External"/><Relationship Id="rIdftylqcegntx1pjoyyulcy" Type="http://schemas.openxmlformats.org/officeDocument/2006/relationships/hyperlink" Target="file:///Users/kang/CC/PostDoc-apply/Seong-Jun-CV/papers/2024_eBioMedicine_psoriasis_Treg.pdf" TargetMode="External"/><Relationship Id="rIdwweexw10_pzq-u4eqia7m" Type="http://schemas.openxmlformats.org/officeDocument/2006/relationships/hyperlink" Target="file:///Users/kang/CC/PostDoc-apply/Seong-Jun-CV/papers/2024_JEADV_melanoma_immune.pdf" TargetMode="External"/><Relationship Id="rIdk0u-9eo0foahygai1ryjo" Type="http://schemas.openxmlformats.org/officeDocument/2006/relationships/hyperlink" Target="file:///Users/kang/CC/PostDoc-apply/Seong-Jun-CV/papers/2021_CurrDiabRep_xeno_review.pdf" TargetMode="External"/><Relationship Id="rId-tlfan99lcwemw2ivnurm"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2026-09-23T18:17:22.014Z</dcterms:created>
  <dcterms:modified xsi:type="dcterms:W3CDTF">2026-09-23T18:17:22.014Z</dcterms:modified>
</cp:coreProperties>
</file>

<file path=docProps/custom.xml><?xml version="1.0" encoding="utf-8"?>
<Properties xmlns="http://schemas.openxmlformats.org/officeDocument/2006/custom-properties" xmlns:vt="http://schemas.openxmlformats.org/officeDocument/2006/docPropsVTypes"/>
</file>