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600"/>
        <w:gridCol w:w="3200"/>
      </w:tblGrid>
      <w:tr>
        <w:tc>
          <w:tcPr>
            <w:tcW w:type="dxa" w:w="7600"/>
            <w:tcBorders>
              <w:top w:val="none" w:color="FFFFFF" w:sz="0"/>
              <w:left w:val="none" w:color="FFFFFF" w:sz="0"/>
              <w:bottom w:val="none" w:color="FFFFFF" w:sz="0"/>
              <w:right w:val="none" w:color="FFFFFF" w:sz="0"/>
            </w:tcBorders>
          </w:tcPr>
          <w:p>
            <w:pPr>
              <w:spacing w:after="70" w:before="0" w:line="480"/>
            </w:pPr>
            <w:r>
              <w:rPr>
                <w:rFonts w:ascii="Arial" w:cs="Arial" w:eastAsia="Arial" w:hAnsi="Arial"/>
                <w:b/>
                <w:bCs/>
                <w:color w:val="0F1115"/>
                <w:sz w:val="48"/>
                <w:szCs w:val="48"/>
              </w:rPr>
              <w:t xml:space="preserve">Seong-Jun </w:t>
            </w:r>
            <w:r>
              <w:rPr>
                <w:rFonts w:ascii="Arial" w:cs="Arial" w:eastAsia="Arial" w:hAnsi="Arial"/>
                <w:b/>
                <w:bCs/>
                <w:color w:val="34618C"/>
                <w:sz w:val="48"/>
                <w:szCs w:val="48"/>
              </w:rPr>
              <w:t xml:space="preserve">Kang</w:t>
            </w:r>
            <w:r>
              <w:rPr>
                <w:rFonts w:ascii="Arial" w:cs="Arial" w:eastAsia="Arial" w:hAnsi="Arial"/>
                <w:b/>
                <w:bCs/>
                <w:color w:val="0F1115"/>
                <w:sz w:val="48"/>
                <w:szCs w:val="48"/>
              </w:rPr>
              <w:t xml:space="preserve">, Ph.D.</w:t>
            </w:r>
          </w:p>
          <w:p>
            <w:pPr>
              <w:spacing w:after="0" w:before="0" w:line="250"/>
            </w:pPr>
            <w:r>
              <w:rPr>
                <w:rFonts w:ascii="Arial" w:cs="Arial" w:eastAsia="Arial" w:hAnsi="Arial"/>
                <w:color w:val="454C57"/>
                <w:sz w:val="21"/>
                <w:szCs w:val="21"/>
              </w:rPr>
              <w:t xml:space="preserve">Experimental immunology, binding assays, and single-cell analysis</w:t>
            </w:r>
            <w:r>
              <w:rPr>
                <w:rFonts w:ascii="Arial" w:cs="Arial" w:eastAsia="Arial" w:hAnsi="Arial"/>
                <w:color w:val="454C57"/>
                <w:sz w:val="21"/>
                <w:szCs w:val="21"/>
              </w:rPr>
              <w:br/>
              <w:t xml:space="preserve"/>
            </w:r>
            <w:r>
              <w:rPr>
                <w:rFonts w:ascii="Arial" w:cs="Arial" w:eastAsia="Arial" w:hAnsi="Arial"/>
                <w:color w:val="454C57"/>
                <w:sz w:val="21"/>
                <w:szCs w:val="21"/>
              </w:rPr>
              <w:t xml:space="preserve">Postdoctoral Associate applicant · Keating Lab, MIT Department of Biology</w:t>
            </w:r>
          </w:p>
        </w:tc>
        <w:tc>
          <w:tcPr>
            <w:tcW w:type="dxa" w:w="3200"/>
            <w:tcBorders>
              <w:top w:val="none" w:color="FFFFFF" w:sz="0"/>
              <w:left w:val="none" w:color="FFFFFF" w:sz="0"/>
              <w:bottom w:val="none" w:color="FFFFFF" w:sz="0"/>
              <w:right w:val="none" w:color="FFFFFF" w:sz="0"/>
            </w:tcBorders>
          </w:tcPr>
          <w:p>
            <w:pPr>
              <w:spacing w:after="0" w:before="0" w:line="230"/>
              <w:jc w:val="right"/>
            </w:pPr>
            <w:r>
              <w:rPr>
                <w:rFonts w:ascii="Arial" w:cs="Arial" w:eastAsia="Arial" w:hAnsi="Arial"/>
                <w:color w:val="646C78"/>
                <w:sz w:val="18"/>
                <w:szCs w:val="18"/>
              </w:rPr>
              <w:t xml:space="preserve"> 101 Canal Street</w:t>
            </w:r>
            <w:r>
              <w:rPr>
                <w:rFonts w:ascii="Arial" w:cs="Arial" w:eastAsia="Arial" w:hAnsi="Arial"/>
                <w:color w:val="646C78"/>
                <w:sz w:val="18"/>
                <w:szCs w:val="18"/>
              </w:rPr>
              <w:br/>
              <w:t xml:space="preserve"/>
            </w:r>
            <w:r>
              <w:rPr>
                <w:rFonts w:ascii="Arial" w:cs="Arial" w:eastAsia="Arial" w:hAnsi="Arial"/>
                <w:color w:val="646C78"/>
                <w:sz w:val="18"/>
                <w:szCs w:val="18"/>
              </w:rPr>
              <w:t xml:space="preserve">Boston, MA 02114</w:t>
            </w:r>
            <w:r>
              <w:rPr>
                <w:rFonts w:ascii="Arial" w:cs="Arial" w:eastAsia="Arial" w:hAnsi="Arial"/>
                <w:color w:val="646C78"/>
                <w:sz w:val="18"/>
                <w:szCs w:val="18"/>
              </w:rPr>
              <w:br/>
              <w:t xml:space="preserve"/>
            </w:r>
            <w:r>
              <w:rPr>
                <w:rFonts w:ascii="Arial" w:cs="Arial" w:eastAsia="Arial" w:hAnsi="Arial"/>
                <w:color w:val="646C78"/>
                <w:sz w:val="18"/>
                <w:szCs w:val="18"/>
              </w:rPr>
              <w:t xml:space="preserve">(551) 239-0341</w:t>
            </w:r>
            <w:r>
              <w:rPr>
                <w:rFonts w:ascii="Arial" w:cs="Arial" w:eastAsia="Arial" w:hAnsi="Arial"/>
                <w:color w:val="646C78"/>
                <w:sz w:val="18"/>
                <w:szCs w:val="18"/>
              </w:rPr>
              <w:br/>
              <w:t xml:space="preserve"/>
            </w:r>
            <w:r>
              <w:rPr>
                <w:rFonts w:ascii="Arial" w:cs="Arial" w:eastAsia="Arial" w:hAnsi="Arial"/>
                <w:color w:val="646C78"/>
                <w:sz w:val="18"/>
                <w:szCs w:val="18"/>
              </w:rPr>
              <w:t xml:space="preserve">sjkang89@gmail.com</w:t>
            </w:r>
          </w:p>
        </w:tc>
      </w:tr>
    </w:tbl>
    <w:p>
      <w:pPr>
        <w:pBdr>
          <w:bottom w:val="single" w:color="0F1115" w:sz="18"/>
        </w:pBdr>
        <w:spacing w:after="130"/>
      </w:pPr>
    </w:p>
    <w:p>
      <w:pPr>
        <w:keepNext/>
        <w:spacing w:after="30"/>
      </w:pPr>
      <w:r>
        <w:rPr>
          <w:rFonts w:ascii="Arial" w:cs="Arial" w:eastAsia="Arial" w:hAnsi="Arial"/>
          <w:b/>
          <w:bCs/>
          <w:color w:val="34618C"/>
          <w:sz w:val="17"/>
          <w:szCs w:val="17"/>
        </w:rPr>
        <w:t xml:space="preserve">RESEARCH PROFILE</w:t>
      </w:r>
    </w:p>
    <w:p>
      <w:pPr>
        <w:spacing w:after="120" w:before="0" w:line="286"/>
      </w:pPr>
      <w:r>
        <w:rPr>
          <w:rFonts w:ascii="Arial" w:cs="Arial" w:eastAsia="Arial" w:hAnsi="Arial"/>
          <w:color w:val="454C57"/>
          <w:sz w:val="21"/>
          <w:szCs w:val="21"/>
        </w:rPr>
        <w:t xml:space="preserve">I am an immunologist with hands-on experience in Biacore SPR, ELISA, therapeutic antibody evaluation, and primary-cell functional assays. At PB Immune Therapeutics, I led anti-CD40 candidate evaluation and coordinated external studies from assay specification through data review and advancement decisions. I would bring binding measurements, experimental troubleshooting, and synthesis-and-testing coordination to the Keating Lab's peptide design campaign.</w:t>
      </w:r>
    </w:p>
    <w:p>
      <w:pPr>
        <w:keepNext/>
        <w:pBdr>
          <w:bottom w:val="single" w:color="0F1115" w:sz="12"/>
        </w:pBdr>
        <w:spacing w:after="95" w:before="180"/>
      </w:pPr>
      <w:r>
        <w:rPr>
          <w:rFonts w:ascii="Arial" w:cs="Arial" w:eastAsia="Arial" w:hAnsi="Arial"/>
          <w:b/>
          <w:bCs/>
          <w:color w:val="0F1115"/>
          <w:sz w:val="27"/>
          <w:szCs w:val="27"/>
        </w:rPr>
        <w:t xml:space="preserve">RESEARCH &amp; TECHNICAL EXPERTISE</w:t>
      </w:r>
    </w:p>
    <w:p>
      <w:pPr>
        <w:pStyle w:val="ListParagraph"/>
        <w:numPr>
          <w:ilvl w:val="0"/>
          <w:numId w:val="2"/>
        </w:numPr>
        <w:spacing w:after="55" w:before="0" w:line="248"/>
      </w:pPr>
      <w:r>
        <w:rPr>
          <w:rFonts w:ascii="Arial" w:cs="Arial" w:eastAsia="Arial" w:hAnsi="Arial"/>
          <w:b/>
          <w:bCs/>
          <w:color w:val="1C2128"/>
          <w:sz w:val="19"/>
          <w:szCs w:val="19"/>
        </w:rPr>
        <w:t xml:space="preserve">Single-cell and multimodal profiling.</w:t>
      </w:r>
      <w:r>
        <w:rPr>
          <w:rFonts w:ascii="Arial" w:cs="Arial" w:eastAsia="Arial" w:hAnsi="Arial"/>
          <w:color w:val="1C2128"/>
          <w:sz w:val="19"/>
          <w:szCs w:val="19"/>
        </w:rPr>
        <w:t xml:space="preserve"> 10x single-cell workflows, end-to-end GeoMx DSP, Visium spatial transcriptomics, MACSima multiplexed imaging, high-parameter flow cytometry, and Olink targeted proteomics.</w:t>
      </w:r>
    </w:p>
    <w:p>
      <w:pPr>
        <w:pStyle w:val="ListParagraph"/>
        <w:numPr>
          <w:ilvl w:val="0"/>
          <w:numId w:val="2"/>
        </w:numPr>
        <w:spacing w:after="55" w:before="0" w:line="248"/>
      </w:pPr>
      <w:r>
        <w:rPr>
          <w:rFonts w:ascii="Arial" w:cs="Arial" w:eastAsia="Arial" w:hAnsi="Arial"/>
          <w:b/>
          <w:bCs/>
          <w:color w:val="1C2128"/>
          <w:sz w:val="19"/>
          <w:szCs w:val="19"/>
        </w:rPr>
        <w:t xml:space="preserve">Computational analysis and AI-driven drug discovery.</w:t>
      </w:r>
      <w:r>
        <w:rPr>
          <w:rFonts w:ascii="Arial" w:cs="Arial" w:eastAsia="Arial" w:hAnsi="Arial"/>
          <w:color w:val="1C2128"/>
          <w:sz w:val="19"/>
          <w:szCs w:val="19"/>
        </w:rPr>
        <w:t xml:space="preserve"> Sequencing-data analysis in Python and R using statistical and machine-learning tools; multimodal integration and donor- or case-level evaluation. AI-driven drug discovery workflows spanning target discovery, binding prediction, virtual screening, and lead optimization.</w:t>
      </w:r>
    </w:p>
    <w:p>
      <w:pPr>
        <w:pStyle w:val="ListParagraph"/>
        <w:numPr>
          <w:ilvl w:val="0"/>
          <w:numId w:val="2"/>
        </w:numPr>
        <w:spacing w:after="55" w:before="0" w:line="248"/>
      </w:pPr>
      <w:r>
        <w:rPr>
          <w:rFonts w:ascii="Arial" w:cs="Arial" w:eastAsia="Arial" w:hAnsi="Arial"/>
          <w:b/>
          <w:bCs/>
          <w:color w:val="1C2128"/>
          <w:sz w:val="19"/>
          <w:szCs w:val="19"/>
        </w:rPr>
        <w:t xml:space="preserve">Cellular and molecular assays.</w:t>
      </w:r>
      <w:r>
        <w:rPr>
          <w:rFonts w:ascii="Arial" w:cs="Arial" w:eastAsia="Arial" w:hAnsi="Arial"/>
          <w:color w:val="1C2128"/>
          <w:sz w:val="19"/>
          <w:szCs w:val="19"/>
        </w:rPr>
        <w:t xml:space="preserve"> Primary-cell culture and immune-cell functional assays; DNA, RNA, and protein workflows, including qRT-PCR, cloning, and Western blotting; Biacore SPR and ELISA binding assays.</w:t>
      </w:r>
    </w:p>
    <w:p>
      <w:pPr>
        <w:pStyle w:val="ListParagraph"/>
        <w:numPr>
          <w:ilvl w:val="0"/>
          <w:numId w:val="2"/>
        </w:numPr>
        <w:spacing w:after="55" w:before="0" w:line="248"/>
      </w:pPr>
      <w:r>
        <w:rPr>
          <w:rFonts w:ascii="Arial" w:cs="Arial" w:eastAsia="Arial" w:hAnsi="Arial"/>
          <w:b/>
          <w:bCs/>
          <w:color w:val="1C2128"/>
          <w:sz w:val="19"/>
          <w:szCs w:val="19"/>
        </w:rPr>
        <w:t xml:space="preserve">Animal models and immune monitoring.</w:t>
      </w:r>
      <w:r>
        <w:rPr>
          <w:rFonts w:ascii="Arial" w:cs="Arial" w:eastAsia="Arial" w:hAnsi="Arial"/>
          <w:color w:val="1C2128"/>
          <w:sz w:val="19"/>
          <w:szCs w:val="19"/>
        </w:rPr>
        <w:t xml:space="preserve"> EAE and Alzheimer's disease models; skin- and islet-transplantation studies; animal breeding, non-human-primate sampling, and longitudinal immune monitoring.</w:t>
      </w:r>
    </w:p>
    <w:p>
      <w:pPr>
        <w:pStyle w:val="ListParagraph"/>
        <w:numPr>
          <w:ilvl w:val="0"/>
          <w:numId w:val="2"/>
        </w:numPr>
        <w:spacing w:after="55" w:before="0" w:line="248"/>
      </w:pPr>
      <w:r>
        <w:rPr>
          <w:rFonts w:ascii="Arial" w:cs="Arial" w:eastAsia="Arial" w:hAnsi="Arial"/>
          <w:b/>
          <w:bCs/>
          <w:color w:val="1C2128"/>
          <w:sz w:val="19"/>
          <w:szCs w:val="19"/>
        </w:rPr>
        <w:t xml:space="preserve">Research coordination and grant writing.</w:t>
      </w:r>
      <w:r>
        <w:rPr>
          <w:rFonts w:ascii="Arial" w:cs="Arial" w:eastAsia="Arial" w:hAnsi="Arial"/>
          <w:color w:val="1C2128"/>
          <w:sz w:val="19"/>
          <w:szCs w:val="19"/>
        </w:rPr>
        <w:t xml:space="preserve"> Multi-site sample QC, project coordination across academia and industry, and contributions to grant proposals for programs with combined budgets of approximately $3 million.</w:t>
      </w:r>
    </w:p>
    <w:p>
      <w:pPr>
        <w:keepNext/>
        <w:pBdr>
          <w:bottom w:val="single" w:color="0F1115" w:sz="12"/>
        </w:pBdr>
        <w:spacing w:after="95" w:before="180"/>
      </w:pPr>
      <w:r>
        <w:rPr>
          <w:rFonts w:ascii="Arial" w:cs="Arial" w:eastAsia="Arial" w:hAnsi="Arial"/>
          <w:b/>
          <w:bCs/>
          <w:color w:val="0F1115"/>
          <w:sz w:val="27"/>
          <w:szCs w:val="27"/>
        </w:rPr>
        <w:t xml:space="preserve">EDUCATION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Ph.D.</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2014–2023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Exploration of the Role of Regulatory T cells in Various Pathogenic Contexts</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2012–2014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Enhanced LPS-Induced Monocyte Activation by Recombinant Human Soluble CD14</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2008–2012</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Sungkyunkwan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Suwon,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Genetic Engineering</w:t>
            </w:r>
          </w:p>
        </w:tc>
      </w:tr>
    </w:tbl>
    <w:p>
      <w:pPr>
        <w:keepNext/>
        <w:pBdr>
          <w:bottom w:val="single" w:color="0F1115" w:sz="12"/>
        </w:pBdr>
        <w:spacing w:after="95" w:before="180"/>
      </w:pPr>
      <w:r>
        <w:rPr>
          <w:rFonts w:ascii="Arial" w:cs="Arial" w:eastAsia="Arial" w:hAnsi="Arial"/>
          <w:b/>
          <w:bCs/>
          <w:color w:val="0F1115"/>
          <w:sz w:val="27"/>
          <w:szCs w:val="27"/>
        </w:rPr>
        <w:t xml:space="preserve">RESEARCH &amp; PROFESSIONAL EXPERIENCE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(postdoctoral)</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2025–present</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Yonsei University Wonju College of Medicine</w:t>
            </w:r>
            <w:r>
              <w:rPr>
                <w:rFonts w:ascii="Arial" w:cs="Arial" w:eastAsia="Arial" w:hAnsi="Arial"/>
                <w:color w:val="1C2128"/>
                <w:sz w:val="21"/>
                <w:szCs w:val="21"/>
              </w:rPr>
              <w:t xml:space="preserve"> · Dept. of Physiology / Organelle Medicine Research Center, </w:t>
            </w:r>
            <w:r>
              <w:rPr>
                <w:rFonts w:ascii="Arial" w:cs="Arial" w:eastAsia="Arial" w:hAnsi="Arial"/>
                <w:color w:val="454C57"/>
                <w:sz w:val="21"/>
                <w:szCs w:val="21"/>
              </w:rPr>
              <w:t xml:space="preserve">Wonju,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Contributed to a project examining associations between skin immunity and Alzheimer's disease using public transcriptomic and clinical datasets.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Associate Director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2023–Aug 2025</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anti-CD40 candidate evaluation, including primate studies, external-study coordination, advancement decisions, and single-cell/spatial workflow development.</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Manager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May 2021–Aug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KDDF-funded anti-CD40 lead-selection work and wrote proposals for multiple-sclerosis and pemphigus-vulgaris programs.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2019–Apr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Xenotransplantation Research Center,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Rhesus tissue processing and transplant immune monitoring.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Military Service</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2016–Aug 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Personnel, Transplantation Research Institute, Seoul National University MRC</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Teaching Assistant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 College of Medicine</w:t>
            </w:r>
            <w:r>
              <w:rPr>
                <w:rFonts w:ascii="Arial" w:cs="Arial" w:eastAsia="Arial" w:hAnsi="Arial"/>
                <w:color w:val="1C2128"/>
                <w:sz w:val="21"/>
                <w:szCs w:val="21"/>
              </w:rPr>
              <w:t xml:space="preserve"> · Dept. of Microbiology and Immunology,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BK21 Research Student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Plus Biomedical Science Project,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p>
      <w:pPr>
        <w:keepNext/>
        <w:pBdr>
          <w:bottom w:val="single" w:color="0F1115" w:sz="12"/>
        </w:pBdr>
        <w:spacing w:after="95" w:before="180"/>
      </w:pPr>
      <w:r>
        <w:rPr>
          <w:rFonts w:ascii="Arial" w:cs="Arial" w:eastAsia="Arial" w:hAnsi="Arial"/>
          <w:b/>
          <w:bCs/>
          <w:color w:val="0F1115"/>
          <w:sz w:val="27"/>
          <w:szCs w:val="27"/>
        </w:rPr>
        <w:t xml:space="preserve">PUBLICATIONS</w:t>
      </w:r>
    </w:p>
    <w:p>
      <w:pPr>
        <w:spacing w:after="80" w:before="0" w:line="276"/>
      </w:pPr>
      <w:r>
        <w:rPr>
          <w:rFonts w:ascii="Arial" w:cs="Arial" w:eastAsia="Arial" w:hAnsi="Arial"/>
          <w:b/>
          <w:bCs/>
          <w:color w:val="34618C"/>
          <w:sz w:val="19"/>
          <w:szCs w:val="19"/>
        </w:rPr>
        <w:t xml:space="preserve">20</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Total</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17</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revision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2</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preparation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6</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First / Co-first</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 &amp; in revision</w:t>
      </w:r>
    </w:p>
    <w:p>
      <w:pPr>
        <w:spacing w:after="70" w:before="0" w:line="240"/>
      </w:pPr>
      <w:hyperlink w:history="1" r:id="rIddk5p_hr-ruxxebtgtmmcc">
        <w:r>
          <w:rPr>
            <w:rFonts w:ascii="Arial" w:cs="Arial" w:eastAsia="Arial" w:hAnsi="Arial"/>
            <w:color w:val="2F5FE0"/>
            <w:sz w:val="18"/>
            <w:szCs w:val="18"/>
            <w:u w:val="single"/>
          </w:rPr>
          <w:t xml:space="preserve">Google Scholar · Full Profile, Citations &amp; h-index ↗</w:t>
        </w:r>
      </w:hyperlink>
    </w:p>
    <w:p>
      <w:pPr>
        <w:keepNext/>
        <w:spacing w:after="50" w:before="60" w:line="276"/>
      </w:pPr>
      <w:r>
        <w:rPr>
          <w:rFonts w:ascii="Arial" w:cs="Arial" w:eastAsia="Arial" w:hAnsi="Arial"/>
          <w:b/>
          <w:bCs/>
          <w:color w:val="34618C"/>
          <w:sz w:val="17"/>
          <w:szCs w:val="17"/>
        </w:rPr>
        <w:t xml:space="preserve">First / Co-first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Woogil Song*,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Taehee Stella Kim*, Seyoung Jung, Sung Hee Kim, Su Chan Park, Sung Hae Chang, Eun Young Lee, Tae-Gyun Kim, Hyun Je Kim, Jeong Seok Lee. </w:t>
            </w:r>
            <w:r>
              <w:rPr>
                <w:rFonts w:ascii="Arial" w:cs="Arial" w:eastAsia="Arial" w:hAnsi="Arial"/>
                <w:b/>
                <w:bCs/>
                <w:color w:val="1C2128"/>
                <w:sz w:val="19"/>
                <w:szCs w:val="19"/>
              </w:rPr>
              <w:t xml:space="preserve">"Conserved PDE4D short-isoform bias defines pathogenic Th1.17 state across human inflammatory diseases."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Nature Immunology</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revision</w:t>
            </w:r>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Isoform analysis of 251,055 memory CD4-positive T cells identified a PDE4D short-isoform bias in pathogenic Th1.17 cells. The study also tested selective inhibition.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Thuy Nguyen-Phuong*, Yijoon Kim, Jin-Mi Oh, Jae-chun Go, DaeSik Kim, Chung-Gyu Park, Hyunsu Lee, Hyun Je Kim. </w:t>
            </w:r>
            <w:r>
              <w:rPr>
                <w:rFonts w:ascii="Arial" w:cs="Arial" w:eastAsia="Arial" w:hAnsi="Arial"/>
                <w:b/>
                <w:bCs/>
                <w:color w:val="1C2128"/>
                <w:sz w:val="19"/>
                <w:szCs w:val="19"/>
              </w:rPr>
              <w:t xml:space="preserve">"Immune cell-enriched single-cell RNA sequencing unveils the interplay between infiltrated CD8⁺ T resident memory cells and choroid plexus epithelial cells in Alzheimer's disease."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Journal of Neuroimmunology</w:t>
            </w:r>
            <w:r>
              <w:rPr>
                <w:rFonts w:ascii="Arial" w:cs="Arial" w:eastAsia="Arial" w:hAnsi="Arial"/>
                <w:color w:val="1C2128"/>
                <w:sz w:val="19"/>
                <w:szCs w:val="19"/>
              </w:rPr>
              <w:t xml:space="preserve">. </w:t>
            </w:r>
            <w:hyperlink w:history="1" r:id="rIdwvermeu_omvgl0warlxxs">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Immune-enriched single-cell analysis of 11,587 mouse brain cells examined CD8-positive resident memory T cells and their interactions with choroid plexus epithelium.</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Jeong-Ryeol Gong*, Seon-Pil Jin, Jin-Mi Oh, Hyunjin Jin, Yuji Lee, Yewon Moon, Dongjun Kim, Hyo Jeong Nam, Hyun Seung Choi, Sanha Hwang, Yun Jung Huh, Kyung Yeon Han, Jihwan Moon, Jongsuk Chung, Woong-Yang Park, Chung-Gyu Park, Hyun Je Kim, Jeong Eun Kim. </w:t>
            </w:r>
            <w:r>
              <w:rPr>
                <w:rFonts w:ascii="Arial" w:cs="Arial" w:eastAsia="Arial" w:hAnsi="Arial"/>
                <w:b/>
                <w:bCs/>
                <w:color w:val="1C2128"/>
                <w:sz w:val="19"/>
                <w:szCs w:val="19"/>
              </w:rPr>
              <w:t xml:space="preserve">"Deciphering Dysfunctional Regulatory T Cells in Atopic Dermatitis."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 </w:t>
            </w:r>
            <w:hyperlink w:history="1" r:id="rIdc62sffhub2s00rx289euo">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Single-cell profiling and functional assays examined skin-homing regulatory T cells in atopic dermatitis. OX40 was increased alongside impaired suppressive function.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So-Hee Hong*, Hyunwoo Chung, Jun-Seop Shin, Byoung-Hoon Min, Hyun Je Kim, Jongwon Ha, Chung-Gyu Park. </w:t>
            </w:r>
            <w:r>
              <w:rPr>
                <w:rFonts w:ascii="Arial" w:cs="Arial" w:eastAsia="Arial" w:hAnsi="Arial"/>
                <w:b/>
                <w:bCs/>
                <w:color w:val="1C2128"/>
                <w:sz w:val="19"/>
                <w:szCs w:val="19"/>
              </w:rPr>
              <w:t xml:space="preserve">"Long-term control of diabetes by tofacitinib-based immunosuppressive regimen after allo-islet transplantation in diabetic rhesus monkeys that rejected previously transplanted porcine islets."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 </w:t>
            </w:r>
            <w:hyperlink w:history="1" r:id="rIdpi9n32dldmb82tjign2_m">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A tofacitinib-based regimen supported long-term diabetes control after islet allotransplantation in rhesus macaques. The work included longitudinal immune monitoring.</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Beom Keun Cho, Hyun Je Kim, … Chong Hyun Won, Chung-Gyu Park. </w:t>
            </w:r>
            <w:r>
              <w:rPr>
                <w:rFonts w:ascii="Arial" w:cs="Arial" w:eastAsia="Arial" w:hAnsi="Arial"/>
                <w:b/>
                <w:bCs/>
                <w:color w:val="1C2128"/>
                <w:sz w:val="19"/>
                <w:szCs w:val="19"/>
              </w:rPr>
              <w:t xml:space="preserve">"Intra-tumoral heterogeneity and immune escape of melanoma arising from congenital melanocytic nevus revealed by spatial gene expression profiling."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naxovwt_ubkopti_w8gfk">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GeoMx profiling across 16 regions examined melanoma heterogeneity by invasion depth. HLA class I and II expression decreased with greater invasion.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Il-Hee Yoon, Hyunwoo Chung, Jiyeon Kim, Eung-Soo Hwang, Jongwon Ha, Chung-Gyu Park. </w:t>
            </w:r>
            <w:r>
              <w:rPr>
                <w:rFonts w:ascii="Arial" w:cs="Arial" w:eastAsia="Arial" w:hAnsi="Arial"/>
                <w:b/>
                <w:bCs/>
                <w:color w:val="1C2128"/>
                <w:sz w:val="19"/>
                <w:szCs w:val="19"/>
              </w:rPr>
              <w:t xml:space="preserve">"JAK3 inhibitor-based immunosuppression in allogeneic islet transplantation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Islets</w:t>
            </w:r>
            <w:r>
              <w:rPr>
                <w:rFonts w:ascii="Arial" w:cs="Arial" w:eastAsia="Arial" w:hAnsi="Arial"/>
                <w:color w:val="1C2128"/>
                <w:sz w:val="19"/>
                <w:szCs w:val="19"/>
              </w:rPr>
              <w:t xml:space="preserve">. </w:t>
            </w:r>
            <w:hyperlink w:history="1" r:id="rIdvqecl9ucskfa5lmde8a73">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The study tested JAK3 inhibitor-based immunosuppression in cynomolgus macaques receiving allogeneic islet transplants, as an approach to controlling transplant rejection.</w:t>
            </w:r>
          </w:p>
        </w:tc>
      </w:tr>
    </w:tbl>
    <w:p>
      <w:pPr>
        <w:keepNext/>
        <w:spacing w:after="50" w:before="60" w:line="276"/>
      </w:pPr>
      <w:r>
        <w:rPr>
          <w:rFonts w:ascii="Arial" w:cs="Arial" w:eastAsia="Arial" w:hAnsi="Arial"/>
          <w:b/>
          <w:bCs/>
          <w:color w:val="34618C"/>
          <w:sz w:val="17"/>
          <w:szCs w:val="17"/>
        </w:rPr>
        <w:t xml:space="preserve">Contributing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 Ho Lee*, Sung Ha Lim*, Hyungdon Kook,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Geon Lee, Brian Hyohyoung Lee, Hyunsung Nam, YongJun Kim, Christine Suh-Yun Joh, Soyoung Jeong, Dongryeol Shin, Hyun Je Kim, Jiyoung Ahn. </w:t>
            </w:r>
            <w:r>
              <w:rPr>
                <w:rFonts w:ascii="Arial" w:cs="Arial" w:eastAsia="Arial" w:hAnsi="Arial"/>
                <w:b/>
                <w:bCs/>
                <w:color w:val="1C2128"/>
                <w:sz w:val="19"/>
                <w:szCs w:val="19"/>
              </w:rPr>
              <w:t xml:space="preserve">"Mycosis Fungoides-like Atopic Dermatitis Represents a Th22-dominant Inflammatory Endotype."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w:t>
            </w:r>
            <w:r>
              <w:rPr>
                <w:rFonts w:ascii="Arial" w:cs="Arial" w:eastAsia="Arial" w:hAnsi="Arial"/>
                <w:color w:val="1C2128"/>
                <w:sz w:val="19"/>
                <w:szCs w:val="19"/>
              </w:rPr>
              <w:br/>
              <w:t xml:space="preserve"/>
            </w:r>
            <w:r>
              <w:rPr>
                <w:rFonts w:ascii="Arial" w:cs="Arial" w:eastAsia="Arial" w:hAnsi="Arial"/>
                <w:color w:val="454C57"/>
                <w:sz w:val="19"/>
                <w:szCs w:val="19"/>
              </w:rPr>
              <w:t xml:space="preserve">Single-cell RNA and TCR analysis identified a reactive, oligoclonal Th22 endotype in mycosis fungoides-like atopic dermatitis. The study distinguished this inflammatory state from malignancy.</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Brian Hyohyoung Lee*, Yoon Ji Bang*, Sung Ha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Sung Hee Kim, Seunghee Kim-Schulze, Chung-Gyu Park, Hyun Je Kim, Tae-Gyun Kim. </w:t>
            </w:r>
            <w:r>
              <w:rPr>
                <w:rFonts w:ascii="Arial" w:cs="Arial" w:eastAsia="Arial" w:hAnsi="Arial"/>
                <w:b/>
                <w:bCs/>
                <w:color w:val="1C2128"/>
                <w:sz w:val="19"/>
                <w:szCs w:val="19"/>
              </w:rPr>
              <w:t xml:space="preserve">"High-dimensional profiling of regulatory T cells in psoriasis reveals an impaired skin-trafficking property."</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eBioMedicine</w:t>
            </w:r>
            <w:r>
              <w:rPr>
                <w:rFonts w:ascii="Arial" w:cs="Arial" w:eastAsia="Arial" w:hAnsi="Arial"/>
                <w:color w:val="1C2128"/>
                <w:sz w:val="19"/>
                <w:szCs w:val="19"/>
              </w:rPr>
              <w:t xml:space="preserve">. </w:t>
            </w:r>
            <w:hyperlink w:history="1" r:id="rIdal-9cjbe9jw28weendrxp">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High-dimensional immune profiling examined regulatory T cells in psoriasis. The study identified an impaired skin-trafficking phenotype in this population.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Beom Keun Cho*,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Soyoung Jeong, Hyun Je Kim, Jiyoon Baek, Ji Hwan Moon, Cheol Lee, Chan-Sik Park, Je-Ho Mun, Chong Hyun Won, Chung-Gyu Park. </w:t>
            </w:r>
            <w:r>
              <w:rPr>
                <w:rFonts w:ascii="Arial" w:cs="Arial" w:eastAsia="Arial" w:hAnsi="Arial"/>
                <w:b/>
                <w:bCs/>
                <w:color w:val="1C2128"/>
                <w:sz w:val="19"/>
                <w:szCs w:val="19"/>
              </w:rPr>
              <w:t xml:space="preserve">"Spatial transcriptomic analysis of tumour–immune cell interactions in melanoma arising from congenital melanocytic nevus."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mh9lmop86w27uslkud2h2">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GeoMx spatial transcriptomics examined tumour–immune cell interactions in melanoma arising from congenital melanocytic nevus, retaining the tissue locations of the measured gene expression.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2023</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Sunyoung Jung*, Sunho Lee, Hyun Je Kim, Sueon Kim, Ji Hwan Moon, Hyunwoo Chung,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extracellular vesicles subvert Th17 cells by destabilizing RORγt through posttranslational modification."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r>
              <w:rPr>
                <w:rFonts w:ascii="Arial" w:cs="Arial" w:eastAsia="Arial" w:hAnsi="Arial"/>
                <w:color w:val="1C2128"/>
                <w:sz w:val="19"/>
                <w:szCs w:val="19"/>
              </w:rPr>
              <w:br/>
              <w:t xml:space="preserve"/>
            </w:r>
            <w:r>
              <w:rPr>
                <w:rFonts w:ascii="Arial" w:cs="Arial" w:eastAsia="Arial" w:hAnsi="Arial"/>
                <w:color w:val="454C57"/>
                <w:sz w:val="19"/>
                <w:szCs w:val="19"/>
              </w:rPr>
              <w:t xml:space="preserve">Mesenchymal stem cell-derived extracellular vesicles suppressed Th17 cells. The study linked this effect to destabilization of RORγt through post-translational modification.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Sangho Lee, Han-Teo Lee, Young Ah Kim, Il-Hwan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Kyeongpyo Sim, Chung-Gyu Park, Kyungho Choi, Hong-Duk Youn. </w:t>
            </w:r>
            <w:r>
              <w:rPr>
                <w:rFonts w:ascii="Arial" w:cs="Arial" w:eastAsia="Arial" w:hAnsi="Arial"/>
                <w:b/>
                <w:bCs/>
                <w:color w:val="1C2128"/>
                <w:sz w:val="19"/>
                <w:szCs w:val="19"/>
              </w:rPr>
              <w:t xml:space="preserve">"The optimized core peptide derived from CABIN1 efficiently inhibits calcineurin-mediated T-cell activation."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r>
              <w:rPr>
                <w:rFonts w:ascii="Arial" w:cs="Arial" w:eastAsia="Arial" w:hAnsi="Arial"/>
                <w:color w:val="1C2128"/>
                <w:sz w:val="19"/>
                <w:szCs w:val="19"/>
              </w:rPr>
              <w:br/>
              <w:t xml:space="preserve"/>
            </w:r>
            <w:r>
              <w:rPr>
                <w:rFonts w:ascii="Arial" w:cs="Arial" w:eastAsia="Arial" w:hAnsi="Arial"/>
                <w:color w:val="454C57"/>
                <w:sz w:val="19"/>
                <w:szCs w:val="19"/>
              </w:rPr>
              <w:t xml:space="preserve">An optimized peptide inhibited calcineurin-mediated T-cell activation. The study examined peptide-based suppression of T-cell responses.</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2021</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So Hee Hong, Hyun Je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"Novel Immunomodulatory Approaches for Porcine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Current Diabetes Reports</w:t>
            </w:r>
            <w:r>
              <w:rPr>
                <w:rFonts w:ascii="Arial" w:cs="Arial" w:eastAsia="Arial" w:hAnsi="Arial"/>
                <w:color w:val="1C2128"/>
                <w:sz w:val="19"/>
                <w:szCs w:val="19"/>
              </w:rPr>
              <w:t xml:space="preserve">. </w:t>
            </w:r>
            <w:hyperlink w:history="1" r:id="rIdt3zgazumt7ize7yo_gcix">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This review examined immunomodulatory approaches for porcine islet xenotransplantation, with a focus on strategies for controlling immune responses to transplanted islets.</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2020</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Sunho Lee, Sueon Kim, Hyunwoo Chung, Ji Hwan Moon,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exosomes suppress proliferation of T cells by inducing cell cycle arrest through p27kip1/Cdk2 signaling."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Immunology Letters</w:t>
            </w:r>
            <w:r>
              <w:rPr>
                <w:rFonts w:ascii="Arial" w:cs="Arial" w:eastAsia="Arial" w:hAnsi="Arial"/>
                <w:color w:val="1C2128"/>
                <w:sz w:val="19"/>
                <w:szCs w:val="19"/>
              </w:rPr>
              <w:t xml:space="preserve">.</w:t>
            </w:r>
            <w:r>
              <w:rPr>
                <w:rFonts w:ascii="Arial" w:cs="Arial" w:eastAsia="Arial" w:hAnsi="Arial"/>
                <w:color w:val="1C2128"/>
                <w:sz w:val="19"/>
                <w:szCs w:val="19"/>
              </w:rPr>
              <w:br/>
              <w:t xml:space="preserve"/>
            </w:r>
            <w:r>
              <w:rPr>
                <w:rFonts w:ascii="Arial" w:cs="Arial" w:eastAsia="Arial" w:hAnsi="Arial"/>
                <w:color w:val="454C57"/>
                <w:sz w:val="19"/>
                <w:szCs w:val="19"/>
              </w:rPr>
              <w:t xml:space="preserve">Mesenchymal stem cell-derived exosomes suppressed T-cell proliferation. The study linked this effect to cell-cycle arrest through p27kip1/Cdk2 signaling.</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Hyun Je Kim, Ji Hwan Moon, Hyunwoo Chung, Jun-Seop Shin, Bongi Kim, Jong Min Kim, Jung-Sik Kim, Il-Hee Yoon,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Kyuri Jo, Joungmin Choi, Heejoon Chae, Won Woo Lee, Sun Kim, Chung-Gyu Park. </w:t>
            </w:r>
            <w:r>
              <w:rPr>
                <w:rFonts w:ascii="Arial" w:cs="Arial" w:eastAsia="Arial" w:hAnsi="Arial"/>
                <w:b/>
                <w:bCs/>
                <w:color w:val="1C2128"/>
                <w:sz w:val="19"/>
                <w:szCs w:val="19"/>
              </w:rPr>
              <w:t xml:space="preserve">"Bioinformatic analysis of peripheral blood RNA-sequencing sensitively detects the cause of late graft loss following overt hyperglycemia in pig-to-non-human primate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Scientific Reports</w:t>
            </w:r>
            <w:r>
              <w:rPr>
                <w:rFonts w:ascii="Arial" w:cs="Arial" w:eastAsia="Arial" w:hAnsi="Arial"/>
                <w:color w:val="1C2128"/>
                <w:sz w:val="19"/>
                <w:szCs w:val="19"/>
              </w:rPr>
              <w:t xml:space="preserve">.</w:t>
            </w:r>
            <w:r>
              <w:rPr>
                <w:rFonts w:ascii="Arial" w:cs="Arial" w:eastAsia="Arial" w:hAnsi="Arial"/>
                <w:color w:val="1C2128"/>
                <w:sz w:val="19"/>
                <w:szCs w:val="19"/>
              </w:rPr>
              <w:br/>
              <w:t xml:space="preserve"/>
            </w:r>
            <w:r>
              <w:rPr>
                <w:rFonts w:ascii="Arial" w:cs="Arial" w:eastAsia="Arial" w:hAnsi="Arial"/>
                <w:color w:val="454C57"/>
                <w:sz w:val="19"/>
                <w:szCs w:val="19"/>
              </w:rPr>
              <w:t xml:space="preserve">Peripheral-blood RNA sequencing was used to investigate late graft loss after hyperglycemia in pig-to-primate islet transplantation, using bioinformatic analysis of blood gene expression.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Byoung-Hoon Min, Jun-Seop Shin, 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Hyun-Je Kim, Il-Hee Yoon, Su-Kyoung Park, Ji-won Choi, Min-Suk Lee, Chung-Gyu Park. </w:t>
            </w:r>
            <w:r>
              <w:rPr>
                <w:rFonts w:ascii="Arial" w:cs="Arial" w:eastAsia="Arial" w:hAnsi="Arial"/>
                <w:b/>
                <w:bCs/>
                <w:color w:val="1C2128"/>
                <w:sz w:val="19"/>
                <w:szCs w:val="19"/>
              </w:rPr>
              <w:t xml:space="preserve">"Delayed revascularization of islets after transplantation by IL-6 blockade in pig-to-non-human primate islet xenotransplantation model."</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r>
              <w:rPr>
                <w:rFonts w:ascii="Arial" w:cs="Arial" w:eastAsia="Arial" w:hAnsi="Arial"/>
                <w:color w:val="1C2128"/>
                <w:sz w:val="19"/>
                <w:szCs w:val="19"/>
              </w:rPr>
              <w:br/>
              <w:t xml:space="preserve"/>
            </w:r>
            <w:r>
              <w:rPr>
                <w:rFonts w:ascii="Arial" w:cs="Arial" w:eastAsia="Arial" w:hAnsi="Arial"/>
                <w:color w:val="454C57"/>
                <w:sz w:val="19"/>
                <w:szCs w:val="19"/>
              </w:rPr>
              <w:t xml:space="preserve">The study examined IL-6 blockade in a pig-to-primate islet transplantation model. Blocking IL-6 was associated with delayed revascularization of the transplanted islets.</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Jun-Seop Shin, Jong-Min Kim, Byoung-Hoon Min, Il Hee Yoon, Hyun Je Kim, Jung-Sik Kim, Yong-Hee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Jiyeon Kim, Hee-Jung Kang, Dong-Gyun Lim, Eung-Soo Hwang, Jongwon Ha, Sang-Joon Kim, Wan Beom Park, Chung-Gyu Park. </w:t>
            </w:r>
            <w:r>
              <w:rPr>
                <w:rFonts w:ascii="Arial" w:cs="Arial" w:eastAsia="Arial" w:hAnsi="Arial"/>
                <w:b/>
                <w:bCs/>
                <w:color w:val="1C2128"/>
                <w:sz w:val="19"/>
                <w:szCs w:val="19"/>
              </w:rPr>
              <w:t xml:space="preserve">"Pre-clinical results in pig-to-non-human primate islet xenotransplantation using anti-CD40 antibody (2C10R4)-based immunosuppression."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r>
              <w:rPr>
                <w:rFonts w:ascii="Arial" w:cs="Arial" w:eastAsia="Arial" w:hAnsi="Arial"/>
                <w:color w:val="1C2128"/>
                <w:sz w:val="19"/>
                <w:szCs w:val="19"/>
              </w:rPr>
              <w:br/>
              <w:t xml:space="preserve"/>
            </w:r>
            <w:r>
              <w:rPr>
                <w:rFonts w:ascii="Arial" w:cs="Arial" w:eastAsia="Arial" w:hAnsi="Arial"/>
                <w:color w:val="454C57"/>
                <w:sz w:val="19"/>
                <w:szCs w:val="19"/>
              </w:rPr>
              <w:t xml:space="preserve">Preclinical pig-to-primate islet transplantation was studied under an anti-CD40 antibody regimen using 2C10R4, examining this approach to immunosuppression in the transplant setting.</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Il Hee Yoon,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Won-Young Jeong, Sang-Joon Kim, Chung-Gyu Park. </w:t>
            </w:r>
            <w:r>
              <w:rPr>
                <w:rFonts w:ascii="Arial" w:cs="Arial" w:eastAsia="Arial" w:hAnsi="Arial"/>
                <w:b/>
                <w:bCs/>
                <w:color w:val="1C2128"/>
                <w:sz w:val="19"/>
                <w:szCs w:val="19"/>
              </w:rPr>
              <w:t xml:space="preserve">"Pre-Clinical Results of Islet Allo-Transplantation Using JAK Inhibitor as Replacement for Tacrolimus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Transplantation</w:t>
            </w:r>
            <w:r>
              <w:rPr>
                <w:rFonts w:ascii="Arial" w:cs="Arial" w:eastAsia="Arial" w:hAnsi="Arial"/>
                <w:color w:val="1C2128"/>
                <w:sz w:val="19"/>
                <w:szCs w:val="19"/>
              </w:rPr>
              <w:t xml:space="preserve">.</w:t>
            </w:r>
            <w:r>
              <w:rPr>
                <w:rFonts w:ascii="Arial" w:cs="Arial" w:eastAsia="Arial" w:hAnsi="Arial"/>
                <w:color w:val="1C2128"/>
                <w:sz w:val="19"/>
                <w:szCs w:val="19"/>
              </w:rPr>
              <w:br/>
              <w:t xml:space="preserve"/>
            </w:r>
            <w:r>
              <w:rPr>
                <w:rFonts w:ascii="Arial" w:cs="Arial" w:eastAsia="Arial" w:hAnsi="Arial"/>
                <w:color w:val="454C57"/>
                <w:sz w:val="19"/>
                <w:szCs w:val="19"/>
              </w:rPr>
              <w:t xml:space="preserve">The study evaluated a JAK inhibitor as a replacement for tacrolimus in cynomolgus macaques receiving allogeneic islet transplants.</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Jung-Sik Kim, Hyunwoo Chung, Nari Byun,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Sunho Lee, Jun-Seop Shin, Chung-Gyu Park. </w:t>
            </w:r>
            <w:r>
              <w:rPr>
                <w:rFonts w:ascii="Arial" w:cs="Arial" w:eastAsia="Arial" w:hAnsi="Arial"/>
                <w:b/>
                <w:bCs/>
                <w:color w:val="1C2128"/>
                <w:sz w:val="19"/>
                <w:szCs w:val="19"/>
              </w:rPr>
              <w:t xml:space="preserve">"Construction of EMSC-islet co-localizing composites for xenogeneic porcine islet 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Biochemical and Biophysical Research Communications</w:t>
            </w:r>
            <w:r>
              <w:rPr>
                <w:rFonts w:ascii="Arial" w:cs="Arial" w:eastAsia="Arial" w:hAnsi="Arial"/>
                <w:color w:val="1C2128"/>
                <w:sz w:val="19"/>
                <w:szCs w:val="19"/>
              </w:rPr>
              <w:t xml:space="preserve">.</w:t>
            </w:r>
            <w:r>
              <w:rPr>
                <w:rFonts w:ascii="Arial" w:cs="Arial" w:eastAsia="Arial" w:hAnsi="Arial"/>
                <w:color w:val="1C2128"/>
                <w:sz w:val="19"/>
                <w:szCs w:val="19"/>
              </w:rPr>
              <w:br/>
              <w:t xml:space="preserve"/>
            </w:r>
            <w:r>
              <w:rPr>
                <w:rFonts w:ascii="Arial" w:cs="Arial" w:eastAsia="Arial" w:hAnsi="Arial"/>
                <w:color w:val="454C57"/>
                <w:sz w:val="19"/>
                <w:szCs w:val="19"/>
              </w:rPr>
              <w:t xml:space="preserve">The study constructed EMSC–islet composites for xenogeneic porcine islet transplantation. It examined a design that placed the two cell components together.</w:t>
            </w:r>
          </w:p>
        </w:tc>
      </w:tr>
    </w:tbl>
    <w:p>
      <w:pPr>
        <w:keepNext/>
        <w:spacing w:after="50" w:before="60" w:line="276"/>
      </w:pPr>
      <w:r>
        <w:rPr>
          <w:rFonts w:ascii="Arial" w:cs="Arial" w:eastAsia="Arial" w:hAnsi="Arial"/>
          <w:b/>
          <w:bCs/>
          <w:color w:val="34618C"/>
          <w:sz w:val="17"/>
          <w:szCs w:val="17"/>
        </w:rPr>
        <w:t xml:space="preserve">Manuscripts in Preparation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Kangsan Roh*, Sabyasachi Das*,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Olga Barreiro, Rodrigo Javier Gonzalez, Timothy P. Padera, Shraddha Shirguppe, Ahlim Lee, Youngju Song, Pazhanichamy Kalailingam, Claire E. Fong, Aarushi Gandhi, Meehyun Kim, Diana Tambala, Adam Vernon Crain, Casey A. Maguire, Ulrich H. Von Andrian, Christian L. Lino Cardenas, Sekeun Kim, Benjamin P. Kleinstiver, Mark E. Lindsay, Patricia L. Musolino, Rajeev Malhotra. </w:t>
            </w:r>
            <w:r>
              <w:rPr>
                <w:rFonts w:ascii="Arial" w:cs="Arial" w:eastAsia="Arial" w:hAnsi="Arial"/>
                <w:b/>
                <w:bCs/>
                <w:color w:val="1C2128"/>
                <w:sz w:val="19"/>
                <w:szCs w:val="19"/>
              </w:rPr>
              <w:t xml:space="preserve">"In-vivo base editing of ACTA2 R179H restores lymphatic function and immune cell homeostasis in a murine model of Multisystemic Smooth Muscle Dysfunction Syndrome (MSMDS)."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Work in preparation examines ACTA2 base editing and lymphatic function in MSMDS. My contribution included Olink plasma proteomics and lymph-node immune-cell profiling.</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Sung Ha Lim*, Jiyeon Oh*, Kyu-Hee Hwang, Taesic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Eung Ho Choi, Seung-Kuy Cha. </w:t>
            </w:r>
            <w:r>
              <w:rPr>
                <w:rFonts w:ascii="Arial" w:cs="Arial" w:eastAsia="Arial" w:hAnsi="Arial"/>
                <w:b/>
                <w:bCs/>
                <w:color w:val="1C2128"/>
                <w:sz w:val="19"/>
                <w:szCs w:val="19"/>
              </w:rPr>
              <w:t xml:space="preserve">"Skin-brain transcriptomic convergence: an integrative framework for predicting Alzheimer's disease from cutaneous aging signatures."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(methodology, single-cell analysis). Built the method that turns a meta-analysis of 8 skin-aging transcriptome datasets into gene sets and uses them to classify Alzheimer's disease in human brain transcriptomes. Reanalyzed 4 public skin and brain single-cell cohorts (295,243 cells and nuclei) with donor-level pseudobulk to map the candidate genes to specific cell types.</w:t>
            </w:r>
          </w:p>
        </w:tc>
      </w:tr>
    </w:tbl>
    <w:p>
      <w:pPr>
        <w:keepNext/>
        <w:pBdr>
          <w:bottom w:val="single" w:color="0F1115" w:sz="12"/>
        </w:pBdr>
        <w:spacing w:after="95" w:before="180"/>
      </w:pPr>
      <w:r>
        <w:rPr>
          <w:rFonts w:ascii="Arial" w:cs="Arial" w:eastAsia="Arial" w:hAnsi="Arial"/>
          <w:b/>
          <w:bCs/>
          <w:color w:val="0F1115"/>
          <w:sz w:val="27"/>
          <w:szCs w:val="27"/>
        </w:rPr>
        <w:t xml:space="preserve">TECHNICAL EXPERTISE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Therapeutic lead</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development</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Humanized </w:t>
            </w:r>
            <w:r>
              <w:rPr>
                <w:rFonts w:ascii="Arial" w:cs="Arial" w:eastAsia="Arial" w:hAnsi="Arial"/>
                <w:b/>
                <w:bCs/>
                <w:color w:val="1C2128"/>
                <w:sz w:val="20"/>
                <w:szCs w:val="20"/>
              </w:rPr>
              <w:t xml:space="preserve">anti-CD40</w:t>
            </w:r>
            <w:r>
              <w:rPr>
                <w:rFonts w:ascii="Arial" w:cs="Arial" w:eastAsia="Arial" w:hAnsi="Arial"/>
                <w:color w:val="1C2128"/>
                <w:sz w:val="20"/>
                <w:szCs w:val="20"/>
              </w:rPr>
              <w:t xml:space="preserve"> antibody program from candidate comparison through non-human-primate studies. Assay design, external study coordination, raw-data review, regulatory documentation, and candidate-advancement decisions.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External studies</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and collaboration</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CRO and core-facility study design, assay specifications, data review, and milestone tracking. Participation in outsourced antibody and AAV manufacturing collaborations involving Samsung Biologics and WuXi. Participation in early joint-development research with Merck, CSL, and Johnson &amp; Johnson.</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Single-cell /</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spatial / multi-omic</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scRNA-seq, scTCR-seq, snRNA/snATAC; 10x 5′/3′ library generation and </w:t>
            </w:r>
            <w:r>
              <w:rPr>
                <w:rFonts w:ascii="Arial" w:cs="Arial" w:eastAsia="Arial" w:hAnsi="Arial"/>
                <w:b/>
                <w:bCs/>
                <w:color w:val="1C2128"/>
                <w:sz w:val="20"/>
                <w:szCs w:val="20"/>
              </w:rPr>
              <w:t xml:space="preserve">10x Chromium Connect</w:t>
            </w:r>
            <w:r>
              <w:rPr>
                <w:rFonts w:ascii="Arial" w:cs="Arial" w:eastAsia="Arial" w:hAnsi="Arial"/>
                <w:color w:val="1C2128"/>
                <w:sz w:val="20"/>
                <w:szCs w:val="20"/>
              </w:rPr>
              <w:t xml:space="preserve"> automated preparation. Single-cell sequencing data analysis and interpretation in Python and R. Spatial: </w:t>
            </w:r>
            <w:r>
              <w:rPr>
                <w:rFonts w:ascii="Arial" w:cs="Arial" w:eastAsia="Arial" w:hAnsi="Arial"/>
                <w:b/>
                <w:bCs/>
                <w:color w:val="1C2128"/>
                <w:sz w:val="20"/>
                <w:szCs w:val="20"/>
              </w:rPr>
              <w:t xml:space="preserve">GeoMx DSP</w:t>
            </w:r>
            <w:r>
              <w:rPr>
                <w:rFonts w:ascii="Arial" w:cs="Arial" w:eastAsia="Arial" w:hAnsi="Arial"/>
                <w:color w:val="1C2128"/>
                <w:sz w:val="20"/>
                <w:szCs w:val="20"/>
              </w:rPr>
              <w:t xml:space="preserve"> run end to end, </w:t>
            </w:r>
            <w:r>
              <w:rPr>
                <w:rFonts w:ascii="Arial" w:cs="Arial" w:eastAsia="Arial" w:hAnsi="Arial"/>
                <w:b/>
                <w:bCs/>
                <w:color w:val="1C2128"/>
                <w:sz w:val="20"/>
                <w:szCs w:val="20"/>
              </w:rPr>
              <w:t xml:space="preserve">Visium</w:t>
            </w:r>
            <w:r>
              <w:rPr>
                <w:rFonts w:ascii="Arial" w:cs="Arial" w:eastAsia="Arial" w:hAnsi="Arial"/>
                <w:color w:val="1C2128"/>
                <w:sz w:val="20"/>
                <w:szCs w:val="20"/>
              </w:rPr>
              <w:t xml:space="preserve">, </w:t>
            </w:r>
            <w:r>
              <w:rPr>
                <w:rFonts w:ascii="Arial" w:cs="Arial" w:eastAsia="Arial" w:hAnsi="Arial"/>
                <w:b/>
                <w:bCs/>
                <w:color w:val="1C2128"/>
                <w:sz w:val="20"/>
                <w:szCs w:val="20"/>
              </w:rPr>
              <w:t xml:space="preserve">MACSima</w:t>
            </w:r>
            <w:r>
              <w:rPr>
                <w:rFonts w:ascii="Arial" w:cs="Arial" w:eastAsia="Arial" w:hAnsi="Arial"/>
                <w:color w:val="1C2128"/>
                <w:sz w:val="20"/>
                <w:szCs w:val="20"/>
              </w:rPr>
              <w:t xml:space="preserve"> cyclic multiplexed immunofluorescence.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Computational</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Python, R, Linux, and Git</w:t>
            </w:r>
            <w:r>
              <w:rPr>
                <w:rFonts w:ascii="Arial" w:cs="Arial" w:eastAsia="Arial" w:hAnsi="Arial"/>
                <w:color w:val="1C2128"/>
                <w:sz w:val="20"/>
                <w:szCs w:val="20"/>
              </w:rPr>
              <w:t xml:space="preserve">; scikit-learn, XGBoost/LightGBM/CatBoost, and PyTorch. Donor- or case-level validation and multimodal analysis of imaging, transcriptomic, and clinical data.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Cell, tissue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immunological assays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Primary human T-cell isolation, expansion and functional assays; monocyte and dendritic-cell differentiation; mesenchymal stem cell culture. Enzymatic tissue digestion, Percoll enrichment, cell and nucleus isolation. High-dimensional flow cytometry (panels up to 24 markers); multiplex panel design; 10-color 6-way FACS. </w:t>
            </w:r>
            <w:r>
              <w:rPr>
                <w:rFonts w:ascii="Arial" w:cs="Arial" w:eastAsia="Arial" w:hAnsi="Arial"/>
                <w:b/>
                <w:bCs/>
                <w:color w:val="1C2128"/>
                <w:sz w:val="20"/>
                <w:szCs w:val="20"/>
              </w:rPr>
              <w:t xml:space="preserve">Olink</w:t>
            </w:r>
            <w:r>
              <w:rPr>
                <w:rFonts w:ascii="Arial" w:cs="Arial" w:eastAsia="Arial" w:hAnsi="Arial"/>
                <w:color w:val="1C2128"/>
                <w:sz w:val="20"/>
                <w:szCs w:val="20"/>
              </w:rPr>
              <w:t xml:space="preserve"> targeted plasma proteomics (immune &amp; neurology panels).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Microscopy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animal models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Spinning-disk confocal (Nikon CSU-W1 SORA), point-scanning confocal (Leica SP8), two-photon; IHC/IF (frozen &amp; FFPE) with quantitative image analysis. Non-human primates across three species (rhesus, cynomolgus, marmoset), including EAE and islet-transplantation studies; mouse immune profiling.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Binding kinetics</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and affinity</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Biacore SPR</w:t>
            </w:r>
            <w:r>
              <w:rPr>
                <w:rFonts w:ascii="Arial" w:cs="Arial" w:eastAsia="Arial" w:hAnsi="Arial"/>
                <w:color w:val="1C2128"/>
                <w:sz w:val="20"/>
                <w:szCs w:val="20"/>
              </w:rPr>
              <w:t xml:space="preserve"> and ELISA for affinity, kinetics, competition binding, receptor blockade, and cross-species comparison; functional validation in primary human T cells.</w:t>
            </w:r>
          </w:p>
        </w:tc>
      </w:tr>
    </w:tbl>
    <w:p>
      <w:pPr>
        <w:keepNext/>
        <w:pBdr>
          <w:bottom w:val="single" w:color="0F1115" w:sz="12"/>
        </w:pBdr>
        <w:spacing w:after="95" w:before="180"/>
      </w:pPr>
      <w:r>
        <w:rPr>
          <w:rFonts w:ascii="Arial" w:cs="Arial" w:eastAsia="Arial" w:hAnsi="Arial"/>
          <w:b/>
          <w:bCs/>
          <w:color w:val="0F1115"/>
          <w:sz w:val="27"/>
          <w:szCs w:val="27"/>
        </w:rPr>
        <w:t xml:space="preserve">BOOKS</w:t>
      </w:r>
    </w:p>
    <w:p>
      <w:pPr>
        <w:spacing w:after="55" w:before="0" w:line="248"/>
        <w:ind w:left="180"/>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Do-gyun Kim, Jin-seon Han. </w:t>
      </w:r>
      <w:r>
        <w:rPr>
          <w:rFonts w:ascii="Arial" w:cs="Arial" w:eastAsia="Arial" w:hAnsi="Arial"/>
          <w:b/>
          <w:bCs/>
          <w:color w:val="1C2128"/>
          <w:sz w:val="19"/>
          <w:szCs w:val="19"/>
        </w:rPr>
        <w:t xml:space="preserve">AI Drug Discovery: A Practical Guide for Biomedical Researchers</w:t>
      </w:r>
      <w:r>
        <w:rPr>
          <w:rFonts w:ascii="Arial" w:cs="Arial" w:eastAsia="Arial" w:hAnsi="Arial"/>
          <w:color w:val="1C2128"/>
          <w:sz w:val="19"/>
          <w:szCs w:val="19"/>
        </w:rPr>
        <w:t xml:space="preserve"> (title translated). PanmunEducation. September 21, 2026. 548 pages. ISBN 979-11-5943-583-6. </w:t>
      </w:r>
      <w:hyperlink w:history="1" r:id="rIdy2jemj_qtcgmtj32jywl9">
        <w:r>
          <w:rPr>
            <w:rFonts w:ascii="Arial" w:cs="Arial" w:eastAsia="Arial" w:hAnsi="Arial"/>
            <w:color w:val="2F5FE0"/>
            <w:sz w:val="19"/>
            <w:szCs w:val="19"/>
            <w:u w:val="single"/>
          </w:rPr>
          <w:t xml:space="preserve">YES24 Global</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The book covers molecular and protein data preparation, QSAR, ChemBERTa, graph neural networks, docking, virtual screening, candidate optimization, and follow-up experimental validation.</w:t>
      </w:r>
    </w:p>
    <w:p>
      <w:pPr>
        <w:spacing w:after="80"/>
      </w:pP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857250"/>
                    </a:xfrm>
                    <a:prstGeom prst="rect">
                      <a:avLst/>
                    </a:prstGeom>
                  </pic:spPr>
                </pic:pic>
              </a:graphicData>
            </a:graphic>
          </wp:inline>
        </w:drawing>
      </w:r>
      <w:r>
        <w:t xml:space="preserve">  </w:t>
      </w: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 cy="857250"/>
                    </a:xfrm>
                    <a:prstGeom prst="rect">
                      <a:avLst/>
                    </a:prstGeom>
                  </pic:spPr>
                </pic:pic>
              </a:graphicData>
            </a:graphic>
          </wp:inline>
        </w:drawing>
      </w:r>
    </w:p>
    <w:p>
      <w:pPr>
        <w:keepNext/>
        <w:pBdr>
          <w:bottom w:val="single" w:color="0F1115" w:sz="12"/>
        </w:pBdr>
        <w:spacing w:after="95" w:before="180"/>
      </w:pPr>
      <w:r>
        <w:rPr>
          <w:rFonts w:ascii="Arial" w:cs="Arial" w:eastAsia="Arial" w:hAnsi="Arial"/>
          <w:b/>
          <w:bCs/>
          <w:color w:val="0F1115"/>
          <w:sz w:val="27"/>
          <w:szCs w:val="27"/>
        </w:rPr>
        <w:t xml:space="preserve">PATENTS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Antagonistic Anti-CD40 Humanized Antibody.</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10-2024-0085972; registered 2024-07-01. Co-inventor.</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Immunosuppression Composition Comprising JAK Inhibitor.</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10-2014-3490000; registered 2019-08-20.</w:t>
            </w:r>
          </w:p>
        </w:tc>
      </w:tr>
    </w:tbl>
    <w:p>
      <w:pPr>
        <w:keepNext/>
        <w:pBdr>
          <w:bottom w:val="single" w:color="0F1115" w:sz="12"/>
        </w:pBdr>
        <w:spacing w:after="95" w:before="180"/>
      </w:pPr>
      <w:r>
        <w:rPr>
          <w:rFonts w:ascii="Arial" w:cs="Arial" w:eastAsia="Arial" w:hAnsi="Arial"/>
          <w:b/>
          <w:bCs/>
          <w:color w:val="0F1115"/>
          <w:sz w:val="27"/>
          <w:szCs w:val="27"/>
        </w:rPr>
        <w:t xml:space="preserve">AWARDS &amp; SCHOLARSHIPS</w:t>
      </w:r>
    </w:p>
    <w:p>
      <w:pPr>
        <w:keepNext/>
        <w:spacing w:after="50" w:before="60" w:line="276"/>
      </w:pPr>
      <w:r>
        <w:rPr>
          <w:rFonts w:ascii="Arial" w:cs="Arial" w:eastAsia="Arial" w:hAnsi="Arial"/>
          <w:b/>
          <w:bCs/>
          <w:color w:val="34618C"/>
          <w:sz w:val="17"/>
          <w:szCs w:val="17"/>
        </w:rPr>
        <w:t xml:space="preserve">Awards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Jun 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2024 GPTers AI Hackathon (Project GAIA Team)</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SBA Smart Workathon for Work Process Innovation</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2021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2020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Research Award</w:t>
            </w:r>
            <w:r>
              <w:rPr>
                <w:rFonts w:ascii="Arial" w:cs="Arial" w:eastAsia="Arial" w:hAnsi="Arial"/>
                <w:color w:val="1C2128"/>
                <w:sz w:val="21"/>
                <w:szCs w:val="21"/>
              </w:rPr>
              <w:t xml:space="preserve">, 2017 Infection and Immunity Research Festival, Department of Microbiology and Immunology,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Nov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Presentation Award (Poster Presentation)</w:t>
            </w:r>
            <w:r>
              <w:rPr>
                <w:rFonts w:ascii="Arial" w:cs="Arial" w:eastAsia="Arial" w:hAnsi="Arial"/>
                <w:color w:val="1C2128"/>
                <w:sz w:val="21"/>
                <w:szCs w:val="21"/>
              </w:rPr>
              <w:t xml:space="preserve">, 2017 Annual Meeting of the Korean Association of Immunologists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May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Poster in Congress Award</w:t>
            </w:r>
            <w:r>
              <w:rPr>
                <w:rFonts w:ascii="Arial" w:cs="Arial" w:eastAsia="Arial" w:hAnsi="Arial"/>
                <w:color w:val="1C2128"/>
                <w:sz w:val="21"/>
                <w:szCs w:val="21"/>
              </w:rPr>
              <w:t xml:space="preserve">, 2017 American Transplant Congress, Chicago</w:t>
            </w:r>
          </w:p>
        </w:tc>
      </w:tr>
    </w:tbl>
    <w:p>
      <w:pPr>
        <w:keepNext/>
        <w:spacing w:after="50" w:before="60" w:line="276"/>
      </w:pPr>
      <w:r>
        <w:rPr>
          <w:rFonts w:ascii="Arial" w:cs="Arial" w:eastAsia="Arial" w:hAnsi="Arial"/>
          <w:b/>
          <w:bCs/>
          <w:color w:val="34618C"/>
          <w:sz w:val="17"/>
          <w:szCs w:val="17"/>
        </w:rPr>
        <w:t xml:space="preserve">Scholarships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2019–Aug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Scholarship for Ph.D. Candidates</w:t>
            </w:r>
            <w:r>
              <w:rPr>
                <w:rFonts w:ascii="Arial" w:cs="Arial" w:eastAsia="Arial" w:hAnsi="Arial"/>
                <w:color w:val="1C2128"/>
                <w:sz w:val="21"/>
                <w:szCs w:val="21"/>
              </w:rPr>
              <w:t xml:space="preserve">, National Research Foundation of Korea (NRF)</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Lecture and Research Support Scholarship</w:t>
            </w:r>
            <w:r>
              <w:rPr>
                <w:rFonts w:ascii="Arial" w:cs="Arial" w:eastAsia="Arial" w:hAnsi="Arial"/>
                <w:color w:val="1C2128"/>
                <w:sz w:val="21"/>
                <w:szCs w:val="21"/>
              </w:rPr>
              <w:t xml:space="preserve">, Dean of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Research Scholarship</w:t>
            </w:r>
            <w:r>
              <w:rPr>
                <w:rFonts w:ascii="Arial" w:cs="Arial" w:eastAsia="Arial" w:hAnsi="Arial"/>
                <w:color w:val="1C2128"/>
                <w:sz w:val="21"/>
                <w:szCs w:val="21"/>
              </w:rPr>
              <w:t xml:space="preserve">, BK21 Plus Biomedical Science Project, Seoul National University</w:t>
            </w:r>
          </w:p>
        </w:tc>
      </w:tr>
    </w:tbl>
    <w:p>
      <w:pPr>
        <w:keepNext/>
        <w:spacing w:after="50" w:before="60" w:line="276"/>
      </w:pPr>
      <w:r>
        <w:rPr>
          <w:rFonts w:ascii="Arial" w:cs="Arial" w:eastAsia="Arial" w:hAnsi="Arial"/>
          <w:b/>
          <w:bCs/>
          <w:color w:val="34618C"/>
          <w:sz w:val="17"/>
          <w:szCs w:val="17"/>
        </w:rPr>
        <w:t xml:space="preserve">Selected Presentations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Poster</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454C57"/>
                <w:sz w:val="21"/>
                <w:szCs w:val="21"/>
              </w:rPr>
              <w:t xml:space="preserve">KAI Annual Meeting, Incheon (2022) · Cytokine, Hawaii (2022) · American Transplant Congress, Chicago (2017) · The Transplantation Society, Hong Kong (2016) · IPITA/IXA/CTS, Melbourne (2015) · TREG, Shanghai (2012)</w:t>
            </w:r>
          </w:p>
        </w:tc>
      </w:tr>
    </w:tbl>
    <w:p>
      <w:pPr>
        <w:keepNext/>
        <w:pBdr>
          <w:bottom w:val="single" w:color="0F1115" w:sz="12"/>
        </w:pBdr>
        <w:spacing w:after="95" w:before="180"/>
      </w:pPr>
      <w:r>
        <w:rPr>
          <w:rFonts w:ascii="Arial" w:cs="Arial" w:eastAsia="Arial" w:hAnsi="Arial"/>
          <w:b/>
          <w:bCs/>
          <w:color w:val="0F1115"/>
          <w:sz w:val="27"/>
          <w:szCs w:val="27"/>
        </w:rPr>
        <w:t xml:space="preserve">SELECTED GRANT WRITING &amp; PROGRAM FUNDING</w:t>
      </w:r>
    </w:p>
    <w:p>
      <w:pPr>
        <w:keepNext/>
        <w:spacing w:after="50" w:before="60" w:line="276"/>
      </w:pPr>
      <w:r>
        <w:rPr>
          <w:rFonts w:ascii="Arial" w:cs="Arial" w:eastAsia="Arial" w:hAnsi="Arial"/>
          <w:b/>
          <w:bCs/>
          <w:color w:val="34618C"/>
          <w:sz w:val="17"/>
          <w:szCs w:val="17"/>
        </w:rPr>
        <w:t xml:space="preserve">Industry · PB Immune Therapeutics (Manager → Associate Director)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antibody lead selection and optimization (multiple sclerosis)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~$571,000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lead compound (PB101): efficacy and pharmacodynamic biomarkers (pemphigus vulgaris)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2022–2024</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~$321,000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Scale-up Funding for Tech Commercialization</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~$222,000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managed &gt;90% of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Early-stage startup R&amp;D: anti-CD40 biologic (PB-40N) to prevent anti-drug antibodies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2021–2022</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~$74,000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&amp; core researcher</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NAVER Corporation</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Engineered regulatory T cells for immune-mediated diseases (PB20X_Treg)</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2023–2026</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~$128,000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Proposal &amp; study design (~50%)</w:t>
            </w:r>
          </w:p>
        </w:tc>
      </w:tr>
    </w:tbl>
    <w:p>
      <w:pPr>
        <w:keepNext/>
        <w:spacing w:after="50" w:before="60" w:line="276"/>
      </w:pPr>
      <w:r>
        <w:rPr>
          <w:rFonts w:ascii="Arial" w:cs="Arial" w:eastAsia="Arial" w:hAnsi="Arial"/>
          <w:b/>
          <w:bCs/>
          <w:color w:val="34618C"/>
          <w:sz w:val="17"/>
          <w:szCs w:val="17"/>
        </w:rPr>
        <w:t xml:space="preserve">Doctoral training · Seoul National University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Multi-layered immune-disease single-cell map for molecular target discovery (SCAID, A9-22-1-05)</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2022–2028 (3+3)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~$1.6M</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Participated in proposal writing (&gt;30%)</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Education (MOE) &amp; 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Laboratory-Specialized Tech-Transfer &amp; R&amp;BD Grant</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2020–2021</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~$40,000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Grant writing, experimental design &amp; technical validation</w:t>
            </w:r>
          </w:p>
        </w:tc>
      </w:tr>
    </w:tbl>
    <w:p>
      <w:pPr>
        <w:spacing w:after="70" w:before="0" w:line="240"/>
      </w:pPr>
      <w:r>
        <w:rPr>
          <w:rFonts w:ascii="Arial" w:cs="Arial" w:eastAsia="Arial" w:hAnsi="Arial"/>
          <w:color w:val="454C57"/>
          <w:sz w:val="18"/>
          <w:szCs w:val="18"/>
        </w:rPr>
        <w:t xml:space="preserve">I participated in proposal writing and project execution for the awards listed above. Budgets are approximate conversions at KRW 1,400 per USD. Project periods are award periods, not appointment dates.</w:t>
      </w:r>
    </w:p>
    <w:p>
      <w:pPr>
        <w:keepNext/>
        <w:pBdr>
          <w:bottom w:val="single" w:color="0F1115" w:sz="12"/>
        </w:pBdr>
        <w:spacing w:after="95" w:before="180"/>
      </w:pPr>
      <w:r>
        <w:rPr>
          <w:rFonts w:ascii="Arial" w:cs="Arial" w:eastAsia="Arial" w:hAnsi="Arial"/>
          <w:b/>
          <w:bCs/>
          <w:color w:val="0F1115"/>
          <w:sz w:val="27"/>
          <w:szCs w:val="27"/>
        </w:rPr>
        <w:t xml:space="preserve">MENTORING AND RESEARCH TRAINING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72"/>
        <w:gridCol w:w="2052"/>
        <w:gridCol w:w="4212"/>
        <w:gridCol w:w="3564"/>
      </w:tblGrid>
      <w:tr>
        <w:trPr>
          <w:cantSplit/>
        </w:trPr>
        <w:tc>
          <w:tcPr>
            <w:tcW w:type="dxa" w:w="97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Year</w:t>
            </w:r>
          </w:p>
        </w:tc>
        <w:tc>
          <w:tcPr>
            <w:tcW w:type="dxa" w:w="205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Mentee / role at time</w:t>
            </w:r>
          </w:p>
        </w:tc>
        <w:tc>
          <w:tcPr>
            <w:tcW w:type="dxa" w:w="421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Current affiliation</w:t>
            </w:r>
          </w:p>
        </w:tc>
        <w:tc>
          <w:tcPr>
            <w:tcW w:type="dxa" w:w="3564"/>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Research training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Ha Lim, M.D.,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Fellow; Laboratory of Shadmehr Demehri, M.D., Ph.D.; Department of Dermatology, Massachusetts General Hospital; Harvard Medical School, Boston, MA,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Western blotting, flow cytometry, and C57BL/6 mouse breeding.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Soyoung Jeong,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Medical Research Center, Seoul National University,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in vivo mouse experiments.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2016</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Sowon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Mouse pancreatic islet isolation, pancreatic islet beta-cell functional assays, and ion channel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Hyo Jeong Nam,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Associate Researcher, Human Immune Monitoring Center, Icahn School of Medicine at Mount Sinai, New York, NY,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T-cell functional assays, and single-cell RNA sequencing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Beom Keun Cho,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mouse breeding, cell culture, T-cell functional assays, and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Minji Kang, Ph.D.</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Transplantation Research Institute; Seoul National University Medical Research Center,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spatial transcriptomics data analysis and T-cell functional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Jung Ho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Visiting Scholar; Laboratory of Ulrich von Andrian, M.D., Ph.D.; Department of Immunology, Harvard Medical School, Boston, MA, USA; 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Hyun Seung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Yuji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Sanha Hwang,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Dongjun Kim,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Yewon Moon,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Karoliina Eliisa Ruhno,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Senior Researcher; IMBiologics,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Moonki Chae, M.S.</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Student; Department of Pathology; Johns Hopkins University, Baltimore, MD,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Immune-cell culture, flow cytometry, and scRNA-seq data analysis using machine-learning models and AI tools.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Bin Bae,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Staff, Biologics CMC Team, Yuhan Corporation,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GeoMx DSP spatial transcriptomics data analysis.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 Jeong Oh, M.S.</w:t>
            </w:r>
            <w:r>
              <w:rPr>
                <w:rFonts w:ascii="Arial" w:cs="Arial" w:eastAsia="Arial" w:hAnsi="Arial"/>
                <w:b w:val="false"/>
                <w:bCs w:val="false"/>
                <w:color w:val="1C2128"/>
                <w:sz w:val="17"/>
                <w:szCs w:val="17"/>
              </w:rPr>
              <w:t xml:space="preserve">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Experimental design for animal sample collection, ELISA and SPR assay design, and 10x Genomics scRNA-seq.</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Eun Sol Jo, B.S.</w:t>
            </w:r>
            <w:r>
              <w:rPr>
                <w:rFonts w:ascii="Arial" w:cs="Arial" w:eastAsia="Arial" w:hAnsi="Arial"/>
                <w:b w:val="false"/>
                <w:bCs w:val="false"/>
                <w:color w:val="1C2128"/>
                <w:sz w:val="17"/>
                <w:szCs w:val="17"/>
              </w:rPr>
              <w:t xml:space="preserve">Assistant 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Assistant 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Animal experiment design and evaluation of a mouse model of experimental autoimmune encephalomyelitis (EAE).</w:t>
            </w:r>
          </w:p>
        </w:tc>
      </w:tr>
    </w:tbl>
    <w:p>
      <w:pPr>
        <w:keepNext/>
        <w:pBdr>
          <w:bottom w:val="single" w:color="0F1115" w:sz="12"/>
        </w:pBdr>
        <w:spacing w:after="95" w:before="180"/>
      </w:pPr>
      <w:r>
        <w:rPr>
          <w:rFonts w:ascii="Arial" w:cs="Arial" w:eastAsia="Arial" w:hAnsi="Arial"/>
          <w:b/>
          <w:bCs/>
          <w:color w:val="0F1115"/>
          <w:sz w:val="27"/>
          <w:szCs w:val="27"/>
        </w:rPr>
        <w:t xml:space="preserve">REFERENCES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Chung-Gyu Park,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Microbiology &amp; Immunology / Biomedical Sciences, SNU College of Medicine; CEO/CSO, PB Immune Therapeutics · chgpark@snu.ac.kr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Doctoral advisor and industry supervisor; directed the anti-CD40 antibody program.</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Hyun Je Kim,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Assistant Professor, Microbiology &amp; Immunology / Biomedical Sciences; Interdisciplinary Program in Artificial Intelligence (IPAI), SNU · tte9801@snu.ac.kr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on the several single-cell studies; supervised the computational work.</w:t>
            </w:r>
          </w:p>
        </w:tc>
      </w:tr>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Seung-Kuy Cha,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Dept. of Physiology &amp; Global Medical Science, Yonsei University Wonju College of Medicine · skcha@yonsei.ac.kr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Most recent research supervisor (2025–2026).</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Jeong Seok Lee,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Associate Professor, Graduate School of Medical Science &amp; Engineering, KAIST, Daejeon · chemami@kaist.ac.kr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author, PDE4D / Nature Immunology study.</w:t>
            </w:r>
          </w:p>
        </w:tc>
      </w:tr>
    </w:tbl>
    <w:sectPr>
      <w:footerReference w:type="default" r:id="rId7"/>
      <w:pgSz w:w="12240" w:h="15840" w:orient="portrait"/>
      <w:pgMar w:top="650" w:right="700" w:bottom="6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10"/>
      <w:jc w:val="center"/>
    </w:pPr>
    <w:r>
      <w:rPr>
        <w:rFonts w:ascii="Arial" w:cs="Arial" w:eastAsia="Arial" w:hAnsi="Arial"/>
        <w:color w:val="646C78"/>
        <w:sz w:val="15"/>
        <w:szCs w:val="15"/>
      </w:rPr>
      <w:t xml:space="preserve">Seong-Jun Kang · Curriculum Vitae · Keating Lab</w:t>
    </w:r>
    <w:r>
      <w:rPr>
        <w:rFonts w:ascii="Arial" w:cs="Arial" w:eastAsia="Arial" w:hAnsi="Arial"/>
        <w:color w:val="646C78"/>
        <w:sz w:val="15"/>
        <w:szCs w:val="15"/>
      </w:rPr>
      <w:t xml:space="preserve">   |   </w:t>
    </w:r>
    <w:r>
      <w:rPr>
        <w:rFonts w:ascii="Arial" w:cs="Arial" w:eastAsia="Arial" w:hAnsi="Arial"/>
        <w:color w:val="646C78"/>
        <w:sz w:val="15"/>
        <w:szCs w:val="15"/>
      </w:rPr>
      <w:t xml:space="preserve">Updated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1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k5p_hr-ruxxebtgtmmcc" Type="http://schemas.openxmlformats.org/officeDocument/2006/relationships/hyperlink" Target="https://scholar.google.com/citations?hl=ko&amp;user=tMsQgs8AAAAJ" TargetMode="External"/><Relationship Id="rIdwvermeu_omvgl0warlxxs" Type="http://schemas.openxmlformats.org/officeDocument/2006/relationships/hyperlink" Target="file:///Users/kang/CC/PostDoc-apply/Seong-Jun-CV/papers/2025_JNI_Alzheimer_scRNAseq.pdf" TargetMode="External"/><Relationship Id="rIdc62sffhub2s00rx289euo" Type="http://schemas.openxmlformats.org/officeDocument/2006/relationships/hyperlink" Target="file:///Users/kang/CC/PostDoc-apply/Seong-Jun-CV/papers/2025_Allergy_AD_Treg.pdf" TargetMode="External"/><Relationship Id="rIdpi9n32dldmb82tjign2_m" Type="http://schemas.openxmlformats.org/officeDocument/2006/relationships/hyperlink" Target="file:///Users/kang/CC/PostDoc-apply/Seong-Jun-CV/papers/2024_Xenotransplantation_tofacitinib.pdf" TargetMode="External"/><Relationship Id="rIdnaxovwt_ubkopti_w8gfk" Type="http://schemas.openxmlformats.org/officeDocument/2006/relationships/hyperlink" Target="file:///Users/kang/CC/PostDoc-apply/Seong-Jun-CV/papers/2022_JEADV_melanoma_spatial.pdf" TargetMode="External"/><Relationship Id="rIdvqecl9ucskfa5lmde8a73" Type="http://schemas.openxmlformats.org/officeDocument/2006/relationships/hyperlink" Target="file:///Users/kang/CC/PostDoc-apply/Seong-Jun-CV/papers/2019_Islets_JAK3_isletTx.pdf" TargetMode="External"/><Relationship Id="rIdal-9cjbe9jw28weendrxp" Type="http://schemas.openxmlformats.org/officeDocument/2006/relationships/hyperlink" Target="file:///Users/kang/CC/PostDoc-apply/Seong-Jun-CV/papers/2024_eBioMedicine_psoriasis_Treg.pdf" TargetMode="External"/><Relationship Id="rIdmh9lmop86w27uslkud2h2" Type="http://schemas.openxmlformats.org/officeDocument/2006/relationships/hyperlink" Target="file:///Users/kang/CC/PostDoc-apply/Seong-Jun-CV/papers/2024_JEADV_melanoma_immune.pdf" TargetMode="External"/><Relationship Id="rIdt3zgazumt7ize7yo_gcix" Type="http://schemas.openxmlformats.org/officeDocument/2006/relationships/hyperlink" Target="file:///Users/kang/CC/PostDoc-apply/Seong-Jun-CV/papers/2021_CurrDiabRep_xeno_review.pdf" TargetMode="External"/><Relationship Id="rIdy2jemj_qtcgmtj32jywl9" Type="http://schemas.openxmlformats.org/officeDocument/2006/relationships/hyperlink" Target="https://global.yes24.com/Goods/196295329" TargetMode="External"/><Relationship Id="rId8" Type="http://schemas.openxmlformats.org/officeDocument/2006/relationships/image" Target="media/991237db247a6ae92f473b5fab8138e5c6b7be34.jpg"/><Relationship Id="rId9" Type="http://schemas.openxmlformats.org/officeDocument/2006/relationships/image" Target="media/6a817237d5de67b0c8fd1034f9d5880490a06d0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2026-09-23T18:17:27.972Z</dcterms:created>
  <dcterms:modified xsi:type="dcterms:W3CDTF">2026-09-23T18:17:27.972Z</dcterms:modified>
</cp:coreProperties>
</file>

<file path=docProps/custom.xml><?xml version="1.0" encoding="utf-8"?>
<Properties xmlns="http://schemas.openxmlformats.org/officeDocument/2006/custom-properties" xmlns:vt="http://schemas.openxmlformats.org/officeDocument/2006/docPropsVTypes"/>
</file>