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Experimental and computational biomedical scientist: multiplexed molecular imaging, single-cell and spatial biology, quantitative image analysis</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Associate applicant · Bathe Lab, MIT Department of Biological Engineering</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am an immunologist working with primary mammalian cells, multiplexed protein and RNA measurements, and quantitative imaging. My hands-on experience includes end-to-end GeoMx DSP, MACSima cyclic immunofluorescence, confocal microscopy, and automated single-cell library preparation. I would apply donor-aware analysis and held-out evaluation to PRISM assay validation, imaging automation, and drug-response studies in human iPSC-derived neurons.</w:t>
      </w:r>
    </w:p>
    <w:p>
      <w:pPr>
        <w:keepNext/>
        <w:pBdr>
          <w:bottom w:val="single" w:color="0F1115" w:sz="12"/>
        </w:pBdr>
        <w:spacing w:after="95" w:before="180"/>
      </w:pPr>
      <w:r>
        <w:rPr>
          <w:rFonts w:ascii="Arial" w:cs="Arial" w:eastAsia="Arial" w:hAnsi="Arial"/>
          <w:b/>
          <w:bCs/>
          <w:color w:val="0F1115"/>
          <w:sz w:val="27"/>
          <w:szCs w:val="27"/>
        </w:rPr>
        <w:t xml:space="preserve">POSITION-RELEVANT EXPERTISE</w:t>
      </w:r>
    </w:p>
    <w:p>
      <w:pPr>
        <w:pStyle w:val="ListParagraph"/>
        <w:numPr>
          <w:ilvl w:val="0"/>
          <w:numId w:val="2"/>
        </w:numPr>
        <w:spacing w:after="55" w:before="0" w:line="248"/>
      </w:pPr>
      <w:r>
        <w:rPr>
          <w:rFonts w:ascii="Arial" w:cs="Arial" w:eastAsia="Arial" w:hAnsi="Arial"/>
          <w:b/>
          <w:bCs/>
          <w:color w:val="1C2128"/>
          <w:sz w:val="19"/>
          <w:szCs w:val="19"/>
        </w:rPr>
        <w:t xml:space="preserve">Multi-modal cellular measurement.</w:t>
      </w:r>
      <w:r>
        <w:rPr>
          <w:rFonts w:ascii="Arial" w:cs="Arial" w:eastAsia="Arial" w:hAnsi="Arial"/>
          <w:color w:val="1C2128"/>
          <w:sz w:val="19"/>
          <w:szCs w:val="19"/>
        </w:rPr>
        <w:t xml:space="preserve"> 10x single-cell workflows, end-to-end GeoMx DSP, Visium spatial transcriptomics, MACSima cyclic multiplexed immunofluorescence, high-parameter flow cytometry, and Olink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w:t>
      </w:r>
      <w:r>
        <w:rPr>
          <w:rFonts w:ascii="Arial" w:cs="Arial" w:eastAsia="Arial" w:hAnsi="Arial"/>
          <w:color w:val="1C2128"/>
          <w:sz w:val="19"/>
          <w:szCs w:val="19"/>
        </w:rPr>
        <w:t xml:space="preserve"> Sequencing-data analysis in Python and R using statistical and machine-learning tools, multimodal integration, and donor- or case-level evaluation; co-authored an AIDD workflow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Wet-lab and translational experiments.</w:t>
      </w:r>
      <w:r>
        <w:rPr>
          <w:rFonts w:ascii="Arial" w:cs="Arial" w:eastAsia="Arial" w:hAnsi="Arial"/>
          <w:color w:val="1C2128"/>
          <w:sz w:val="19"/>
          <w:szCs w:val="19"/>
        </w:rPr>
        <w:t xml:space="preserve"> Primary-cell culture and immune-cell functional assays; DNA, RNA, and protein workflows, including qRT-PCR, cloning, and Western blotting; SPR and ELISA binding assays.</w:t>
      </w:r>
    </w:p>
    <w:p>
      <w:pPr>
        <w:pStyle w:val="ListParagraph"/>
        <w:numPr>
          <w:ilvl w:val="0"/>
          <w:numId w:val="2"/>
        </w:numPr>
        <w:spacing w:after="55" w:before="0" w:line="248"/>
      </w:pPr>
      <w:r>
        <w:rPr>
          <w:rFonts w:ascii="Arial" w:cs="Arial" w:eastAsia="Arial" w:hAnsi="Arial"/>
          <w:b/>
          <w:bCs/>
          <w:color w:val="1C2128"/>
          <w:sz w:val="19"/>
          <w:szCs w:val="19"/>
        </w:rPr>
        <w:t xml:space="preserve">Animal experiments.</w:t>
      </w:r>
      <w:r>
        <w:rPr>
          <w:rFonts w:ascii="Arial" w:cs="Arial" w:eastAsia="Arial" w:hAnsi="Arial"/>
          <w:color w:val="1C2128"/>
          <w:sz w:val="19"/>
          <w:szCs w:val="19"/>
        </w:rPr>
        <w:t xml:space="preserve"> EAE and Alzheimer's disease models; skin- and islet-transplantation studies; animal breeding, longitudinal immune monitoring, and non-human-primate sampling.</w:t>
      </w:r>
    </w:p>
    <w:p>
      <w:pPr>
        <w:pStyle w:val="ListParagraph"/>
        <w:numPr>
          <w:ilvl w:val="0"/>
          <w:numId w:val="2"/>
        </w:numPr>
        <w:spacing w:after="55" w:before="0" w:line="248"/>
      </w:pPr>
      <w:r>
        <w:rPr>
          <w:rFonts w:ascii="Arial" w:cs="Arial" w:eastAsia="Arial" w:hAnsi="Arial"/>
          <w:b/>
          <w:bCs/>
          <w:color w:val="1C2128"/>
          <w:sz w:val="19"/>
          <w:szCs w:val="19"/>
        </w:rPr>
        <w:t xml:space="preserve">Program and study execution.</w:t>
      </w:r>
      <w:r>
        <w:rPr>
          <w:rFonts w:ascii="Arial" w:cs="Arial" w:eastAsia="Arial" w:hAnsi="Arial"/>
          <w:color w:val="1C2128"/>
          <w:sz w:val="19"/>
          <w:szCs w:val="19"/>
        </w:rPr>
        <w:t xml:space="preserve"> Multi-site sample QC, proposal writing, and project execution supporting approximately $1.3 million in industry research funding.</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in-b8bhojenszhqgiv8lf">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c3pwso9lvgtw_f_zvxiv0">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sbao3zeaekdolznradmdp">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ltgmcbb5qhpmnppgk6mff">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Long-term diabetes control with a tofacitinib-based regimen after allo-islet transplantation in rhesus macaques, with longitudinal immune monitoring.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hcr-0syo-sh-zgasl8ae8">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dpv_k-cks1tla9wn3iirz">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kzjdndb56xih_tsxh6mz3">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atu5lpebcqmigh8qaz_9u">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czx43fuxwubfkwpwpnpek">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Multiplexed in situ</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detection and imaging</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 slide preparation, oligonucleotide-barcoded probe hybridisation, immunofluorescence staining, fluorescence-guided ROI selection, instrument operation, UV cleavage and barcode collection.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 iterative stain–image–erase rounds on one section.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spatial transcriptomics. High-parameter fluorescence panel design up to 24 markers. </w:t>
            </w:r>
            <w:r>
              <w:rPr>
                <w:rFonts w:ascii="Arial" w:cs="Arial" w:eastAsia="Arial" w:hAnsi="Arial"/>
                <w:b/>
                <w:bCs/>
                <w:color w:val="1C2128"/>
                <w:sz w:val="20"/>
                <w:szCs w:val="20"/>
              </w:rPr>
              <w:t xml:space="preserve">Spinning-disk confocal (Nikon CSU-W1 SORA)</w:t>
            </w:r>
            <w:r>
              <w:rPr>
                <w:rFonts w:ascii="Arial" w:cs="Arial" w:eastAsia="Arial" w:hAnsi="Arial"/>
                <w:color w:val="1C2128"/>
                <w:sz w:val="20"/>
                <w:szCs w:val="20"/>
              </w:rPr>
              <w:t xml:space="preserve"> with quantitative image analysis.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High-content image</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and data analysis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Segmentation, feature extraction and model scoring on public iPSC-neuron imaging screens. Batch- and donor-aware modelling, held-out evaluation, calibrated confidence. Automated library preparation on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kor62e2xqd57scrkd2iqx">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Bathe Lab</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n-b8bhojenszhqgiv8lf" Type="http://schemas.openxmlformats.org/officeDocument/2006/relationships/hyperlink" Target="https://scholar.google.com/citations?hl=ko&amp;user=tMsQgs8AAAAJ" TargetMode="External"/><Relationship Id="rIdc3pwso9lvgtw_f_zvxiv0" Type="http://schemas.openxmlformats.org/officeDocument/2006/relationships/hyperlink" Target="file:///Users/kang/CC/PostDoc-apply/Seong-Jun-CV/papers/2025_JNI_Alzheimer_scRNAseq.pdf" TargetMode="External"/><Relationship Id="rIdsbao3zeaekdolznradmdp" Type="http://schemas.openxmlformats.org/officeDocument/2006/relationships/hyperlink" Target="file:///Users/kang/CC/PostDoc-apply/Seong-Jun-CV/papers/2025_Allergy_AD_Treg.pdf" TargetMode="External"/><Relationship Id="rIdltgmcbb5qhpmnppgk6mff" Type="http://schemas.openxmlformats.org/officeDocument/2006/relationships/hyperlink" Target="file:///Users/kang/CC/PostDoc-apply/Seong-Jun-CV/papers/2024_Xenotransplantation_tofacitinib.pdf" TargetMode="External"/><Relationship Id="rIdhcr-0syo-sh-zgasl8ae8" Type="http://schemas.openxmlformats.org/officeDocument/2006/relationships/hyperlink" Target="file:///Users/kang/CC/PostDoc-apply/Seong-Jun-CV/papers/2022_JEADV_melanoma_spatial.pdf" TargetMode="External"/><Relationship Id="rIddpv_k-cks1tla9wn3iirz" Type="http://schemas.openxmlformats.org/officeDocument/2006/relationships/hyperlink" Target="file:///Users/kang/CC/PostDoc-apply/Seong-Jun-CV/papers/2019_Islets_JAK3_isletTx.pdf" TargetMode="External"/><Relationship Id="rIdkzjdndb56xih_tsxh6mz3" Type="http://schemas.openxmlformats.org/officeDocument/2006/relationships/hyperlink" Target="file:///Users/kang/CC/PostDoc-apply/Seong-Jun-CV/papers/2024_eBioMedicine_psoriasis_Treg.pdf" TargetMode="External"/><Relationship Id="rIdatu5lpebcqmigh8qaz_9u" Type="http://schemas.openxmlformats.org/officeDocument/2006/relationships/hyperlink" Target="file:///Users/kang/CC/PostDoc-apply/Seong-Jun-CV/papers/2024_JEADV_melanoma_immune.pdf" TargetMode="External"/><Relationship Id="rIdczx43fuxwubfkwpwpnpek" Type="http://schemas.openxmlformats.org/officeDocument/2006/relationships/hyperlink" Target="file:///Users/kang/CC/PostDoc-apply/Seong-Jun-CV/papers/2021_CurrDiabRep_xeno_review.pdf" TargetMode="External"/><Relationship Id="rIdkor62e2xqd57scrkd2iqx"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2026-09-23T15:26:20.067Z</dcterms:created>
  <dcterms:modified xsi:type="dcterms:W3CDTF">2026-09-23T15:26:20.067Z</dcterms:modified>
</cp:coreProperties>
</file>

<file path=docProps/custom.xml><?xml version="1.0" encoding="utf-8"?>
<Properties xmlns="http://schemas.openxmlformats.org/officeDocument/2006/custom-properties" xmlns:vt="http://schemas.openxmlformats.org/officeDocument/2006/docPropsVTypes"/>
</file>